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7DF" w:rsidP="00F557DF">
      <w:pPr>
        <w:pStyle w:val="Title"/>
      </w:pPr>
      <w:r>
        <w:fldChar w:fldCharType="begin"/>
      </w:r>
      <w:r>
        <w:instrText xml:space="preserve"> TITLE   \* MERGEFORMAT </w:instrText>
      </w:r>
      <w:r>
        <w:fldChar w:fldCharType="separate"/>
      </w:r>
      <w:r>
        <w:t>Assessment Requirements for MARC028 Operate deck machinery, cargo handling gear and equipment on a vessel</w:t>
      </w:r>
      <w:r>
        <w:fldChar w:fldCharType="end"/>
      </w:r>
    </w:p>
    <w:p w:rsidR="00F557DF" w:rsidP="00F557DF">
      <w:pPr>
        <w:pStyle w:val="Version"/>
        <w:sectPr w:rsidSect="00DC6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6A4" w:rsidP="00DC66A4">
      <w:pPr>
        <w:pStyle w:val="SuperHeading"/>
      </w:pPr>
      <w:r w:rsidRPr="00DC66A4">
        <w:t>Assessment Requirements for MARC028 Operate deck machinery, cargo handling gear and equipment on a vessel</w:t>
      </w:r>
    </w:p>
    <w:p w:rsidR="00000000" w:rsidRPr="00DC66A4" w:rsidP="00DC66A4">
      <w:pPr>
        <w:pStyle w:val="Heading1"/>
      </w:pPr>
      <w:bookmarkStart w:id="1" w:name="O_845191"/>
      <w:bookmarkEnd w:id="1"/>
      <w:r w:rsidRPr="00DC66A4">
        <w:t>Modification History</w:t>
      </w:r>
    </w:p>
    <w:p w:rsidR="00F557DF" w:rsidP="00F557DF">
      <w:pPr>
        <w:pStyle w:val="BodyText"/>
      </w:pPr>
      <w:r w:rsidRPr="00DC66A4">
        <w:t>Release 1. New unit of competency.</w:t>
      </w:r>
    </w:p>
    <w:p w:rsidR="00000000" w:rsidRPr="00DC66A4" w:rsidP="00DC66A4">
      <w:pPr>
        <w:pStyle w:val="Heading1"/>
      </w:pPr>
      <w:bookmarkStart w:id="2" w:name="O_845192"/>
      <w:bookmarkEnd w:id="2"/>
      <w:r w:rsidRPr="00DC66A4">
        <w:t>Performance Evidence</w:t>
      </w:r>
    </w:p>
    <w:tbl>
      <w:tblPr>
        <w:tblW w:w="9498" w:type="dxa"/>
        <w:tblLayout w:type="fixed"/>
        <w:tblCellMar>
          <w:left w:w="62" w:type="dxa"/>
          <w:right w:w="62" w:type="dxa"/>
        </w:tblCellMar>
        <w:tblLook w:val="0000"/>
      </w:tblPr>
      <w:tblGrid>
        <w:gridCol w:w="9498"/>
      </w:tblGrid>
      <w:tr w:rsidTr="00DC66A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C66A4">
            <w:pPr>
              <w:pStyle w:val="BodyText"/>
              <w:rPr>
                <w:lang w:val="en-NZ"/>
              </w:rPr>
            </w:pPr>
            <w:r w:rsidRPr="00DC66A4">
              <w:t>Evidence required to demonstrate competence in this unit must be relevant to and satisfy all of the requirements of the elements, performance criteria and range of conditions on at least one occasion and include:</w:t>
            </w:r>
          </w:p>
        </w:tc>
      </w:tr>
      <w:tr w:rsidTr="00DC66A4">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DC66A4" w:rsidP="00DC66A4">
            <w:pPr>
              <w:pStyle w:val="ListBullet"/>
            </w:pPr>
            <w:r w:rsidRPr="00DC66A4">
              <w:t>applying risk assessment and hazard contr</w:t>
            </w:r>
            <w:r w:rsidRPr="00DC66A4">
              <w:t>ol strategies</w:t>
            </w:r>
          </w:p>
          <w:p w:rsidR="00000000" w:rsidRPr="00DC66A4" w:rsidP="00DC66A4">
            <w:pPr>
              <w:pStyle w:val="ListBullet"/>
            </w:pPr>
            <w:r w:rsidRPr="00DC66A4">
              <w:t>applying relevant work health and safety (WHS)/occupational health and safety (OHS) requirements and work practices</w:t>
            </w:r>
          </w:p>
          <w:p w:rsidR="00000000" w:rsidRPr="00DC66A4" w:rsidP="00DC66A4">
            <w:pPr>
              <w:pStyle w:val="ListBullet"/>
            </w:pPr>
            <w:r w:rsidRPr="00DC66A4">
              <w:t>completing required records related to the operation of deck machinery and cargo handling gear and equipment</w:t>
            </w:r>
          </w:p>
          <w:p w:rsidR="00000000" w:rsidRPr="00DC66A4" w:rsidP="00DC66A4">
            <w:pPr>
              <w:pStyle w:val="ListBullet"/>
            </w:pPr>
            <w:r w:rsidRPr="00DC66A4">
              <w:t>communicating wit</w:t>
            </w:r>
            <w:r w:rsidRPr="00DC66A4">
              <w:t xml:space="preserve">h other workplace personnel using effective: </w:t>
            </w:r>
          </w:p>
          <w:p w:rsidR="00000000" w:rsidRPr="00DC66A4" w:rsidP="00DC66A4">
            <w:pPr>
              <w:pStyle w:val="ListBullet2"/>
            </w:pPr>
            <w:r w:rsidRPr="00DC66A4">
              <w:t>hand signals</w:t>
            </w:r>
          </w:p>
          <w:p w:rsidR="00000000" w:rsidRPr="00DC66A4" w:rsidP="00DC66A4">
            <w:pPr>
              <w:pStyle w:val="ListBullet2"/>
            </w:pPr>
            <w:r w:rsidRPr="00DC66A4">
              <w:t xml:space="preserve">hand held radios </w:t>
            </w:r>
          </w:p>
          <w:p w:rsidR="00000000" w:rsidRPr="00DC66A4" w:rsidP="00DC66A4">
            <w:pPr>
              <w:pStyle w:val="ListBullet2"/>
            </w:pPr>
            <w:r w:rsidRPr="00DC66A4">
              <w:t>listening techniques</w:t>
            </w:r>
          </w:p>
          <w:p w:rsidR="00000000" w:rsidRPr="00DC66A4" w:rsidP="00DC66A4">
            <w:pPr>
              <w:pStyle w:val="ListBullet2"/>
            </w:pPr>
            <w:r w:rsidRPr="00DC66A4">
              <w:t>questioning to confirm understanding and appropriate worksite protocol</w:t>
            </w:r>
          </w:p>
          <w:p w:rsidR="00000000" w:rsidRPr="00DC66A4" w:rsidP="00DC66A4">
            <w:pPr>
              <w:pStyle w:val="ListBullet2"/>
            </w:pPr>
            <w:r w:rsidRPr="00DC66A4">
              <w:t>signage</w:t>
            </w:r>
          </w:p>
          <w:p w:rsidR="00000000" w:rsidRPr="00DC66A4" w:rsidP="00DC66A4">
            <w:pPr>
              <w:pStyle w:val="ListBullet2"/>
            </w:pPr>
            <w:r w:rsidRPr="00DC66A4">
              <w:t>written instructions</w:t>
            </w:r>
          </w:p>
          <w:p w:rsidR="00000000" w:rsidRPr="00DC66A4" w:rsidP="00DC66A4">
            <w:pPr>
              <w:pStyle w:val="ListBullet"/>
            </w:pPr>
            <w:r w:rsidRPr="00DC66A4">
              <w:t xml:space="preserve">exercising all safety, environmental and hazard control precautions and procedures during the operation of deck machinery, cargo handling gear and equipment on a vessel </w:t>
            </w:r>
          </w:p>
          <w:p w:rsidR="00000000" w:rsidRPr="00DC66A4" w:rsidP="00DC66A4">
            <w:pPr>
              <w:pStyle w:val="ListBullet"/>
            </w:pPr>
            <w:r w:rsidRPr="00DC66A4">
              <w:t>following work schedules laid down in organisational instructions and safety managemen</w:t>
            </w:r>
            <w:r w:rsidRPr="00DC66A4">
              <w:t>t systems</w:t>
            </w:r>
          </w:p>
          <w:p w:rsidR="00000000" w:rsidRPr="00DC66A4" w:rsidP="00DC66A4">
            <w:pPr>
              <w:pStyle w:val="ListBullet"/>
            </w:pPr>
            <w:r w:rsidRPr="00DC66A4">
              <w:t>operating anchoring equipment under various conditions such as anchoring, weighing anchor, securing for sea and in emergencies</w:t>
            </w:r>
          </w:p>
          <w:p w:rsidR="00000000" w:rsidRPr="00DC66A4" w:rsidP="00DC66A4">
            <w:pPr>
              <w:pStyle w:val="ListBullet"/>
            </w:pPr>
            <w:r w:rsidRPr="00DC66A4">
              <w:t>reading, interpreting and applying instructions on the operation of deck machinery and cargo handling gear and equipmen</w:t>
            </w:r>
            <w:r w:rsidRPr="00DC66A4">
              <w:t>t</w:t>
            </w:r>
          </w:p>
          <w:p w:rsidR="00000000" w:rsidRPr="00DC66A4" w:rsidP="00DC66A4">
            <w:pPr>
              <w:pStyle w:val="ListBullet"/>
            </w:pPr>
            <w:r w:rsidRPr="00DC66A4">
              <w:t>recognising faulty equipment and taking appropriate action</w:t>
            </w:r>
          </w:p>
          <w:p w:rsidR="00000000" w:rsidRPr="00DC66A4" w:rsidP="00DC66A4">
            <w:pPr>
              <w:pStyle w:val="ListBullet"/>
            </w:pPr>
            <w:r w:rsidRPr="00DC66A4">
              <w:t>recognising routine hazards and problems while operating deck machinery and cargo handling gear and equipment</w:t>
            </w:r>
          </w:p>
          <w:p w:rsidR="00000000" w:rsidRPr="00DC66A4" w:rsidP="00DC66A4">
            <w:pPr>
              <w:pStyle w:val="ListBullet"/>
            </w:pPr>
            <w:r w:rsidRPr="00DC66A4">
              <w:t>recognising routine hazards that can arise on a chemical and oil and liquefied gas ta</w:t>
            </w:r>
            <w:r w:rsidRPr="00DC66A4">
              <w:t>nker</w:t>
            </w:r>
          </w:p>
          <w:p w:rsidR="00000000" w:rsidRPr="00DC66A4" w:rsidP="00DC66A4">
            <w:pPr>
              <w:pStyle w:val="ListBullet"/>
            </w:pPr>
            <w:r w:rsidRPr="00DC66A4">
              <w:t>selecting and using relevant tools and equipment</w:t>
            </w:r>
          </w:p>
          <w:p w:rsidR="00000000" w:rsidRPr="00DC66A4" w:rsidP="00DC66A4">
            <w:pPr>
              <w:pStyle w:val="ListBullet"/>
            </w:pPr>
            <w:r w:rsidRPr="00DC66A4">
              <w:t xml:space="preserve">setting up, shutting down and storing welding, brazing, cutting equipment </w:t>
            </w:r>
          </w:p>
          <w:p w:rsidR="00000000" w:rsidRPr="00DC66A4" w:rsidP="00DC66A4">
            <w:pPr>
              <w:pStyle w:val="ListBullet"/>
            </w:pPr>
            <w:r w:rsidRPr="00DC66A4">
              <w:t>using and handling deck and cargo handling gear and equipment</w:t>
            </w:r>
          </w:p>
          <w:p w:rsidR="00000000" w:rsidRPr="00DC66A4" w:rsidP="00DC66A4">
            <w:pPr>
              <w:pStyle w:val="ListBullet"/>
            </w:pPr>
            <w:r w:rsidRPr="00DC66A4">
              <w:t>using basic signals to operate equipment including winches, cranes, windlasses and hoists</w:t>
            </w:r>
          </w:p>
          <w:p w:rsidR="00000000" w:rsidRPr="00DC66A4" w:rsidP="00DC66A4">
            <w:pPr>
              <w:pStyle w:val="ListBullet"/>
            </w:pPr>
            <w:r w:rsidRPr="00DC66A4">
              <w:t xml:space="preserve">working safely and collaboratively with others </w:t>
            </w:r>
          </w:p>
          <w:p w:rsidR="00000000" w:rsidRPr="00DC66A4" w:rsidP="00DC66A4">
            <w:pPr>
              <w:pStyle w:val="ListBullet"/>
            </w:pPr>
            <w:r w:rsidRPr="00DC66A4">
              <w:t>working safely at heights, and correctly applying and using safety equipment.</w:t>
            </w:r>
          </w:p>
        </w:tc>
      </w:tr>
    </w:tbl>
    <w:p w:rsidR="00F557DF" w:rsidP="00DC66A4">
      <w:pPr>
        <w:pStyle w:val="BodyText"/>
      </w:pPr>
    </w:p>
    <w:p w:rsidR="00F557DF" w:rsidP="00DC66A4">
      <w:pPr>
        <w:pStyle w:val="BodyText"/>
      </w:pPr>
    </w:p>
    <w:p w:rsidR="00000000" w:rsidRPr="00DC66A4" w:rsidP="00DC66A4">
      <w:pPr>
        <w:pStyle w:val="Heading1"/>
      </w:pPr>
      <w:bookmarkStart w:id="3" w:name="O_845193"/>
      <w:bookmarkEnd w:id="3"/>
      <w:r w:rsidRPr="00DC66A4">
        <w:t>Knowledge Evidence</w:t>
      </w:r>
    </w:p>
    <w:tbl>
      <w:tblPr>
        <w:tblW w:w="9498" w:type="dxa"/>
        <w:tblLayout w:type="fixed"/>
        <w:tblCellMar>
          <w:left w:w="62" w:type="dxa"/>
          <w:right w:w="62" w:type="dxa"/>
        </w:tblCellMar>
        <w:tblLook w:val="0000"/>
      </w:tblPr>
      <w:tblGrid>
        <w:gridCol w:w="9498"/>
      </w:tblGrid>
      <w:tr w:rsidTr="00DC66A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C66A4">
            <w:pPr>
              <w:pStyle w:val="BodyText"/>
              <w:rPr>
                <w:lang w:val="en-NZ"/>
              </w:rPr>
            </w:pPr>
            <w:r w:rsidRPr="00DC66A4">
              <w:t>E</w:t>
            </w:r>
            <w:r w:rsidRPr="00DC66A4">
              <w:t>vidence required to demonstrate competence in this unit must be relevant to and satisfy all of the requirements of the elements, performance criteria and range of conditions and include knowledge of:</w:t>
            </w:r>
          </w:p>
        </w:tc>
      </w:tr>
      <w:tr w:rsidTr="00DC66A4">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DC66A4" w:rsidP="00DC66A4">
            <w:pPr>
              <w:pStyle w:val="ListBullet"/>
            </w:pPr>
            <w:r w:rsidRPr="00DC66A4">
              <w:t>basic signals for the operation of equipment including winches, cranes, windlasses and hoists</w:t>
            </w:r>
          </w:p>
          <w:p w:rsidR="00000000" w:rsidRPr="00DC66A4" w:rsidP="00DC66A4">
            <w:pPr>
              <w:pStyle w:val="ListBullet"/>
            </w:pPr>
            <w:r w:rsidRPr="00DC66A4">
              <w:t>boom/jib movements and the safe positioning of the operator for any lift</w:t>
            </w:r>
          </w:p>
          <w:p w:rsidR="00000000" w:rsidRPr="00DC66A4" w:rsidP="00DC66A4">
            <w:pPr>
              <w:pStyle w:val="ListBullet"/>
            </w:pPr>
            <w:r w:rsidRPr="00DC66A4">
              <w:t>characteristics and features of bulk ship, chemical and oil tanker and liquefied gas tank</w:t>
            </w:r>
            <w:r w:rsidRPr="00DC66A4">
              <w:t>er layouts and cargo</w:t>
            </w:r>
          </w:p>
          <w:p w:rsidR="00000000" w:rsidRPr="00DC66A4" w:rsidP="00DC66A4">
            <w:pPr>
              <w:pStyle w:val="ListBullet"/>
            </w:pPr>
            <w:r w:rsidRPr="00DC66A4">
              <w:t>communication techniques and signals needed during the operation of deck machinery and cargo handling gear and equipment</w:t>
            </w:r>
          </w:p>
          <w:p w:rsidR="00000000" w:rsidRPr="00DC66A4" w:rsidP="00DC66A4">
            <w:pPr>
              <w:pStyle w:val="ListBullet"/>
            </w:pPr>
            <w:r w:rsidRPr="00DC66A4">
              <w:t>correct method of replacing winch wire and/or rope and attaching new wire and/or rope to winch drum</w:t>
            </w:r>
          </w:p>
          <w:p w:rsidR="00000000" w:rsidRPr="00DC66A4" w:rsidP="00DC66A4">
            <w:pPr>
              <w:pStyle w:val="ListBullet"/>
            </w:pPr>
            <w:r w:rsidRPr="00DC66A4">
              <w:t>faulty and dam</w:t>
            </w:r>
            <w:r w:rsidRPr="00DC66A4">
              <w:t>aged wire and/or rope</w:t>
            </w:r>
          </w:p>
          <w:p w:rsidR="00000000" w:rsidRPr="00DC66A4" w:rsidP="00DC66A4">
            <w:pPr>
              <w:pStyle w:val="ListBullet"/>
            </w:pPr>
            <w:r w:rsidRPr="00DC66A4">
              <w:t>fibre and wire ropes, cables and chains including their construction, use markings, maintenance and proper stowage</w:t>
            </w:r>
          </w:p>
          <w:p w:rsidR="00000000" w:rsidRPr="00DC66A4" w:rsidP="00DC66A4">
            <w:pPr>
              <w:pStyle w:val="ListBullet"/>
            </w:pPr>
            <w:r w:rsidRPr="00DC66A4">
              <w:t>function and uses of:</w:t>
            </w:r>
          </w:p>
          <w:p w:rsidR="00000000" w:rsidRPr="00DC66A4" w:rsidP="00DC66A4">
            <w:pPr>
              <w:pStyle w:val="ListBullet2"/>
            </w:pPr>
            <w:r w:rsidRPr="00DC66A4">
              <w:t>cranes, pumps, hoists, cranes, booms and related equipment</w:t>
            </w:r>
          </w:p>
          <w:p w:rsidR="00000000" w:rsidRPr="00DC66A4" w:rsidP="00DC66A4">
            <w:pPr>
              <w:pStyle w:val="ListBullet2"/>
            </w:pPr>
            <w:r w:rsidRPr="00DC66A4">
              <w:t>hatches, watertight doors, ports and related equipment</w:t>
            </w:r>
          </w:p>
          <w:p w:rsidR="00000000" w:rsidRPr="00DC66A4" w:rsidP="00DC66A4">
            <w:pPr>
              <w:pStyle w:val="ListBullet2"/>
            </w:pPr>
            <w:r w:rsidRPr="00DC66A4">
              <w:t>winches, windlasses, capstans and related equipment</w:t>
            </w:r>
          </w:p>
          <w:p w:rsidR="00000000" w:rsidRPr="00DC66A4" w:rsidP="00DC66A4">
            <w:pPr>
              <w:pStyle w:val="ListBullet"/>
            </w:pPr>
            <w:r w:rsidRPr="00DC66A4">
              <w:t>fundamental properties of liquid and liquefied cargo and their impact on safety, the environment and vessel operations</w:t>
            </w:r>
          </w:p>
          <w:p w:rsidR="00000000" w:rsidRPr="00DC66A4" w:rsidP="00DC66A4">
            <w:pPr>
              <w:pStyle w:val="ListBullet"/>
            </w:pPr>
            <w:r w:rsidRPr="00DC66A4">
              <w:t xml:space="preserve">hazards and control measures </w:t>
            </w:r>
            <w:r w:rsidRPr="00DC66A4">
              <w:t>associated with bulk ship, chemical and oil tanker, liquefied gas tanker cargo operations</w:t>
            </w:r>
          </w:p>
          <w:p w:rsidR="00000000" w:rsidRPr="00DC66A4" w:rsidP="00DC66A4">
            <w:pPr>
              <w:pStyle w:val="ListBullet"/>
            </w:pPr>
            <w:r w:rsidRPr="00DC66A4">
              <w:t xml:space="preserve">hazards and related safety precautions relevant to basic welding, brazing and cutting </w:t>
            </w:r>
          </w:p>
          <w:p w:rsidR="00000000" w:rsidRPr="00DC66A4" w:rsidP="00DC66A4">
            <w:pPr>
              <w:pStyle w:val="ListBullet"/>
            </w:pPr>
            <w:r w:rsidRPr="00DC66A4">
              <w:t>piping systems, valves, loading and unloading, care in transit and emergency sh</w:t>
            </w:r>
            <w:r w:rsidRPr="00DC66A4">
              <w:t>ut down procedures</w:t>
            </w:r>
          </w:p>
          <w:p w:rsidR="00000000" w:rsidRPr="00DC66A4" w:rsidP="00DC66A4">
            <w:pPr>
              <w:pStyle w:val="ListBullet"/>
            </w:pPr>
            <w:r w:rsidRPr="00DC66A4">
              <w:t>principal features and operating characteristics of steering gear and deck machinery used on a range of vessel types</w:t>
            </w:r>
          </w:p>
          <w:p w:rsidR="00000000" w:rsidRPr="00DC66A4" w:rsidP="00DC66A4">
            <w:pPr>
              <w:pStyle w:val="ListBullet"/>
            </w:pPr>
            <w:r w:rsidRPr="00DC66A4">
              <w:t>problems related to operating deck machinery and cargo handling gear and equipment, and appropriate actions and solution</w:t>
            </w:r>
            <w:r w:rsidRPr="00DC66A4">
              <w:t>s</w:t>
            </w:r>
          </w:p>
          <w:p w:rsidR="00000000" w:rsidRPr="00DC66A4" w:rsidP="00DC66A4">
            <w:pPr>
              <w:pStyle w:val="ListBullet"/>
            </w:pPr>
            <w:r w:rsidRPr="00DC66A4">
              <w:t>procedures for:</w:t>
            </w:r>
          </w:p>
          <w:p w:rsidR="00000000" w:rsidRPr="00DC66A4" w:rsidP="00DC66A4">
            <w:pPr>
              <w:pStyle w:val="ListBullet2"/>
            </w:pPr>
            <w:r w:rsidRPr="00DC66A4">
              <w:t xml:space="preserve">checking and inspecting deck machinery and cargo handling gear and equipment used on vessels </w:t>
            </w:r>
          </w:p>
          <w:p w:rsidR="00000000" w:rsidRPr="00DC66A4" w:rsidP="00DC66A4">
            <w:pPr>
              <w:pStyle w:val="ListBullet2"/>
            </w:pPr>
            <w:r w:rsidRPr="00DC66A4">
              <w:t>safe operation of deck machinery and cargo handling gear and equipment</w:t>
            </w:r>
          </w:p>
          <w:p w:rsidR="00000000" w:rsidRPr="00DC66A4" w:rsidP="00DC66A4">
            <w:pPr>
              <w:pStyle w:val="ListBullet"/>
            </w:pPr>
            <w:r w:rsidRPr="00DC66A4">
              <w:t xml:space="preserve">records that must be maintained on a vessel relevant to cargo handling </w:t>
            </w:r>
            <w:r w:rsidRPr="00DC66A4">
              <w:t>and stowage</w:t>
            </w:r>
          </w:p>
          <w:p w:rsidR="00000000" w:rsidRPr="00DC66A4" w:rsidP="00DC66A4">
            <w:pPr>
              <w:pStyle w:val="ListBullet"/>
            </w:pPr>
            <w:r w:rsidRPr="00DC66A4">
              <w:t xml:space="preserve">relevant sections of maritime regulations, codes and conventions related to tankers and gas </w:t>
            </w:r>
            <w:r w:rsidRPr="00DC66A4">
              <w:t>carriers</w:t>
            </w:r>
          </w:p>
          <w:p w:rsidR="00000000" w:rsidRPr="00DC66A4" w:rsidP="00DC66A4">
            <w:pPr>
              <w:pStyle w:val="ListBullet"/>
            </w:pPr>
            <w:r w:rsidRPr="00DC66A4">
              <w:t>relevant WHS/OHS requirements, work practices and pollution control regulations and policies</w:t>
            </w:r>
          </w:p>
          <w:p w:rsidR="00000000" w:rsidRPr="00DC66A4" w:rsidP="00DC66A4">
            <w:pPr>
              <w:pStyle w:val="ListBullet"/>
            </w:pPr>
            <w:r w:rsidRPr="00DC66A4">
              <w:t>safe working loads of ropes, wires, blocks, chains and lifting gear</w:t>
            </w:r>
          </w:p>
          <w:p w:rsidR="00000000" w:rsidRPr="00DC66A4" w:rsidP="00DC66A4">
            <w:pPr>
              <w:pStyle w:val="ListBullet"/>
            </w:pPr>
            <w:r w:rsidRPr="00DC66A4">
              <w:t xml:space="preserve">safety data sheets (SDSs)/material safety data sheets (MSDSs) </w:t>
            </w:r>
          </w:p>
          <w:p w:rsidR="00000000" w:rsidRPr="00DC66A4" w:rsidP="00DC66A4">
            <w:pPr>
              <w:pStyle w:val="ListBullet"/>
            </w:pPr>
            <w:r w:rsidRPr="00DC66A4">
              <w:t>safety, environmental and hazard control precautions and procedures relevant to the operation of deck machinery and cargo han</w:t>
            </w:r>
            <w:r w:rsidRPr="00DC66A4">
              <w:t>dling gear and equipment</w:t>
            </w:r>
          </w:p>
          <w:p w:rsidR="00000000" w:rsidRPr="00DC66A4" w:rsidP="00DC66A4">
            <w:pPr>
              <w:pStyle w:val="ListBullet"/>
            </w:pPr>
            <w:r w:rsidRPr="00DC66A4">
              <w:t xml:space="preserve">terminology relating to the structure, capacities and operations of various types of tankers and gas carriers </w:t>
            </w:r>
          </w:p>
          <w:p w:rsidR="00000000" w:rsidRPr="00DC66A4" w:rsidP="00DC66A4">
            <w:pPr>
              <w:pStyle w:val="ListBullet"/>
            </w:pPr>
            <w:r w:rsidRPr="00DC66A4">
              <w:t xml:space="preserve">use and general maintenance of lifting equipment and basic slinging techniques. </w:t>
            </w:r>
          </w:p>
        </w:tc>
      </w:tr>
    </w:tbl>
    <w:p w:rsidR="00F557DF" w:rsidP="00DC66A4">
      <w:pPr>
        <w:pStyle w:val="BodyText"/>
      </w:pPr>
    </w:p>
    <w:p w:rsidR="00F557DF" w:rsidP="00DC66A4">
      <w:pPr>
        <w:pStyle w:val="BodyText"/>
      </w:pPr>
    </w:p>
    <w:p w:rsidR="00000000" w:rsidRPr="00DC66A4" w:rsidP="00DC66A4">
      <w:pPr>
        <w:pStyle w:val="Heading1"/>
      </w:pPr>
      <w:bookmarkStart w:id="4" w:name="O_845194"/>
      <w:bookmarkEnd w:id="4"/>
      <w:r w:rsidRPr="00DC66A4">
        <w:t>Assessment Conditio</w:t>
      </w:r>
      <w:r w:rsidRPr="00DC66A4">
        <w:t>ns</w:t>
      </w:r>
    </w:p>
    <w:tbl>
      <w:tblPr>
        <w:tblW w:w="9498" w:type="dxa"/>
        <w:tblLayout w:type="fixed"/>
        <w:tblCellMar>
          <w:left w:w="62" w:type="dxa"/>
          <w:right w:w="62" w:type="dxa"/>
        </w:tblCellMar>
        <w:tblLook w:val="0000"/>
      </w:tblPr>
      <w:tblGrid>
        <w:gridCol w:w="9498"/>
      </w:tblGrid>
      <w:tr w:rsidTr="00DC66A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C66A4" w:rsidP="00DC66A4">
            <w:pPr>
              <w:pStyle w:val="BodyText"/>
            </w:pPr>
            <w:r w:rsidRPr="00DC66A4">
              <w:t xml:space="preserve">As a minimum, assessors must satisfy applicable regulatory requirements, which include requirements in the </w:t>
            </w:r>
            <w:r w:rsidRPr="00DC66A4">
              <w:rPr>
                <w:rStyle w:val="Emphasis"/>
              </w:rPr>
              <w:t>Standards for Registered Training Organisations</w:t>
            </w:r>
            <w:r w:rsidRPr="00DC66A4">
              <w:t xml:space="preserve"> current at the time of assessment. </w:t>
            </w:r>
          </w:p>
          <w:p w:rsidR="00000000" w:rsidRPr="00DC66A4" w:rsidP="00DC66A4">
            <w:pPr>
              <w:pStyle w:val="BodyText"/>
            </w:pPr>
            <w:r w:rsidRPr="00DC66A4">
              <w:t>As a minimum, assessment must satisfy applicable regulatory re</w:t>
            </w:r>
            <w:r w:rsidRPr="00DC66A4">
              <w:t xml:space="preserve">quirements, which include requirements in the </w:t>
            </w:r>
            <w:r w:rsidRPr="00DC66A4">
              <w:rPr>
                <w:rStyle w:val="Emphasis"/>
              </w:rPr>
              <w:t>Standards for Registered Training Organisations</w:t>
            </w:r>
            <w:r w:rsidRPr="00DC66A4">
              <w:t xml:space="preserve"> current at the time of assessment.</w:t>
            </w:r>
          </w:p>
          <w:p w:rsidR="00000000" w:rsidRPr="00DC66A4" w:rsidP="00DC66A4">
            <w:pPr>
              <w:pStyle w:val="BodyText"/>
            </w:pPr>
            <w:r w:rsidRPr="00DC66A4">
              <w:t>Assessment processes and techniques must be appropriate to the language, literacy and numeracy requirements of the work being p</w:t>
            </w:r>
            <w:r w:rsidRPr="00DC66A4">
              <w:t xml:space="preserve">erformed and the needs of the candidate. </w:t>
            </w:r>
          </w:p>
          <w:p w:rsidR="00000000" w:rsidRPr="00DC66A4" w:rsidP="00DC66A4">
            <w:pPr>
              <w:pStyle w:val="BodyText"/>
            </w:pPr>
            <w:r w:rsidRPr="00DC66A4">
              <w:t>Assessment of the operation of deck machinery and cargo handling gear and equipment must occur in workplace operational situations. Where this is not available, in simulated workplace operational situations that re</w:t>
            </w:r>
            <w:r w:rsidRPr="00DC66A4">
              <w:t>plicate workplace conditions.</w:t>
            </w:r>
          </w:p>
          <w:p w:rsidR="00000000" w:rsidRPr="00DC66A4" w:rsidP="00DC66A4">
            <w:pPr>
              <w:pStyle w:val="BodyText"/>
            </w:pPr>
            <w:r w:rsidRPr="00DC66A4">
              <w:t>Resources for assessment include access to:</w:t>
            </w:r>
          </w:p>
          <w:p w:rsidR="00000000" w:rsidRPr="00DC66A4" w:rsidP="00DC66A4">
            <w:pPr>
              <w:pStyle w:val="ListBullet"/>
            </w:pPr>
            <w:r w:rsidRPr="00DC66A4">
              <w:t xml:space="preserve">gas monitoring equipment including: </w:t>
            </w:r>
          </w:p>
          <w:p w:rsidR="00000000" w:rsidRPr="00DC66A4" w:rsidP="00DC66A4">
            <w:pPr>
              <w:pStyle w:val="ListBullet2"/>
            </w:pPr>
            <w:r w:rsidRPr="00DC66A4">
              <w:t>gas monitoring instruments</w:t>
            </w:r>
          </w:p>
          <w:p w:rsidR="00000000" w:rsidRPr="00DC66A4" w:rsidP="00DC66A4">
            <w:pPr>
              <w:pStyle w:val="ListBullet2"/>
            </w:pPr>
            <w:r w:rsidRPr="00DC66A4">
              <w:t>oxygen indicators</w:t>
            </w:r>
          </w:p>
          <w:p w:rsidR="00000000" w:rsidRPr="00DC66A4" w:rsidP="00DC66A4">
            <w:pPr>
              <w:pStyle w:val="ListBullet"/>
            </w:pPr>
            <w:r w:rsidRPr="00DC66A4">
              <w:t xml:space="preserve">relevant documentation including workplace procedures, regulations, codes of practice </w:t>
            </w:r>
            <w:r w:rsidRPr="00DC66A4">
              <w:t xml:space="preserve">and operation manuals </w:t>
            </w:r>
          </w:p>
          <w:p w:rsidR="00000000" w:rsidRPr="00DC66A4" w:rsidP="00DC66A4">
            <w:pPr>
              <w:pStyle w:val="ListBullet"/>
            </w:pPr>
            <w:r w:rsidRPr="00DC66A4">
              <w:t>tools, materials, cargo handling equipment, piping systems and valves that replicate and are currently used in industry including:</w:t>
            </w:r>
          </w:p>
          <w:p w:rsidR="00000000" w:rsidRPr="00DC66A4" w:rsidP="00DC66A4">
            <w:pPr>
              <w:pStyle w:val="ListBullet2"/>
            </w:pPr>
            <w:r w:rsidRPr="00DC66A4">
              <w:t>basic hydraulic systems</w:t>
            </w:r>
          </w:p>
          <w:p w:rsidR="00000000" w:rsidRPr="00DC66A4" w:rsidP="00DC66A4">
            <w:pPr>
              <w:pStyle w:val="ListBullet2"/>
            </w:pPr>
            <w:r w:rsidRPr="00DC66A4">
              <w:t xml:space="preserve">cargo hatch covers </w:t>
            </w:r>
          </w:p>
          <w:p w:rsidR="00000000" w:rsidRPr="00DC66A4" w:rsidP="00DC66A4">
            <w:pPr>
              <w:pStyle w:val="ListBullet2"/>
            </w:pPr>
            <w:r w:rsidRPr="00DC66A4">
              <w:t>cranes and derricks</w:t>
            </w:r>
          </w:p>
          <w:p w:rsidR="00000000" w:rsidRPr="00DC66A4" w:rsidP="00DC66A4">
            <w:pPr>
              <w:pStyle w:val="ListBullet2"/>
            </w:pPr>
            <w:r w:rsidRPr="00DC66A4">
              <w:t>lifeboat davits</w:t>
            </w:r>
          </w:p>
          <w:p w:rsidR="00000000" w:rsidRPr="00DC66A4" w:rsidP="00DC66A4">
            <w:pPr>
              <w:pStyle w:val="ListBullet2"/>
            </w:pPr>
            <w:r w:rsidRPr="00DC66A4">
              <w:t>lifting equipment</w:t>
            </w:r>
          </w:p>
          <w:p w:rsidR="00000000" w:rsidRPr="00DC66A4" w:rsidP="00DC66A4">
            <w:pPr>
              <w:pStyle w:val="ListBullet2"/>
            </w:pPr>
            <w:r w:rsidRPr="00DC66A4">
              <w:t>moo</w:t>
            </w:r>
            <w:r w:rsidRPr="00DC66A4">
              <w:t xml:space="preserve">ring equipment </w:t>
            </w:r>
          </w:p>
          <w:p w:rsidR="00000000" w:rsidRPr="00DC66A4" w:rsidP="00DC66A4">
            <w:pPr>
              <w:pStyle w:val="ListBullet2"/>
            </w:pPr>
            <w:r w:rsidRPr="00DC66A4">
              <w:t>safeguards and protective devices for winches</w:t>
            </w:r>
          </w:p>
          <w:p w:rsidR="00000000" w:rsidRPr="00DC66A4" w:rsidP="00DC66A4">
            <w:pPr>
              <w:pStyle w:val="ListBullet2"/>
            </w:pPr>
            <w:r w:rsidRPr="00DC66A4">
              <w:t>small cranes, derricks and booms</w:t>
            </w:r>
          </w:p>
          <w:p w:rsidR="00000000" w:rsidRPr="00DC66A4" w:rsidP="00DC66A4">
            <w:pPr>
              <w:pStyle w:val="ListBullet2"/>
            </w:pPr>
            <w:r w:rsidRPr="00DC66A4">
              <w:t>gangways and pilot ladders</w:t>
            </w:r>
          </w:p>
          <w:p w:rsidR="00000000" w:rsidRPr="00DC66A4" w:rsidP="00DC66A4">
            <w:pPr>
              <w:pStyle w:val="ListBullet2"/>
            </w:pPr>
            <w:r w:rsidRPr="00DC66A4">
              <w:t>winches</w:t>
            </w:r>
          </w:p>
          <w:p w:rsidR="00000000" w:rsidRPr="00DC66A4" w:rsidP="00DC66A4">
            <w:pPr>
              <w:pStyle w:val="ListBullet2"/>
            </w:pPr>
            <w:r w:rsidRPr="00DC66A4">
              <w:t>windlasses</w:t>
            </w:r>
          </w:p>
          <w:p w:rsidR="00000000" w:rsidRPr="00DC66A4" w:rsidP="00DC66A4">
            <w:pPr>
              <w:pStyle w:val="ListBullet"/>
            </w:pPr>
            <w:r w:rsidRPr="00DC66A4">
              <w:t>personal protective equipment currently used in industry including:</w:t>
            </w:r>
          </w:p>
          <w:p w:rsidR="00000000" w:rsidRPr="00DC66A4" w:rsidP="00DC66A4">
            <w:pPr>
              <w:pStyle w:val="ListBullet2"/>
            </w:pPr>
            <w:r w:rsidRPr="00DC66A4">
              <w:t xml:space="preserve">free fall arrest devices </w:t>
            </w:r>
          </w:p>
          <w:p w:rsidR="00000000" w:rsidRPr="00DC66A4" w:rsidP="00DC66A4">
            <w:pPr>
              <w:pStyle w:val="ListBullet2"/>
            </w:pPr>
            <w:r w:rsidRPr="00DC66A4">
              <w:t>safety harness</w:t>
            </w:r>
          </w:p>
          <w:p w:rsidR="00000000" w:rsidRPr="00DC66A4" w:rsidP="00DC66A4">
            <w:pPr>
              <w:pStyle w:val="ListBullet2"/>
            </w:pPr>
            <w:r w:rsidRPr="00DC66A4">
              <w:t xml:space="preserve">safety nets </w:t>
            </w:r>
          </w:p>
          <w:p w:rsidR="00000000" w:rsidRPr="00DC66A4" w:rsidP="00DC66A4">
            <w:pPr>
              <w:pStyle w:val="ListBullet2"/>
            </w:pPr>
            <w:r w:rsidRPr="00DC66A4">
              <w:t>static safety lines.</w:t>
            </w:r>
          </w:p>
        </w:tc>
      </w:tr>
    </w:tbl>
    <w:p w:rsidR="00F557DF" w:rsidP="00DC66A4">
      <w:pPr>
        <w:pStyle w:val="BodyText"/>
      </w:pPr>
    </w:p>
    <w:p w:rsidR="00F557DF" w:rsidP="00DC66A4">
      <w:pPr>
        <w:pStyle w:val="BodyText"/>
      </w:pPr>
    </w:p>
    <w:p w:rsidR="00000000" w:rsidRPr="00DC66A4" w:rsidP="00DC66A4">
      <w:pPr>
        <w:pStyle w:val="Heading1"/>
      </w:pPr>
      <w:bookmarkStart w:id="5" w:name="O_845197"/>
      <w:bookmarkEnd w:id="5"/>
      <w:r w:rsidRPr="00DC66A4">
        <w:t>Links</w:t>
      </w:r>
    </w:p>
    <w:p w:rsidR="00000000" w:rsidRPr="00DC66A4" w:rsidP="00F557DF">
      <w:pPr>
        <w:pStyle w:val="BodyText"/>
      </w:pPr>
      <w:r w:rsidRPr="00DC66A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F75DC">
        <w:rPr>
          <w:rStyle w:val="Hyperlink"/>
        </w:rPr>
        <w:t>https://vetnet.gov.au/Pages/TrainingDocs.aspx?q=772efb7b-4cce-47fe-9bbd-ee3b1d1eb4c2</w:t>
      </w:r>
      <w:r>
        <w:fldChar w:fldCharType="end"/>
      </w:r>
    </w:p>
    <w:p w:rsidR="00000000" w:rsidRPr="00DC66A4" w:rsidP="00DC66A4"/>
    <w:sectPr w:rsidSect="00DC6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F" w:rsidP="00DC6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7DF" w:rsidP="00DC66A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57DF" w:rsidP="00DC6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6A4" w:rsidRPr="00F557DF" w:rsidP="00F557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7DF" w:rsidRPr="002D2AF8" w:rsidP="00DC66A4">
    <w:pPr>
      <w:pStyle w:val="Header"/>
      <w:framePr w:wrap="around"/>
    </w:pPr>
    <w:r>
      <w:fldChar w:fldCharType="begin"/>
    </w:r>
    <w:r>
      <w:instrText xml:space="preserve"> TITLE   \* MERGEFORMAT </w:instrText>
    </w:r>
    <w:r>
      <w:fldChar w:fldCharType="separate"/>
    </w:r>
    <w:r>
      <w:t>Assessment Requirements for MARC028 Operate deck machinery, cargo handling gear and equipment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F557DF" w:rsidP="00DC6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54C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23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83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6A4"/>
    <w:pPr>
      <w:spacing w:before="360" w:after="60"/>
      <w:outlineLvl w:val="0"/>
    </w:pPr>
    <w:rPr>
      <w:sz w:val="32"/>
    </w:rPr>
  </w:style>
  <w:style w:type="paragraph" w:styleId="Heading2">
    <w:name w:val="heading 2"/>
    <w:basedOn w:val="HeadingBase"/>
    <w:next w:val="BodyText"/>
    <w:link w:val="Heading2Char"/>
    <w:qFormat/>
    <w:rsid w:val="00DC66A4"/>
    <w:pPr>
      <w:keepLines/>
      <w:spacing w:before="240" w:after="120"/>
      <w:outlineLvl w:val="1"/>
    </w:pPr>
    <w:rPr>
      <w:sz w:val="28"/>
      <w:szCs w:val="40"/>
    </w:rPr>
  </w:style>
  <w:style w:type="paragraph" w:styleId="Heading3">
    <w:name w:val="heading 3"/>
    <w:basedOn w:val="HeadingBase"/>
    <w:next w:val="BodyText"/>
    <w:link w:val="Heading3Char"/>
    <w:qFormat/>
    <w:rsid w:val="00DC66A4"/>
    <w:pPr>
      <w:spacing w:before="180" w:after="120"/>
      <w:outlineLvl w:val="2"/>
    </w:pPr>
    <w:rPr>
      <w:spacing w:val="-10"/>
      <w:kern w:val="32"/>
    </w:rPr>
  </w:style>
  <w:style w:type="paragraph" w:styleId="Heading4">
    <w:name w:val="heading 4"/>
    <w:basedOn w:val="HeadingBase"/>
    <w:next w:val="BodyText"/>
    <w:link w:val="Heading4Char"/>
    <w:qFormat/>
    <w:rsid w:val="00DC66A4"/>
    <w:pPr>
      <w:spacing w:before="160" w:after="120"/>
      <w:outlineLvl w:val="3"/>
    </w:pPr>
    <w:rPr>
      <w:sz w:val="22"/>
    </w:rPr>
  </w:style>
  <w:style w:type="paragraph" w:styleId="Heading5">
    <w:name w:val="heading 5"/>
    <w:basedOn w:val="HeadingBase"/>
    <w:next w:val="Normal"/>
    <w:link w:val="Heading5Char"/>
    <w:qFormat/>
    <w:rsid w:val="00DC66A4"/>
    <w:pPr>
      <w:spacing w:before="80"/>
      <w:outlineLvl w:val="4"/>
    </w:pPr>
    <w:rPr>
      <w:color w:val="918585"/>
      <w:sz w:val="20"/>
    </w:rPr>
  </w:style>
  <w:style w:type="paragraph" w:styleId="Heading6">
    <w:name w:val="heading 6"/>
    <w:basedOn w:val="HeadingBase"/>
    <w:next w:val="Normal"/>
    <w:link w:val="Heading6Char"/>
    <w:qFormat/>
    <w:rsid w:val="00DC66A4"/>
    <w:pPr>
      <w:spacing w:before="60"/>
      <w:outlineLvl w:val="5"/>
    </w:pPr>
    <w:rPr>
      <w:color w:val="918585"/>
      <w:sz w:val="20"/>
    </w:rPr>
  </w:style>
  <w:style w:type="paragraph" w:styleId="Heading7">
    <w:name w:val="heading 7"/>
    <w:basedOn w:val="Normal"/>
    <w:next w:val="Normal"/>
    <w:link w:val="Heading7Char"/>
    <w:qFormat/>
    <w:rsid w:val="00DC66A4"/>
    <w:pPr>
      <w:ind w:left="720"/>
      <w:outlineLvl w:val="6"/>
    </w:pPr>
    <w:rPr>
      <w:i/>
    </w:rPr>
  </w:style>
  <w:style w:type="paragraph" w:styleId="Heading8">
    <w:name w:val="heading 8"/>
    <w:basedOn w:val="Normal"/>
    <w:next w:val="Normal"/>
    <w:link w:val="Heading8Char"/>
    <w:qFormat/>
    <w:rsid w:val="00DC66A4"/>
    <w:pPr>
      <w:ind w:left="720"/>
      <w:outlineLvl w:val="7"/>
    </w:pPr>
    <w:rPr>
      <w:i/>
    </w:rPr>
  </w:style>
  <w:style w:type="paragraph" w:styleId="Heading9">
    <w:name w:val="heading 9"/>
    <w:basedOn w:val="Normal"/>
    <w:next w:val="Normal"/>
    <w:link w:val="Heading9Char"/>
    <w:qFormat/>
    <w:rsid w:val="00DC66A4"/>
    <w:pPr>
      <w:ind w:left="720"/>
      <w:outlineLvl w:val="8"/>
    </w:pPr>
    <w:rPr>
      <w:i/>
    </w:rPr>
  </w:style>
  <w:style w:type="character" w:default="1" w:styleId="DefaultParagraphFont">
    <w:name w:val="Default Paragraph Font"/>
    <w:uiPriority w:val="1"/>
    <w:unhideWhenUsed/>
    <w:rsid w:val="00DC6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6A4"/>
  </w:style>
  <w:style w:type="character" w:customStyle="1" w:styleId="Heading1Char">
    <w:name w:val="Heading 1 Char"/>
    <w:basedOn w:val="DefaultParagraphFont"/>
    <w:link w:val="Heading1"/>
    <w:rsid w:val="00DC66A4"/>
    <w:rPr>
      <w:rFonts w:ascii="Times New Roman" w:eastAsia="Times New Roman" w:hAnsi="Times New Roman" w:cs="Times New Roman"/>
      <w:b/>
      <w:sz w:val="32"/>
      <w:szCs w:val="20"/>
      <w:lang w:eastAsia="en-US"/>
    </w:rPr>
  </w:style>
  <w:style w:type="paragraph" w:styleId="BodyText">
    <w:name w:val="Body Text"/>
    <w:basedOn w:val="Normal"/>
    <w:link w:val="BodyTextChar"/>
    <w:rsid w:val="00DC66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6A4"/>
    <w:rPr>
      <w:rFonts w:ascii="Times New Roman" w:eastAsia="Times New Roman" w:hAnsi="Times New Roman" w:cs="Times New Roman"/>
      <w:sz w:val="24"/>
      <w:lang w:eastAsia="en-US"/>
    </w:rPr>
  </w:style>
  <w:style w:type="paragraph" w:styleId="ListBullet">
    <w:name w:val="List Bullet"/>
    <w:basedOn w:val="List"/>
    <w:rsid w:val="00DC66A4"/>
    <w:pPr>
      <w:numPr>
        <w:numId w:val="12"/>
      </w:numPr>
      <w:tabs>
        <w:tab w:val="clear" w:pos="340"/>
      </w:tabs>
      <w:spacing w:before="40" w:after="40"/>
    </w:pPr>
  </w:style>
  <w:style w:type="paragraph" w:styleId="ListBullet2">
    <w:name w:val="List Bullet 2"/>
    <w:basedOn w:val="List2"/>
    <w:rsid w:val="00DC66A4"/>
    <w:pPr>
      <w:numPr>
        <w:numId w:val="13"/>
      </w:numPr>
      <w:tabs>
        <w:tab w:val="clear" w:pos="680"/>
      </w:tabs>
    </w:pPr>
  </w:style>
  <w:style w:type="character" w:styleId="Emphasis">
    <w:name w:val="Emphasis"/>
    <w:basedOn w:val="DefaultParagraphFont"/>
    <w:qFormat/>
    <w:rsid w:val="00DC66A4"/>
    <w:rPr>
      <w:i/>
    </w:rPr>
  </w:style>
  <w:style w:type="paragraph" w:customStyle="1" w:styleId="SuperHeading">
    <w:name w:val="SuperHeading"/>
    <w:basedOn w:val="Normal"/>
    <w:rsid w:val="00DC66A4"/>
    <w:pPr>
      <w:spacing w:before="240" w:after="120"/>
      <w:outlineLvl w:val="0"/>
    </w:pPr>
    <w:rPr>
      <w:rFonts w:ascii="Times New Roman" w:hAnsi="Times New Roman"/>
      <w:b/>
      <w:sz w:val="32"/>
    </w:rPr>
  </w:style>
  <w:style w:type="paragraph" w:customStyle="1" w:styleId="AllowPageBreak">
    <w:name w:val="AllowPageBreak"/>
    <w:rsid w:val="00DC6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6A4"/>
    <w:rPr>
      <w:rFonts w:ascii="Courier New" w:eastAsia="Times New Roman" w:hAnsi="Courier New" w:cs="Times New Roman"/>
      <w:i/>
      <w:szCs w:val="20"/>
      <w:lang w:eastAsia="en-US"/>
    </w:rPr>
  </w:style>
  <w:style w:type="paragraph" w:customStyle="1" w:styleId="HeadingBase">
    <w:name w:val="Heading Base"/>
    <w:rsid w:val="00DC6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6A4"/>
    <w:pPr>
      <w:tabs>
        <w:tab w:val="right" w:leader="dot" w:pos="9072"/>
      </w:tabs>
      <w:ind w:left="567"/>
    </w:pPr>
    <w:rPr>
      <w:szCs w:val="22"/>
    </w:rPr>
  </w:style>
  <w:style w:type="paragraph" w:customStyle="1" w:styleId="TOCBase">
    <w:name w:val="TOC Base"/>
    <w:rsid w:val="00DC6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6A4"/>
    <w:pPr>
      <w:tabs>
        <w:tab w:val="right" w:leader="dot" w:pos="9072"/>
      </w:tabs>
      <w:spacing w:before="40" w:after="40"/>
      <w:ind w:left="284"/>
    </w:pPr>
    <w:rPr>
      <w:rFonts w:ascii="Times New Roman" w:hAnsi="Times New Roman"/>
    </w:rPr>
  </w:style>
  <w:style w:type="paragraph" w:styleId="TOC1">
    <w:name w:val="toc 1"/>
    <w:basedOn w:val="TOCBase"/>
    <w:next w:val="Normal"/>
    <w:rsid w:val="00DC6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6A4"/>
    <w:rPr>
      <w:rFonts w:ascii="Times New Roman" w:eastAsia="Times New Roman" w:hAnsi="Times New Roman" w:cs="Times New Roman"/>
      <w:sz w:val="16"/>
      <w:lang w:eastAsia="en-US"/>
    </w:rPr>
  </w:style>
  <w:style w:type="paragraph" w:styleId="Title">
    <w:name w:val="Title"/>
    <w:basedOn w:val="HeadingBase"/>
    <w:link w:val="TitleChar"/>
    <w:qFormat/>
    <w:rsid w:val="00DC66A4"/>
    <w:pPr>
      <w:spacing w:before="5040"/>
      <w:jc w:val="center"/>
    </w:pPr>
    <w:rPr>
      <w:sz w:val="48"/>
      <w:szCs w:val="72"/>
      <w:lang w:val="en-US"/>
    </w:rPr>
  </w:style>
  <w:style w:type="character" w:customStyle="1" w:styleId="TitleChar">
    <w:name w:val="Title Char"/>
    <w:basedOn w:val="DefaultParagraphFont"/>
    <w:link w:val="Title"/>
    <w:rsid w:val="00DC6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6A4"/>
    <w:pPr>
      <w:tabs>
        <w:tab w:val="left" w:pos="3600"/>
        <w:tab w:val="left" w:pos="3958"/>
      </w:tabs>
    </w:pPr>
  </w:style>
  <w:style w:type="paragraph" w:styleId="List">
    <w:name w:val="List"/>
    <w:basedOn w:val="BodyText"/>
    <w:next w:val="BodyText"/>
    <w:rsid w:val="00DC66A4"/>
    <w:pPr>
      <w:tabs>
        <w:tab w:val="left" w:pos="340"/>
      </w:tabs>
      <w:spacing w:before="60" w:after="60"/>
      <w:ind w:left="340" w:hanging="340"/>
    </w:pPr>
  </w:style>
  <w:style w:type="paragraph" w:customStyle="1" w:styleId="Note">
    <w:name w:val="Note"/>
    <w:basedOn w:val="BodyText"/>
    <w:rsid w:val="00DC66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66A4"/>
    <w:rPr>
      <w:b/>
      <w:spacing w:val="0"/>
    </w:rPr>
  </w:style>
  <w:style w:type="paragraph" w:customStyle="1" w:styleId="SuperTitle">
    <w:name w:val="SuperTitle"/>
    <w:basedOn w:val="Title"/>
    <w:rsid w:val="00DC66A4"/>
    <w:pPr>
      <w:framePr w:wrap="auto" w:hAnchor="text" w:y="6049"/>
    </w:pPr>
    <w:rPr>
      <w:color w:val="000000"/>
      <w:sz w:val="40"/>
    </w:rPr>
  </w:style>
  <w:style w:type="paragraph" w:customStyle="1" w:styleId="TOCTitle">
    <w:name w:val="TOCTitle"/>
    <w:basedOn w:val="Heading1"/>
    <w:rsid w:val="00DC66A4"/>
    <w:pPr>
      <w:spacing w:after="240"/>
      <w:jc w:val="center"/>
      <w:outlineLvl w:val="9"/>
    </w:pPr>
    <w:rPr>
      <w:caps/>
    </w:rPr>
  </w:style>
  <w:style w:type="paragraph" w:customStyle="1" w:styleId="Version">
    <w:name w:val="Version"/>
    <w:rsid w:val="00DC66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6A4"/>
    <w:pPr>
      <w:keepNext w:val="0"/>
      <w:tabs>
        <w:tab w:val="right" w:pos="4176"/>
      </w:tabs>
      <w:ind w:left="198" w:hanging="198"/>
    </w:pPr>
    <w:rPr>
      <w:rFonts w:ascii="Garamond" w:hAnsi="Garamond"/>
    </w:rPr>
  </w:style>
  <w:style w:type="paragraph" w:styleId="IndexHeading">
    <w:name w:val="index heading"/>
    <w:basedOn w:val="Normal"/>
    <w:next w:val="Index1"/>
    <w:semiHidden/>
    <w:rsid w:val="00DC66A4"/>
    <w:pPr>
      <w:spacing w:before="120" w:after="120"/>
    </w:pPr>
    <w:rPr>
      <w:rFonts w:ascii="Arial" w:hAnsi="Arial"/>
      <w:b/>
      <w:color w:val="918585"/>
      <w:sz w:val="24"/>
    </w:rPr>
  </w:style>
  <w:style w:type="paragraph" w:styleId="Header">
    <w:name w:val="header"/>
    <w:basedOn w:val="Normal"/>
    <w:link w:val="HeaderChar"/>
    <w:rsid w:val="00DC6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6A4"/>
    <w:rPr>
      <w:rFonts w:ascii="Times New Roman" w:eastAsia="Times New Roman" w:hAnsi="Times New Roman" w:cs="Times New Roman"/>
      <w:sz w:val="16"/>
      <w:szCs w:val="20"/>
      <w:lang w:val="en-GB" w:eastAsia="en-US"/>
    </w:rPr>
  </w:style>
  <w:style w:type="paragraph" w:customStyle="1" w:styleId="Chapter">
    <w:name w:val="Chapter"/>
    <w:basedOn w:val="Normal"/>
    <w:rsid w:val="00DC66A4"/>
    <w:pPr>
      <w:spacing w:before="240"/>
    </w:pPr>
    <w:rPr>
      <w:rFonts w:ascii="Times New Roman" w:hAnsi="Times New Roman"/>
      <w:smallCaps/>
      <w:spacing w:val="80"/>
      <w:sz w:val="28"/>
    </w:rPr>
  </w:style>
  <w:style w:type="paragraph" w:customStyle="1" w:styleId="InChapter">
    <w:name w:val="InChapter"/>
    <w:basedOn w:val="Heading3"/>
    <w:rsid w:val="00DC66A4"/>
    <w:pPr>
      <w:spacing w:after="240"/>
      <w:outlineLvl w:val="9"/>
    </w:pPr>
    <w:rPr>
      <w:noProof/>
    </w:rPr>
  </w:style>
  <w:style w:type="paragraph" w:styleId="Index2">
    <w:name w:val="index 2"/>
    <w:basedOn w:val="Normal"/>
    <w:next w:val="Normal"/>
    <w:semiHidden/>
    <w:rsid w:val="00DC66A4"/>
    <w:pPr>
      <w:tabs>
        <w:tab w:val="right" w:pos="4176"/>
      </w:tabs>
      <w:ind w:left="568" w:hanging="284"/>
    </w:pPr>
    <w:rPr>
      <w:rFonts w:ascii="Garamond" w:hAnsi="Garamond"/>
    </w:rPr>
  </w:style>
  <w:style w:type="paragraph" w:customStyle="1" w:styleId="Byline">
    <w:name w:val="Byline"/>
    <w:rsid w:val="00DC6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6A4"/>
    <w:pPr>
      <w:tabs>
        <w:tab w:val="clear" w:pos="3600"/>
        <w:tab w:val="clear" w:pos="3958"/>
      </w:tabs>
      <w:jc w:val="right"/>
    </w:pPr>
  </w:style>
  <w:style w:type="paragraph" w:styleId="Caption">
    <w:name w:val="caption"/>
    <w:basedOn w:val="BodyText"/>
    <w:next w:val="Normal"/>
    <w:qFormat/>
    <w:rsid w:val="00DC66A4"/>
    <w:pPr>
      <w:framePr w:w="2268" w:hSpace="181" w:vSpace="181" w:wrap="around" w:vAnchor="text" w:hAnchor="page" w:x="1135" w:y="285" w:anchorLock="1"/>
    </w:pPr>
    <w:rPr>
      <w:i/>
    </w:rPr>
  </w:style>
  <w:style w:type="paragraph" w:customStyle="1" w:styleId="MiniTOCTitle">
    <w:name w:val="MiniTOCTitle"/>
    <w:basedOn w:val="Heading4"/>
    <w:rsid w:val="00DC66A4"/>
    <w:pPr>
      <w:spacing w:before="240"/>
      <w:outlineLvl w:val="9"/>
    </w:pPr>
    <w:rPr>
      <w:noProof/>
      <w:sz w:val="24"/>
    </w:rPr>
  </w:style>
  <w:style w:type="paragraph" w:customStyle="1" w:styleId="MiniTOCItem">
    <w:name w:val="MiniTOCItem"/>
    <w:basedOn w:val="ListBullet"/>
    <w:rsid w:val="00DC66A4"/>
    <w:pPr>
      <w:numPr>
        <w:numId w:val="0"/>
      </w:numPr>
      <w:tabs>
        <w:tab w:val="right" w:leader="dot" w:pos="6521"/>
      </w:tabs>
      <w:spacing w:before="0" w:after="0"/>
    </w:pPr>
  </w:style>
  <w:style w:type="paragraph" w:customStyle="1" w:styleId="TOFTitle">
    <w:name w:val="TOFTitle"/>
    <w:basedOn w:val="TOCTitle"/>
    <w:rsid w:val="00DC66A4"/>
  </w:style>
  <w:style w:type="paragraph" w:styleId="TableofFigures">
    <w:name w:val="table of figures"/>
    <w:basedOn w:val="Normal"/>
    <w:next w:val="Normal"/>
    <w:semiHidden/>
    <w:rsid w:val="00DC66A4"/>
    <w:pPr>
      <w:tabs>
        <w:tab w:val="right" w:leader="dot" w:pos="9072"/>
      </w:tabs>
      <w:ind w:left="970" w:hanging="403"/>
    </w:pPr>
    <w:rPr>
      <w:rFonts w:ascii="Times New Roman" w:hAnsi="Times New Roman"/>
      <w:b/>
    </w:rPr>
  </w:style>
  <w:style w:type="paragraph" w:styleId="ListNumber">
    <w:name w:val="List Number"/>
    <w:basedOn w:val="List"/>
    <w:rsid w:val="00DC66A4"/>
    <w:pPr>
      <w:numPr>
        <w:numId w:val="15"/>
      </w:numPr>
      <w:tabs>
        <w:tab w:val="clear" w:pos="340"/>
      </w:tabs>
    </w:pPr>
  </w:style>
  <w:style w:type="character" w:customStyle="1" w:styleId="WingdingSymbols">
    <w:name w:val="Wingding Symbols"/>
    <w:rsid w:val="00DC66A4"/>
    <w:rPr>
      <w:rFonts w:ascii="Wingdings" w:hAnsi="Wingdings"/>
    </w:rPr>
  </w:style>
  <w:style w:type="paragraph" w:customStyle="1" w:styleId="TableHeading">
    <w:name w:val="Table Heading"/>
    <w:basedOn w:val="HeadingBase"/>
    <w:rsid w:val="00DC66A4"/>
    <w:pPr>
      <w:keepLines/>
      <w:pBdr>
        <w:bottom w:val="single" w:sz="6" w:space="1" w:color="918585"/>
      </w:pBdr>
      <w:spacing w:before="240"/>
    </w:pPr>
  </w:style>
  <w:style w:type="character" w:customStyle="1" w:styleId="HotSpot">
    <w:name w:val="HotSpot"/>
    <w:rsid w:val="00DC66A4"/>
    <w:rPr>
      <w:color w:val="0033CC"/>
      <w:u w:val="none"/>
    </w:rPr>
  </w:style>
  <w:style w:type="paragraph" w:customStyle="1" w:styleId="BodyTextRight">
    <w:name w:val="Body Text Right"/>
    <w:basedOn w:val="BodyText"/>
    <w:rsid w:val="00DC66A4"/>
    <w:pPr>
      <w:spacing w:before="0" w:after="0"/>
      <w:jc w:val="right"/>
    </w:pPr>
  </w:style>
  <w:style w:type="paragraph" w:styleId="Index3">
    <w:name w:val="index 3"/>
    <w:basedOn w:val="ListNumber2"/>
    <w:next w:val="Normal"/>
    <w:semiHidden/>
    <w:rsid w:val="00DC66A4"/>
    <w:pPr>
      <w:numPr>
        <w:numId w:val="0"/>
      </w:numPr>
      <w:tabs>
        <w:tab w:val="right" w:leader="dot" w:pos="4176"/>
      </w:tabs>
    </w:pPr>
  </w:style>
  <w:style w:type="paragraph" w:styleId="ListNumber2">
    <w:name w:val="List Number 2"/>
    <w:basedOn w:val="List2"/>
    <w:rsid w:val="00DC66A4"/>
    <w:pPr>
      <w:numPr>
        <w:numId w:val="10"/>
      </w:numPr>
      <w:tabs>
        <w:tab w:val="clear" w:pos="1060"/>
      </w:tabs>
    </w:pPr>
  </w:style>
  <w:style w:type="paragraph" w:customStyle="1" w:styleId="MarginNote">
    <w:name w:val="Margin Note"/>
    <w:basedOn w:val="BodyText"/>
    <w:rsid w:val="00DC6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6A4"/>
    <w:rPr>
      <w:sz w:val="32"/>
    </w:rPr>
  </w:style>
  <w:style w:type="paragraph" w:customStyle="1" w:styleId="HeadingProcedure">
    <w:name w:val="Heading Procedure"/>
    <w:basedOn w:val="HeadingBase"/>
    <w:next w:val="Normal"/>
    <w:rsid w:val="00DC66A4"/>
    <w:pPr>
      <w:tabs>
        <w:tab w:val="left" w:pos="0"/>
      </w:tabs>
      <w:spacing w:before="120" w:after="60"/>
    </w:pPr>
    <w:rPr>
      <w:i/>
      <w:color w:val="918585"/>
      <w:sz w:val="22"/>
    </w:rPr>
  </w:style>
  <w:style w:type="paragraph" w:customStyle="1" w:styleId="TableBodyText">
    <w:name w:val="Table Body Text"/>
    <w:basedOn w:val="BodyText"/>
    <w:rsid w:val="00DC66A4"/>
    <w:pPr>
      <w:spacing w:before="60" w:after="60"/>
    </w:pPr>
  </w:style>
  <w:style w:type="paragraph" w:styleId="ListContinue">
    <w:name w:val="List Continue"/>
    <w:basedOn w:val="List"/>
    <w:rsid w:val="00DC66A4"/>
    <w:pPr>
      <w:ind w:firstLine="0"/>
    </w:pPr>
  </w:style>
  <w:style w:type="paragraph" w:customStyle="1" w:styleId="ListNote">
    <w:name w:val="List Note"/>
    <w:basedOn w:val="List"/>
    <w:rsid w:val="00DC66A4"/>
    <w:pPr>
      <w:pBdr>
        <w:top w:val="single" w:sz="6" w:space="2" w:color="918585"/>
        <w:bottom w:val="single" w:sz="6" w:space="2" w:color="918585"/>
      </w:pBdr>
      <w:tabs>
        <w:tab w:val="left" w:pos="1021"/>
      </w:tabs>
      <w:ind w:firstLine="0"/>
    </w:pPr>
  </w:style>
  <w:style w:type="paragraph" w:customStyle="1" w:styleId="Warning">
    <w:name w:val="Warning"/>
    <w:basedOn w:val="BodyText"/>
    <w:rsid w:val="00DC66A4"/>
    <w:pPr>
      <w:shd w:val="clear" w:color="auto" w:fill="D9D9D9"/>
      <w:tabs>
        <w:tab w:val="left" w:pos="992"/>
      </w:tabs>
      <w:ind w:left="119" w:right="119"/>
    </w:pPr>
    <w:rPr>
      <w:sz w:val="20"/>
    </w:rPr>
  </w:style>
  <w:style w:type="paragraph" w:customStyle="1" w:styleId="MarginIcons">
    <w:name w:val="Margin Icons"/>
    <w:basedOn w:val="BodyText"/>
    <w:rsid w:val="00DC6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6A4"/>
    <w:rPr>
      <w:rFonts w:ascii="Courier New" w:hAnsi="Courier New"/>
    </w:rPr>
  </w:style>
  <w:style w:type="paragraph" w:customStyle="1" w:styleId="NoteBullet">
    <w:name w:val="Note Bullet"/>
    <w:basedOn w:val="Note"/>
    <w:rsid w:val="00DC66A4"/>
    <w:pPr>
      <w:tabs>
        <w:tab w:val="clear" w:pos="680"/>
      </w:tabs>
      <w:spacing w:before="60" w:after="60"/>
    </w:pPr>
  </w:style>
  <w:style w:type="paragraph" w:customStyle="1" w:styleId="SubHeading2">
    <w:name w:val="SubHeading2"/>
    <w:basedOn w:val="HeadingBase"/>
    <w:rsid w:val="00DC66A4"/>
    <w:pPr>
      <w:spacing w:before="240" w:after="60"/>
    </w:pPr>
    <w:rPr>
      <w:sz w:val="20"/>
    </w:rPr>
  </w:style>
  <w:style w:type="paragraph" w:customStyle="1" w:styleId="SubHeading1">
    <w:name w:val="SubHeading1"/>
    <w:basedOn w:val="HeadingBase"/>
    <w:rsid w:val="00DC66A4"/>
    <w:pPr>
      <w:spacing w:before="240" w:after="60"/>
    </w:pPr>
    <w:rPr>
      <w:color w:val="918585"/>
      <w:sz w:val="22"/>
    </w:rPr>
  </w:style>
  <w:style w:type="paragraph" w:customStyle="1" w:styleId="SideHeading">
    <w:name w:val="Side Heading"/>
    <w:basedOn w:val="HeadingBase"/>
    <w:rsid w:val="00DC6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6A4"/>
    <w:pPr>
      <w:tabs>
        <w:tab w:val="num" w:pos="360"/>
      </w:tabs>
    </w:pPr>
  </w:style>
  <w:style w:type="paragraph" w:styleId="PlainText">
    <w:name w:val="Plain Text"/>
    <w:basedOn w:val="Normal"/>
    <w:link w:val="PlainTextChar"/>
    <w:rsid w:val="00DC66A4"/>
    <w:rPr>
      <w:sz w:val="20"/>
    </w:rPr>
  </w:style>
  <w:style w:type="character" w:customStyle="1" w:styleId="PlainTextChar">
    <w:name w:val="Plain Text Char"/>
    <w:basedOn w:val="DefaultParagraphFont"/>
    <w:link w:val="PlainText"/>
    <w:rsid w:val="00DC66A4"/>
    <w:rPr>
      <w:rFonts w:ascii="Courier New" w:eastAsia="Times New Roman" w:hAnsi="Courier New" w:cs="Times New Roman"/>
      <w:sz w:val="20"/>
      <w:szCs w:val="20"/>
      <w:lang w:eastAsia="en-US"/>
    </w:rPr>
  </w:style>
  <w:style w:type="character" w:customStyle="1" w:styleId="MenuOption">
    <w:name w:val="Menu Option"/>
    <w:basedOn w:val="DefaultParagraphFont"/>
    <w:rsid w:val="00DC66A4"/>
    <w:rPr>
      <w:b/>
      <w:smallCaps/>
    </w:rPr>
  </w:style>
  <w:style w:type="paragraph" w:customStyle="1" w:styleId="TableListNumber">
    <w:name w:val="Table List Number"/>
    <w:basedOn w:val="ListNumber"/>
    <w:rsid w:val="00DC66A4"/>
    <w:pPr>
      <w:numPr>
        <w:numId w:val="0"/>
      </w:numPr>
    </w:pPr>
  </w:style>
  <w:style w:type="paragraph" w:styleId="TOC4">
    <w:name w:val="toc 4"/>
    <w:basedOn w:val="TOCBase"/>
    <w:next w:val="Normal"/>
    <w:semiHidden/>
    <w:rsid w:val="00DC66A4"/>
    <w:pPr>
      <w:tabs>
        <w:tab w:val="right" w:leader="dot" w:pos="9071"/>
      </w:tabs>
      <w:ind w:left="1701"/>
    </w:pPr>
  </w:style>
  <w:style w:type="paragraph" w:customStyle="1" w:styleId="ListAlpha">
    <w:name w:val="List Alpha"/>
    <w:basedOn w:val="List"/>
    <w:rsid w:val="00DC66A4"/>
    <w:pPr>
      <w:numPr>
        <w:numId w:val="9"/>
      </w:numPr>
    </w:pPr>
  </w:style>
  <w:style w:type="paragraph" w:customStyle="1" w:styleId="ListAlpha2">
    <w:name w:val="List Alpha 2"/>
    <w:basedOn w:val="List2"/>
    <w:rsid w:val="00DC66A4"/>
    <w:pPr>
      <w:numPr>
        <w:numId w:val="8"/>
      </w:numPr>
    </w:pPr>
  </w:style>
  <w:style w:type="paragraph" w:styleId="List2">
    <w:name w:val="List 2"/>
    <w:basedOn w:val="BodyText"/>
    <w:rsid w:val="00DC66A4"/>
    <w:pPr>
      <w:tabs>
        <w:tab w:val="left" w:pos="680"/>
      </w:tabs>
      <w:spacing w:before="60" w:after="60"/>
      <w:ind w:left="680" w:hanging="340"/>
    </w:pPr>
  </w:style>
  <w:style w:type="paragraph" w:styleId="List3">
    <w:name w:val="List 3"/>
    <w:basedOn w:val="BodyText"/>
    <w:rsid w:val="00DC66A4"/>
    <w:pPr>
      <w:tabs>
        <w:tab w:val="left" w:pos="1021"/>
      </w:tabs>
      <w:spacing w:before="60" w:after="60"/>
      <w:ind w:left="1020" w:hanging="340"/>
    </w:pPr>
  </w:style>
  <w:style w:type="paragraph" w:styleId="List4">
    <w:name w:val="List 4"/>
    <w:basedOn w:val="BodyText"/>
    <w:rsid w:val="00DC66A4"/>
    <w:pPr>
      <w:tabs>
        <w:tab w:val="left" w:pos="1361"/>
      </w:tabs>
      <w:spacing w:before="60" w:after="60"/>
      <w:ind w:left="1361" w:hanging="340"/>
    </w:pPr>
  </w:style>
  <w:style w:type="paragraph" w:styleId="List5">
    <w:name w:val="List 5"/>
    <w:basedOn w:val="BodyText"/>
    <w:rsid w:val="00DC66A4"/>
    <w:pPr>
      <w:tabs>
        <w:tab w:val="left" w:pos="1701"/>
      </w:tabs>
      <w:spacing w:before="60" w:after="60"/>
      <w:ind w:left="1701" w:hanging="340"/>
    </w:pPr>
  </w:style>
  <w:style w:type="paragraph" w:styleId="ListBullet3">
    <w:name w:val="List Bullet 3"/>
    <w:basedOn w:val="List3"/>
    <w:rsid w:val="00DC66A4"/>
    <w:pPr>
      <w:numPr>
        <w:numId w:val="14"/>
      </w:numPr>
      <w:tabs>
        <w:tab w:val="clear" w:pos="1021"/>
      </w:tabs>
      <w:ind w:left="1037" w:hanging="357"/>
    </w:pPr>
  </w:style>
  <w:style w:type="paragraph" w:styleId="ListBullet4">
    <w:name w:val="List Bullet 4"/>
    <w:basedOn w:val="List4"/>
    <w:rsid w:val="00DC66A4"/>
    <w:pPr>
      <w:numPr>
        <w:numId w:val="3"/>
      </w:numPr>
      <w:tabs>
        <w:tab w:val="clear" w:pos="1361"/>
      </w:tabs>
    </w:pPr>
  </w:style>
  <w:style w:type="paragraph" w:styleId="ListBullet5">
    <w:name w:val="List Bullet 5"/>
    <w:basedOn w:val="List5"/>
    <w:rsid w:val="00DC66A4"/>
    <w:pPr>
      <w:numPr>
        <w:numId w:val="4"/>
      </w:numPr>
    </w:pPr>
  </w:style>
  <w:style w:type="paragraph" w:styleId="ListContinue2">
    <w:name w:val="List Continue 2"/>
    <w:basedOn w:val="List2"/>
    <w:rsid w:val="00DC66A4"/>
    <w:pPr>
      <w:ind w:firstLine="0"/>
    </w:pPr>
  </w:style>
  <w:style w:type="paragraph" w:styleId="ListContinue3">
    <w:name w:val="List Continue 3"/>
    <w:basedOn w:val="List3"/>
    <w:rsid w:val="00DC66A4"/>
    <w:pPr>
      <w:ind w:left="1021" w:firstLine="0"/>
    </w:pPr>
  </w:style>
  <w:style w:type="paragraph" w:styleId="ListContinue4">
    <w:name w:val="List Continue 4"/>
    <w:basedOn w:val="List4"/>
    <w:rsid w:val="00DC66A4"/>
    <w:pPr>
      <w:ind w:firstLine="0"/>
    </w:pPr>
  </w:style>
  <w:style w:type="paragraph" w:styleId="ListContinue5">
    <w:name w:val="List Continue 5"/>
    <w:basedOn w:val="List5"/>
    <w:rsid w:val="00DC66A4"/>
    <w:pPr>
      <w:ind w:firstLine="0"/>
    </w:pPr>
  </w:style>
  <w:style w:type="paragraph" w:styleId="ListNumber3">
    <w:name w:val="List Number 3"/>
    <w:basedOn w:val="List3"/>
    <w:rsid w:val="00DC66A4"/>
    <w:pPr>
      <w:numPr>
        <w:numId w:val="5"/>
      </w:numPr>
    </w:pPr>
  </w:style>
  <w:style w:type="paragraph" w:styleId="ListNumber4">
    <w:name w:val="List Number 4"/>
    <w:basedOn w:val="List4"/>
    <w:rsid w:val="00DC66A4"/>
    <w:pPr>
      <w:numPr>
        <w:numId w:val="6"/>
      </w:numPr>
    </w:pPr>
  </w:style>
  <w:style w:type="paragraph" w:styleId="ListNumber5">
    <w:name w:val="List Number 5"/>
    <w:basedOn w:val="List5"/>
    <w:rsid w:val="00DC66A4"/>
    <w:pPr>
      <w:numPr>
        <w:numId w:val="7"/>
      </w:numPr>
    </w:pPr>
  </w:style>
  <w:style w:type="paragraph" w:styleId="BlockText">
    <w:name w:val="Block Text"/>
    <w:basedOn w:val="Normal"/>
    <w:rsid w:val="00DC66A4"/>
    <w:pPr>
      <w:spacing w:after="120"/>
      <w:ind w:left="1440" w:right="1440"/>
    </w:pPr>
  </w:style>
  <w:style w:type="character" w:customStyle="1" w:styleId="Subscript">
    <w:name w:val="Subscript"/>
    <w:basedOn w:val="DefaultParagraphFont"/>
    <w:rsid w:val="00DC66A4"/>
    <w:rPr>
      <w:sz w:val="16"/>
      <w:vertAlign w:val="subscript"/>
    </w:rPr>
  </w:style>
  <w:style w:type="character" w:customStyle="1" w:styleId="Superscript">
    <w:name w:val="Superscript"/>
    <w:basedOn w:val="DefaultParagraphFont"/>
    <w:rsid w:val="00DC66A4"/>
    <w:rPr>
      <w:sz w:val="16"/>
      <w:vertAlign w:val="superscript"/>
    </w:rPr>
  </w:style>
  <w:style w:type="character" w:customStyle="1" w:styleId="Symbols">
    <w:name w:val="Symbols"/>
    <w:basedOn w:val="DefaultParagraphFont"/>
    <w:rsid w:val="00DC66A4"/>
    <w:rPr>
      <w:rFonts w:ascii="Symbol" w:hAnsi="Symbol"/>
    </w:rPr>
  </w:style>
  <w:style w:type="character" w:customStyle="1" w:styleId="MenuOptions">
    <w:name w:val="Menu Options"/>
    <w:basedOn w:val="DefaultParagraphFont"/>
    <w:rsid w:val="00DC66A4"/>
    <w:rPr>
      <w:rFonts w:ascii="Arial Narrow" w:hAnsi="Arial Narrow"/>
      <w:smallCaps/>
    </w:rPr>
  </w:style>
  <w:style w:type="character" w:customStyle="1" w:styleId="Buttons">
    <w:name w:val="Buttons"/>
    <w:basedOn w:val="DefaultParagraphFont"/>
    <w:rsid w:val="00DC66A4"/>
    <w:rPr>
      <w:b/>
    </w:rPr>
  </w:style>
  <w:style w:type="character" w:customStyle="1" w:styleId="Underlined">
    <w:name w:val="Underlined"/>
    <w:basedOn w:val="DefaultParagraphFont"/>
    <w:rsid w:val="00DC66A4"/>
    <w:rPr>
      <w:u w:val="single"/>
    </w:rPr>
  </w:style>
  <w:style w:type="paragraph" w:customStyle="1" w:styleId="TableBodyTextRight">
    <w:name w:val="Table Body Text Right"/>
    <w:basedOn w:val="TableBodyText"/>
    <w:rsid w:val="00DC66A4"/>
    <w:pPr>
      <w:widowControl w:val="0"/>
      <w:autoSpaceDE w:val="0"/>
      <w:autoSpaceDN w:val="0"/>
      <w:adjustRightInd w:val="0"/>
      <w:jc w:val="right"/>
    </w:pPr>
    <w:rPr>
      <w:rFonts w:cs="Arial"/>
      <w:szCs w:val="18"/>
    </w:rPr>
  </w:style>
  <w:style w:type="paragraph" w:customStyle="1" w:styleId="CopyrightText">
    <w:name w:val="Copyright Text"/>
    <w:basedOn w:val="BodyText"/>
    <w:rsid w:val="00DC66A4"/>
    <w:rPr>
      <w:sz w:val="18"/>
    </w:rPr>
  </w:style>
  <w:style w:type="paragraph" w:customStyle="1" w:styleId="BodySmallRight">
    <w:name w:val="Body Small Right"/>
    <w:basedOn w:val="BodyTextRight"/>
    <w:rsid w:val="00DC66A4"/>
    <w:rPr>
      <w:sz w:val="18"/>
      <w:szCs w:val="18"/>
    </w:rPr>
  </w:style>
  <w:style w:type="paragraph" w:customStyle="1" w:styleId="MarginEdition">
    <w:name w:val="Margin Edition"/>
    <w:basedOn w:val="MarginNote"/>
    <w:rsid w:val="00DC66A4"/>
    <w:pPr>
      <w:spacing w:before="0" w:after="0"/>
    </w:pPr>
    <w:rPr>
      <w:rFonts w:ascii="Times New Roman" w:hAnsi="Times New Roman"/>
      <w:color w:val="999999"/>
    </w:rPr>
  </w:style>
  <w:style w:type="paragraph" w:customStyle="1" w:styleId="Spacer">
    <w:name w:val="Spacer"/>
    <w:basedOn w:val="Normal"/>
    <w:rsid w:val="00DC66A4"/>
    <w:rPr>
      <w:sz w:val="2"/>
      <w:szCs w:val="2"/>
    </w:rPr>
  </w:style>
  <w:style w:type="character" w:customStyle="1" w:styleId="Small">
    <w:name w:val="Small"/>
    <w:basedOn w:val="DefaultParagraphFont"/>
    <w:rsid w:val="00DC66A4"/>
    <w:rPr>
      <w:sz w:val="16"/>
    </w:rPr>
  </w:style>
  <w:style w:type="paragraph" w:customStyle="1" w:styleId="WideTable">
    <w:name w:val="Wide Table"/>
    <w:basedOn w:val="Normal"/>
    <w:rsid w:val="00DC66A4"/>
    <w:pPr>
      <w:ind w:left="-1418"/>
    </w:pPr>
    <w:rPr>
      <w:sz w:val="2"/>
      <w:szCs w:val="2"/>
    </w:rPr>
  </w:style>
  <w:style w:type="character" w:styleId="PageNumber">
    <w:name w:val="page number"/>
    <w:basedOn w:val="DefaultParagraphFont"/>
    <w:rsid w:val="00DC66A4"/>
  </w:style>
  <w:style w:type="paragraph" w:styleId="Quote">
    <w:name w:val="Quote"/>
    <w:basedOn w:val="Heading1"/>
    <w:link w:val="QuoteChar"/>
    <w:qFormat/>
    <w:rsid w:val="00DC66A4"/>
    <w:rPr>
      <w:b w:val="0"/>
      <w:sz w:val="72"/>
      <w:szCs w:val="72"/>
      <w:lang w:val="en-NZ"/>
    </w:rPr>
  </w:style>
  <w:style w:type="character" w:customStyle="1" w:styleId="QuoteChar">
    <w:name w:val="Quote Char"/>
    <w:basedOn w:val="DefaultParagraphFont"/>
    <w:link w:val="Quote"/>
    <w:rsid w:val="00DC6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6A4"/>
    <w:pPr>
      <w:pageBreakBefore/>
    </w:pPr>
  </w:style>
  <w:style w:type="paragraph" w:customStyle="1" w:styleId="Border">
    <w:name w:val="Border"/>
    <w:basedOn w:val="Normal"/>
    <w:qFormat/>
    <w:rsid w:val="00DC6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6A4"/>
    <w:rPr>
      <w:b/>
      <w:bCs/>
      <w:i/>
      <w:iCs/>
      <w:color w:val="auto"/>
    </w:rPr>
  </w:style>
  <w:style w:type="paragraph" w:styleId="IntenseQuote">
    <w:name w:val="Intense Quote"/>
    <w:basedOn w:val="Normal"/>
    <w:next w:val="Normal"/>
    <w:link w:val="IntenseQuoteChar"/>
    <w:uiPriority w:val="30"/>
    <w:qFormat/>
    <w:rsid w:val="00DC6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6A4"/>
    <w:rPr>
      <w:smallCaps/>
      <w:color w:val="auto"/>
      <w:u w:val="single"/>
    </w:rPr>
  </w:style>
  <w:style w:type="character" w:styleId="IntenseReference">
    <w:name w:val="Intense Reference"/>
    <w:basedOn w:val="DefaultParagraphFont"/>
    <w:uiPriority w:val="32"/>
    <w:qFormat/>
    <w:rsid w:val="00DC66A4"/>
    <w:rPr>
      <w:b/>
      <w:bCs/>
      <w:smallCaps/>
      <w:color w:val="auto"/>
      <w:spacing w:val="5"/>
      <w:u w:val="single"/>
    </w:rPr>
  </w:style>
  <w:style w:type="paragraph" w:customStyle="1" w:styleId="2ColumnHeading">
    <w:name w:val="2Column Heading"/>
    <w:basedOn w:val="BodyText"/>
    <w:qFormat/>
    <w:rsid w:val="00DC66A4"/>
    <w:pPr>
      <w:spacing w:after="60"/>
      <w:ind w:left="-2268"/>
    </w:pPr>
    <w:rPr>
      <w:b/>
    </w:rPr>
  </w:style>
  <w:style w:type="paragraph" w:customStyle="1" w:styleId="Heading1TOC">
    <w:name w:val="Heading1 TOC"/>
    <w:basedOn w:val="Normal"/>
    <w:qFormat/>
    <w:rsid w:val="00DC66A4"/>
    <w:pPr>
      <w:spacing w:before="240" w:after="120"/>
    </w:pPr>
    <w:rPr>
      <w:rFonts w:ascii="Times New Roman" w:hAnsi="Times New Roman"/>
      <w:b/>
      <w:sz w:val="32"/>
    </w:rPr>
  </w:style>
  <w:style w:type="paragraph" w:customStyle="1" w:styleId="Heading2TOC">
    <w:name w:val="Heading2 TOC"/>
    <w:basedOn w:val="Normal"/>
    <w:qFormat/>
    <w:rsid w:val="00DC66A4"/>
    <w:pPr>
      <w:spacing w:before="240" w:after="60"/>
    </w:pPr>
    <w:rPr>
      <w:rFonts w:ascii="Times New Roman" w:hAnsi="Times New Roman"/>
      <w:b/>
      <w:sz w:val="28"/>
    </w:rPr>
  </w:style>
  <w:style w:type="character" w:customStyle="1" w:styleId="Underline">
    <w:name w:val="Underline"/>
    <w:basedOn w:val="DefaultParagraphFont"/>
    <w:qFormat/>
    <w:rsid w:val="00DC66A4"/>
    <w:rPr>
      <w:u w:val="single"/>
    </w:rPr>
  </w:style>
  <w:style w:type="character" w:customStyle="1" w:styleId="BoldandItalics">
    <w:name w:val="Bold and Italics"/>
    <w:qFormat/>
    <w:rsid w:val="00DC66A4"/>
    <w:rPr>
      <w:b/>
      <w:i/>
      <w:u w:val="none"/>
    </w:rPr>
  </w:style>
  <w:style w:type="paragraph" w:styleId="BalloonText">
    <w:name w:val="Balloon Text"/>
    <w:basedOn w:val="Normal"/>
    <w:link w:val="BalloonTextChar"/>
    <w:rsid w:val="00DC66A4"/>
    <w:rPr>
      <w:rFonts w:ascii="Tahoma" w:hAnsi="Tahoma" w:cs="Tahoma"/>
      <w:sz w:val="16"/>
      <w:szCs w:val="16"/>
    </w:rPr>
  </w:style>
  <w:style w:type="character" w:customStyle="1" w:styleId="BalloonTextChar">
    <w:name w:val="Balloon Text Char"/>
    <w:basedOn w:val="DefaultParagraphFont"/>
    <w:link w:val="BalloonText"/>
    <w:rsid w:val="00DC6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6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6A4"/>
    <w:rPr>
      <w:b/>
      <w:color w:val="660033"/>
      <w:spacing w:val="0"/>
    </w:rPr>
  </w:style>
  <w:style w:type="paragraph" w:customStyle="1" w:styleId="Nameditemlist">
    <w:name w:val="Named item list"/>
    <w:basedOn w:val="BodyText"/>
    <w:qFormat/>
    <w:rsid w:val="00DC66A4"/>
    <w:pPr>
      <w:tabs>
        <w:tab w:val="left" w:pos="2835"/>
      </w:tabs>
      <w:ind w:left="2835" w:hanging="2835"/>
    </w:pPr>
  </w:style>
  <w:style w:type="paragraph" w:customStyle="1" w:styleId="BodyTextnopadding">
    <w:name w:val="Body Text no padding"/>
    <w:basedOn w:val="BodyText"/>
    <w:qFormat/>
    <w:rsid w:val="00DC66A4"/>
    <w:pPr>
      <w:spacing w:before="0" w:after="0"/>
    </w:pPr>
  </w:style>
  <w:style w:type="paragraph" w:customStyle="1" w:styleId="BodyTextBold">
    <w:name w:val="Body Text Bold"/>
    <w:basedOn w:val="BodyText"/>
    <w:qFormat/>
    <w:rsid w:val="00DC66A4"/>
    <w:rPr>
      <w:b/>
    </w:rPr>
  </w:style>
  <w:style w:type="character" w:styleId="Hyperlink">
    <w:name w:val="Hyperlink"/>
    <w:basedOn w:val="DefaultParagraphFont"/>
    <w:uiPriority w:val="99"/>
    <w:unhideWhenUsed/>
    <w:rsid w:val="00F557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5814</Characters>
  <Application>Microsoft Office Word</Application>
  <DocSecurity>0</DocSecurity>
  <Lines>138</Lines>
  <Paragraphs>103</Paragraphs>
  <ScaleCrop>false</ScaleCrop>
  <Company>Author-it Software Corporation Ltd.</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MARC028 Operate deck machinery, cargo handling gear and equipment on a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2020-10-27T00:56:00Z</dcterms:created>
  <dcterms:modified xsi:type="dcterms:W3CDTF">2020-10-27T00:56:00Z</dcterms:modified>
</cp:coreProperties>
</file>