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832" w:rsidP="00317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MARC027 Contribute to the operation of engine equipment and associated propulsion plant</w:t>
      </w:r>
      <w:r>
        <w:fldChar w:fldCharType="end"/>
      </w:r>
    </w:p>
    <w:p w:rsidR="00317832" w:rsidP="00317832">
      <w:pPr>
        <w:pStyle w:val="Version"/>
        <w:sectPr w:rsidSect="00D92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C22" w:rsidP="00D92C22">
      <w:pPr>
        <w:pStyle w:val="SuperHeading"/>
      </w:pPr>
      <w:r w:rsidRPr="00D92C22">
        <w:t>MARC027 Contr</w:t>
      </w:r>
      <w:r w:rsidRPr="00D92C22">
        <w:t>ibute to the operation of engine equipment and associated propulsion plant</w:t>
      </w:r>
    </w:p>
    <w:p w:rsidR="00000000" w:rsidRPr="00D92C22" w:rsidP="00D92C22">
      <w:pPr>
        <w:pStyle w:val="Heading1"/>
      </w:pPr>
      <w:bookmarkStart w:id="1" w:name="O_845162"/>
      <w:bookmarkEnd w:id="1"/>
      <w:r w:rsidRPr="00D92C22">
        <w:t>Modification History</w:t>
      </w:r>
    </w:p>
    <w:p w:rsidR="00317832" w:rsidP="00317832">
      <w:pPr>
        <w:pStyle w:val="BodyText"/>
      </w:pPr>
      <w:r w:rsidRPr="00D92C22">
        <w:t>Release 1. New unit of competency.</w:t>
      </w:r>
    </w:p>
    <w:p w:rsidR="00000000" w:rsidRPr="00D92C22" w:rsidP="00D92C22">
      <w:pPr>
        <w:pStyle w:val="Heading1"/>
      </w:pPr>
      <w:bookmarkStart w:id="2" w:name="O_845163"/>
      <w:bookmarkEnd w:id="2"/>
      <w:r w:rsidRPr="00D92C2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92C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t>This unit involves the skills and knowledge required to contribute to the operation, monitoring and evaluation of engine performance and associated propulsion plant on a vessel.</w:t>
            </w:r>
          </w:p>
          <w:p w:rsidR="00000000" w:rsidRPr="00D92C22" w:rsidP="00D92C22">
            <w:pPr>
              <w:pStyle w:val="BodyText"/>
            </w:pPr>
            <w:r w:rsidRPr="00D92C22">
              <w:t>This unit applies to an Integrated Rating or Able Seafarer-Engine, who assists</w:t>
            </w:r>
            <w:r w:rsidRPr="00D92C22">
              <w:t xml:space="preserve"> under the direction of the officer in charge of the engineering watch, with the operation of engine equipment and associated propulsion plant as required, on a range of vessels.</w:t>
            </w:r>
          </w:p>
          <w:p w:rsidR="00000000" w:rsidRPr="00D92C22" w:rsidP="00D92C22">
            <w:pPr>
              <w:pStyle w:val="BodyText"/>
            </w:pPr>
            <w:r w:rsidRPr="00D92C22">
              <w:t>No licensing, legislative or certification requirements apply to this unit at</w:t>
            </w:r>
            <w:r w:rsidRPr="00D92C22">
              <w:t xml:space="preserve"> the time of publication.</w:t>
            </w:r>
          </w:p>
        </w:tc>
      </w:tr>
    </w:tbl>
    <w:p w:rsidR="00317832" w:rsidP="00D92C22">
      <w:pPr>
        <w:pStyle w:val="BodyText"/>
      </w:pPr>
    </w:p>
    <w:p w:rsidR="00317832" w:rsidP="00D92C22">
      <w:pPr>
        <w:pStyle w:val="BodyText"/>
      </w:pPr>
    </w:p>
    <w:p w:rsidR="00000000" w:rsidRPr="00D92C22" w:rsidP="00D92C22">
      <w:pPr>
        <w:pStyle w:val="Heading1"/>
      </w:pPr>
      <w:bookmarkStart w:id="3" w:name="O_845164"/>
      <w:bookmarkEnd w:id="3"/>
      <w:r w:rsidRPr="00D92C22">
        <w:t>Pre-requisite Unit</w:t>
      </w:r>
    </w:p>
    <w:p w:rsidR="00317832" w:rsidP="00317832">
      <w:pPr>
        <w:pStyle w:val="BodyText"/>
      </w:pPr>
      <w:r w:rsidRPr="00D92C22">
        <w:t>Not applicable.</w:t>
      </w:r>
    </w:p>
    <w:p w:rsidR="00000000" w:rsidRPr="00D92C22" w:rsidP="00D92C22">
      <w:pPr>
        <w:pStyle w:val="Heading1"/>
      </w:pPr>
      <w:bookmarkStart w:id="4" w:name="O_845165"/>
      <w:bookmarkEnd w:id="4"/>
      <w:r w:rsidRPr="00D92C22">
        <w:t>Competency Field</w:t>
      </w:r>
    </w:p>
    <w:p w:rsidR="00317832" w:rsidP="00317832">
      <w:pPr>
        <w:pStyle w:val="BodyText"/>
      </w:pPr>
      <w:r w:rsidRPr="00D92C22">
        <w:t>C – Equipment Operations</w:t>
      </w:r>
    </w:p>
    <w:p w:rsidR="00000000" w:rsidRPr="00D92C22" w:rsidP="00D92C22">
      <w:pPr>
        <w:pStyle w:val="Heading1"/>
      </w:pPr>
      <w:bookmarkStart w:id="5" w:name="O_845166"/>
      <w:bookmarkEnd w:id="5"/>
      <w:r w:rsidRPr="00D92C22">
        <w:t>Unit Sector</w:t>
      </w:r>
    </w:p>
    <w:p w:rsidR="00317832" w:rsidP="00317832">
      <w:pPr>
        <w:pStyle w:val="BodyText"/>
      </w:pPr>
      <w:r w:rsidRPr="00D92C22">
        <w:t>Not applicable.</w:t>
      </w:r>
    </w:p>
    <w:p w:rsidR="00000000" w:rsidRPr="00D92C22" w:rsidP="00D92C22">
      <w:pPr>
        <w:pStyle w:val="Heading1"/>
      </w:pPr>
      <w:bookmarkStart w:id="6" w:name="O_845167"/>
      <w:bookmarkEnd w:id="6"/>
      <w:r w:rsidRPr="00D92C2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rPr>
                <w:rStyle w:val="SpecialBold"/>
              </w:rPr>
              <w:t>PERFORMANCE CRITERIA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Performance criteria describe the performance needed to demonstrate achievement of the element.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rPr>
                <w:rStyle w:val="SpecialBold"/>
              </w:rPr>
              <w:t xml:space="preserve">Plan and prepare </w:t>
            </w:r>
            <w:r w:rsidRPr="00D92C22">
              <w:rPr>
                <w:rStyle w:val="SpecialBold"/>
              </w:rPr>
              <w:t>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 xml:space="preserve">Safety issues are identified and safe operational practices are </w:t>
            </w:r>
            <w:r w:rsidRPr="00D92C22">
              <w:t xml:space="preserve">applied to minimise risk and to control hazards 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Work requirements of engine and plant are identified from the officer in charge of the engineering watch and relevant documentation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Localised engine and pla</w:t>
            </w:r>
            <w:r w:rsidRPr="00D92C22">
              <w:t>nt inspection is carried out according to manufacturer specifications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Engine and plant operational prerequisites are established according to manufacturer specifications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Sequence of recommissioning of plant is determined to suit existing circumstances according to manufacturer specifications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rPr>
                <w:rStyle w:val="SpecialBold"/>
              </w:rPr>
              <w:t xml:space="preserve"> 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rPr>
                <w:rStyle w:val="SpecialBold"/>
              </w:rPr>
              <w:t>Operate engines and associated propulsion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Engines and plant are operated according to man</w:t>
            </w:r>
            <w:r w:rsidRPr="00D92C22">
              <w:t>ufacturer specifications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Performance of engines and plant is monitored to detect deviations from normal operating conditions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Faulty and worn engine equipment and components are identified and reported to the officer in charge of the engineering watch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Action is taken when an engine fails or emergencies occur to secure the engine or machinery and to maintain the safety of v</w:t>
            </w:r>
            <w:r w:rsidRPr="00D92C22">
              <w:t>essel and persons involved according to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rPr>
                <w:rStyle w:val="SpecialBold"/>
              </w:rPr>
              <w:t>Test engines and associated propulsion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Tests are performed according to manufacturer specifications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Engines and associated propulsion equipment are observed for correct operational response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Corrective actions are taken to rectify abnormalities according to manufacturer specifications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rPr>
                <w:rStyle w:val="SpecialBold"/>
              </w:rPr>
              <w:t>Analyse engines and associated propulsion plant faults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Causes of abnormal operating conditions are identified by analysing technical and operational information in a logical and sequential manner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Corrective actions are taken to rectify abnormali</w:t>
            </w:r>
            <w:r w:rsidRPr="00D92C22">
              <w:t>ties according to manufacturer specifications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Plant integrity is maintained according to manufacturer specifications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Correct records are logged relating to the operation and performance of engines and associated propulsion equipment, according to regulatory requirements and organisational procedures</w:t>
            </w:r>
          </w:p>
        </w:tc>
      </w:tr>
      <w:tr w:rsidTr="0031783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t>Documentation is updated, and engine and plant problems, abnormal</w:t>
            </w:r>
            <w:r w:rsidRPr="00D92C22">
              <w:t>ities and status are reported, according to regulatory requirements and organisational procedures</w:t>
            </w:r>
          </w:p>
        </w:tc>
      </w:tr>
    </w:tbl>
    <w:p w:rsidR="00317832" w:rsidP="00D92C22">
      <w:pPr>
        <w:pStyle w:val="BodyText"/>
      </w:pPr>
    </w:p>
    <w:p w:rsidR="00317832" w:rsidP="00D92C22">
      <w:pPr>
        <w:pStyle w:val="BodyText"/>
      </w:pPr>
    </w:p>
    <w:p w:rsidR="00000000" w:rsidRPr="00D92C22" w:rsidP="00D92C22">
      <w:pPr>
        <w:pStyle w:val="Heading1"/>
      </w:pPr>
      <w:bookmarkStart w:id="7" w:name="O_845168"/>
      <w:bookmarkEnd w:id="7"/>
      <w:r w:rsidRPr="00D92C22">
        <w:t>Foundation Skills</w:t>
      </w:r>
    </w:p>
    <w:p w:rsidR="00317832" w:rsidP="00317832">
      <w:pPr>
        <w:pStyle w:val="BodyText"/>
      </w:pPr>
      <w:r w:rsidRPr="00D92C22">
        <w:t>Foundation skills essential to performance are explicit in the performance criteria of this unit of competency.</w:t>
      </w:r>
    </w:p>
    <w:p w:rsidR="00000000" w:rsidRPr="00D92C22" w:rsidP="00D92C22">
      <w:pPr>
        <w:pStyle w:val="Heading1"/>
      </w:pPr>
      <w:bookmarkStart w:id="8" w:name="O_845169"/>
      <w:bookmarkEnd w:id="8"/>
      <w:r w:rsidRPr="00D92C2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92C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BodyText"/>
            </w:pPr>
            <w:r w:rsidRPr="00D92C22">
              <w:t>Range is restricted to essential operating conditions and any other variables essential to the work environment.</w:t>
            </w:r>
          </w:p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Non-essential conditions can be found in the Companion Volume Implementation Guide.</w:t>
            </w:r>
          </w:p>
        </w:tc>
      </w:tr>
      <w:tr w:rsidTr="00D92C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Engine and plant oper</w:t>
            </w:r>
            <w:r w:rsidRPr="00D92C22">
              <w:t>ational prerequisites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ListBullet"/>
            </w:pPr>
            <w:r w:rsidRPr="00D92C22">
              <w:t>anti-pollution rules and regulations</w:t>
            </w:r>
          </w:p>
          <w:p w:rsidR="00000000" w:rsidRPr="00D92C22" w:rsidP="00D92C22">
            <w:pPr>
              <w:pStyle w:val="ListBullet"/>
            </w:pPr>
            <w:r w:rsidRPr="00D92C22">
              <w:t>bridge orders</w:t>
            </w:r>
          </w:p>
          <w:p w:rsidR="00000000" w:rsidRPr="00D92C22" w:rsidP="00D92C22">
            <w:pPr>
              <w:pStyle w:val="ListBullet"/>
            </w:pPr>
            <w:r w:rsidRPr="00D92C22">
              <w:t xml:space="preserve">hazard control precautions and procedures </w:t>
            </w:r>
          </w:p>
          <w:p w:rsidR="00000000" w:rsidRPr="00D92C22" w:rsidP="00D92C22">
            <w:pPr>
              <w:pStyle w:val="ListBullet"/>
            </w:pPr>
            <w:r w:rsidRPr="00D92C22">
              <w:t>safety rules and regulations</w:t>
            </w:r>
          </w:p>
          <w:p w:rsidR="00000000" w:rsidRPr="00D92C22" w:rsidP="00D92C22">
            <w:pPr>
              <w:pStyle w:val="ListBullet"/>
            </w:pPr>
            <w:r w:rsidRPr="00D92C22">
              <w:t xml:space="preserve">survey requirements </w:t>
            </w:r>
          </w:p>
          <w:p w:rsidR="00000000" w:rsidP="00D92C22">
            <w:pPr>
              <w:pStyle w:val="ListBullet"/>
              <w:rPr>
                <w:lang w:val="en-NZ"/>
              </w:rPr>
            </w:pPr>
            <w:r w:rsidRPr="00D92C22">
              <w:t>technical specifications</w:t>
            </w:r>
          </w:p>
        </w:tc>
      </w:tr>
      <w:tr w:rsidTr="00D92C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Emergencies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ListBullet"/>
            </w:pPr>
            <w:r w:rsidRPr="00D92C22">
              <w:t>crankcase and gearbox explosions</w:t>
            </w:r>
          </w:p>
          <w:p w:rsidR="00000000" w:rsidRPr="00D92C22" w:rsidP="00D92C22">
            <w:pPr>
              <w:pStyle w:val="ListBullet"/>
            </w:pPr>
            <w:r w:rsidRPr="00D92C22">
              <w:t xml:space="preserve">gearbox failure </w:t>
            </w:r>
          </w:p>
          <w:p w:rsidR="00000000" w:rsidRPr="00D92C22" w:rsidP="00D92C22">
            <w:pPr>
              <w:pStyle w:val="ListBullet"/>
            </w:pPr>
            <w:r w:rsidRPr="00D92C22">
              <w:t>scavenge and uptake fires</w:t>
            </w:r>
          </w:p>
          <w:p w:rsidR="00000000" w:rsidP="00D92C22">
            <w:pPr>
              <w:pStyle w:val="ListBullet"/>
              <w:rPr>
                <w:lang w:val="en-NZ"/>
              </w:rPr>
            </w:pPr>
            <w:r w:rsidRPr="00D92C22">
              <w:t>starting air-line</w:t>
            </w:r>
          </w:p>
        </w:tc>
      </w:tr>
      <w:tr w:rsidTr="00D92C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22">
            <w:pPr>
              <w:pStyle w:val="BodyText"/>
              <w:rPr>
                <w:lang w:val="en-NZ"/>
              </w:rPr>
            </w:pPr>
            <w:r w:rsidRPr="00D92C22">
              <w:t>Tests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22" w:rsidP="00D92C22">
            <w:pPr>
              <w:pStyle w:val="ListBullet"/>
            </w:pPr>
            <w:r w:rsidRPr="00D92C22">
              <w:t>auxiliary boiler water</w:t>
            </w:r>
          </w:p>
          <w:p w:rsidR="00000000" w:rsidRPr="00D92C22" w:rsidP="00D92C22">
            <w:pPr>
              <w:pStyle w:val="ListBullet"/>
            </w:pPr>
            <w:r w:rsidRPr="00D92C22">
              <w:t xml:space="preserve">lubricating oil </w:t>
            </w:r>
          </w:p>
          <w:p w:rsidR="00000000" w:rsidRPr="00D92C22" w:rsidP="00D92C22">
            <w:pPr>
              <w:pStyle w:val="ListBullet"/>
            </w:pPr>
            <w:r w:rsidRPr="00D92C22">
              <w:t>machinery cooling water</w:t>
            </w:r>
          </w:p>
        </w:tc>
      </w:tr>
    </w:tbl>
    <w:p w:rsidR="00317832" w:rsidP="00D92C22">
      <w:pPr>
        <w:pStyle w:val="BodyText"/>
      </w:pPr>
    </w:p>
    <w:p w:rsidR="00317832" w:rsidP="00D92C22">
      <w:pPr>
        <w:pStyle w:val="BodyText"/>
      </w:pPr>
    </w:p>
    <w:p w:rsidR="00000000" w:rsidRPr="00D92C22" w:rsidP="00D92C22">
      <w:pPr>
        <w:pStyle w:val="Heading1"/>
      </w:pPr>
      <w:bookmarkStart w:id="9" w:name="O_845170"/>
      <w:bookmarkEnd w:id="9"/>
      <w:r w:rsidRPr="00D92C22">
        <w:t>Unit Mapping Information</w:t>
      </w:r>
    </w:p>
    <w:p w:rsidR="00317832" w:rsidP="00317832">
      <w:pPr>
        <w:pStyle w:val="BodyText"/>
      </w:pPr>
      <w:r w:rsidRPr="00D92C22">
        <w:t>This unit replaces and is equivalent to MARC3008A Operate engine equipment and associated propulsion plant.</w:t>
      </w:r>
    </w:p>
    <w:p w:rsidR="00000000" w:rsidRPr="00D92C22" w:rsidP="00D92C22">
      <w:pPr>
        <w:pStyle w:val="Heading1"/>
      </w:pPr>
      <w:bookmarkStart w:id="10" w:name="O_845177"/>
      <w:bookmarkEnd w:id="10"/>
      <w:r w:rsidRPr="00D92C22">
        <w:t>Links</w:t>
      </w:r>
    </w:p>
    <w:p w:rsidR="00000000" w:rsidRPr="00D92C22" w:rsidP="00317832">
      <w:pPr>
        <w:pStyle w:val="BodyText"/>
      </w:pPr>
      <w:r w:rsidRPr="00D92C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E3C0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92C22" w:rsidP="00D92C22"/>
    <w:sectPr w:rsidSect="00D92C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22" w:rsidRPr="00317832" w:rsidP="00317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32" w:rsidP="00D92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832" w:rsidP="00D92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7832" w:rsidP="00D92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C22" w:rsidRPr="00317832" w:rsidP="00317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32" w:rsidRPr="002D2AF8" w:rsidP="00D92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MARC027 Contribute to the operation of engine equipment and associated propulsion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317832" w:rsidP="00D92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12D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322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C22"/>
  </w:style>
  <w:style w:type="character" w:customStyle="1" w:styleId="Heading1Char">
    <w:name w:val="Heading 1 Char"/>
    <w:basedOn w:val="DefaultParagraphFont"/>
    <w:link w:val="Heading1"/>
    <w:rsid w:val="00D92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C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C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C22"/>
    <w:rPr>
      <w:b/>
      <w:spacing w:val="0"/>
    </w:rPr>
  </w:style>
  <w:style w:type="paragraph" w:customStyle="1" w:styleId="SuperHeading">
    <w:name w:val="SuperHeading"/>
    <w:basedOn w:val="Normal"/>
    <w:rsid w:val="00D92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C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C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C22"/>
    <w:rPr>
      <w:i/>
    </w:rPr>
  </w:style>
  <w:style w:type="paragraph" w:styleId="Caption">
    <w:name w:val="caption"/>
    <w:basedOn w:val="BodyText"/>
    <w:next w:val="Normal"/>
    <w:qFormat/>
    <w:rsid w:val="00D92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C22"/>
  </w:style>
  <w:style w:type="paragraph" w:styleId="TableofFigures">
    <w:name w:val="table of figures"/>
    <w:basedOn w:val="Normal"/>
    <w:next w:val="Normal"/>
    <w:semiHidden/>
    <w:rsid w:val="00D92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C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C22"/>
    <w:rPr>
      <w:rFonts w:ascii="Wingdings" w:hAnsi="Wingdings"/>
    </w:rPr>
  </w:style>
  <w:style w:type="paragraph" w:customStyle="1" w:styleId="TableHeading">
    <w:name w:val="Table Heading"/>
    <w:basedOn w:val="HeadingBase"/>
    <w:rsid w:val="00D92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C22"/>
    <w:rPr>
      <w:color w:val="0033CC"/>
      <w:u w:val="none"/>
    </w:rPr>
  </w:style>
  <w:style w:type="paragraph" w:customStyle="1" w:styleId="BodyTextRight">
    <w:name w:val="Body Text Right"/>
    <w:basedOn w:val="BodyText"/>
    <w:rsid w:val="00D92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C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C22"/>
    <w:rPr>
      <w:sz w:val="32"/>
    </w:rPr>
  </w:style>
  <w:style w:type="paragraph" w:customStyle="1" w:styleId="HeadingProcedure">
    <w:name w:val="Heading Procedure"/>
    <w:basedOn w:val="HeadingBase"/>
    <w:next w:val="Normal"/>
    <w:rsid w:val="00D92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C22"/>
    <w:pPr>
      <w:spacing w:before="60" w:after="60"/>
    </w:pPr>
  </w:style>
  <w:style w:type="paragraph" w:styleId="ListContinue">
    <w:name w:val="List Continue"/>
    <w:basedOn w:val="List"/>
    <w:rsid w:val="00D92C22"/>
    <w:pPr>
      <w:ind w:firstLine="0"/>
    </w:pPr>
  </w:style>
  <w:style w:type="paragraph" w:customStyle="1" w:styleId="ListNote">
    <w:name w:val="List Note"/>
    <w:basedOn w:val="List"/>
    <w:rsid w:val="00D92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C22"/>
    <w:rPr>
      <w:rFonts w:ascii="Courier New" w:hAnsi="Courier New"/>
    </w:rPr>
  </w:style>
  <w:style w:type="paragraph" w:customStyle="1" w:styleId="NoteBullet">
    <w:name w:val="Note Bullet"/>
    <w:basedOn w:val="Note"/>
    <w:rsid w:val="00D92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C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C22"/>
    <w:rPr>
      <w:b/>
      <w:smallCaps/>
    </w:rPr>
  </w:style>
  <w:style w:type="paragraph" w:customStyle="1" w:styleId="TableListNumber">
    <w:name w:val="Table List Number"/>
    <w:basedOn w:val="ListNumber"/>
    <w:rsid w:val="00D92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C22"/>
    <w:pPr>
      <w:numPr>
        <w:numId w:val="8"/>
      </w:numPr>
    </w:pPr>
  </w:style>
  <w:style w:type="paragraph" w:customStyle="1" w:styleId="ListAlpha2">
    <w:name w:val="List Alpha 2"/>
    <w:basedOn w:val="List2"/>
    <w:rsid w:val="00D92C22"/>
    <w:pPr>
      <w:numPr>
        <w:numId w:val="7"/>
      </w:numPr>
    </w:pPr>
  </w:style>
  <w:style w:type="paragraph" w:styleId="List2">
    <w:name w:val="List 2"/>
    <w:basedOn w:val="BodyText"/>
    <w:rsid w:val="00D92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C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C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C22"/>
    <w:pPr>
      <w:numPr>
        <w:numId w:val="3"/>
      </w:numPr>
    </w:pPr>
  </w:style>
  <w:style w:type="paragraph" w:styleId="ListContinue2">
    <w:name w:val="List Continue 2"/>
    <w:basedOn w:val="List2"/>
    <w:rsid w:val="00D92C22"/>
    <w:pPr>
      <w:ind w:firstLine="0"/>
    </w:pPr>
  </w:style>
  <w:style w:type="paragraph" w:styleId="ListContinue3">
    <w:name w:val="List Continue 3"/>
    <w:basedOn w:val="List3"/>
    <w:rsid w:val="00D92C22"/>
    <w:pPr>
      <w:ind w:left="1021" w:firstLine="0"/>
    </w:pPr>
  </w:style>
  <w:style w:type="paragraph" w:styleId="ListContinue4">
    <w:name w:val="List Continue 4"/>
    <w:basedOn w:val="List4"/>
    <w:rsid w:val="00D92C22"/>
    <w:pPr>
      <w:ind w:firstLine="0"/>
    </w:pPr>
  </w:style>
  <w:style w:type="paragraph" w:styleId="ListContinue5">
    <w:name w:val="List Continue 5"/>
    <w:basedOn w:val="List5"/>
    <w:rsid w:val="00D92C22"/>
    <w:pPr>
      <w:ind w:firstLine="0"/>
    </w:pPr>
  </w:style>
  <w:style w:type="paragraph" w:styleId="ListNumber3">
    <w:name w:val="List Number 3"/>
    <w:basedOn w:val="List3"/>
    <w:rsid w:val="00D92C22"/>
    <w:pPr>
      <w:numPr>
        <w:numId w:val="4"/>
      </w:numPr>
    </w:pPr>
  </w:style>
  <w:style w:type="paragraph" w:styleId="ListNumber4">
    <w:name w:val="List Number 4"/>
    <w:basedOn w:val="List4"/>
    <w:rsid w:val="00D92C22"/>
    <w:pPr>
      <w:numPr>
        <w:numId w:val="5"/>
      </w:numPr>
    </w:pPr>
  </w:style>
  <w:style w:type="paragraph" w:styleId="ListNumber5">
    <w:name w:val="List Number 5"/>
    <w:basedOn w:val="List5"/>
    <w:rsid w:val="00D92C22"/>
    <w:pPr>
      <w:numPr>
        <w:numId w:val="6"/>
      </w:numPr>
    </w:pPr>
  </w:style>
  <w:style w:type="paragraph" w:styleId="BlockText">
    <w:name w:val="Block Text"/>
    <w:basedOn w:val="Normal"/>
    <w:rsid w:val="00D92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C22"/>
    <w:rPr>
      <w:sz w:val="16"/>
      <w:vertAlign w:val="superscript"/>
    </w:rPr>
  </w:style>
  <w:style w:type="character" w:customStyle="1" w:styleId="Symbols">
    <w:name w:val="Symbols"/>
    <w:basedOn w:val="DefaultParagraphFont"/>
    <w:rsid w:val="00D92C22"/>
    <w:rPr>
      <w:rFonts w:ascii="Symbol" w:hAnsi="Symbol"/>
    </w:rPr>
  </w:style>
  <w:style w:type="character" w:customStyle="1" w:styleId="MenuOptions">
    <w:name w:val="Menu Options"/>
    <w:basedOn w:val="DefaultParagraphFont"/>
    <w:rsid w:val="00D92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C22"/>
    <w:rPr>
      <w:b/>
    </w:rPr>
  </w:style>
  <w:style w:type="character" w:customStyle="1" w:styleId="Underlined">
    <w:name w:val="Underlined"/>
    <w:basedOn w:val="DefaultParagraphFont"/>
    <w:rsid w:val="00D92C22"/>
    <w:rPr>
      <w:u w:val="single"/>
    </w:rPr>
  </w:style>
  <w:style w:type="paragraph" w:customStyle="1" w:styleId="TableBodyTextRight">
    <w:name w:val="Table Body Text Right"/>
    <w:basedOn w:val="TableBodyText"/>
    <w:rsid w:val="00D92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C22"/>
    <w:rPr>
      <w:sz w:val="18"/>
    </w:rPr>
  </w:style>
  <w:style w:type="paragraph" w:customStyle="1" w:styleId="BodySmallRight">
    <w:name w:val="Body Small Right"/>
    <w:basedOn w:val="BodyTextRight"/>
    <w:rsid w:val="00D92C22"/>
    <w:rPr>
      <w:sz w:val="18"/>
      <w:szCs w:val="18"/>
    </w:rPr>
  </w:style>
  <w:style w:type="paragraph" w:customStyle="1" w:styleId="MarginEdition">
    <w:name w:val="Margin Edition"/>
    <w:basedOn w:val="MarginNote"/>
    <w:rsid w:val="00D92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C22"/>
    <w:rPr>
      <w:sz w:val="2"/>
      <w:szCs w:val="2"/>
    </w:rPr>
  </w:style>
  <w:style w:type="character" w:customStyle="1" w:styleId="Small">
    <w:name w:val="Small"/>
    <w:basedOn w:val="DefaultParagraphFont"/>
    <w:rsid w:val="00D92C22"/>
    <w:rPr>
      <w:sz w:val="16"/>
    </w:rPr>
  </w:style>
  <w:style w:type="paragraph" w:customStyle="1" w:styleId="WideTable">
    <w:name w:val="Wide Table"/>
    <w:basedOn w:val="Normal"/>
    <w:rsid w:val="00D92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C22"/>
  </w:style>
  <w:style w:type="paragraph" w:styleId="Quote">
    <w:name w:val="Quote"/>
    <w:basedOn w:val="Heading1"/>
    <w:link w:val="QuoteChar"/>
    <w:qFormat/>
    <w:rsid w:val="00D92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C22"/>
    <w:pPr>
      <w:pageBreakBefore/>
    </w:pPr>
  </w:style>
  <w:style w:type="paragraph" w:customStyle="1" w:styleId="Border">
    <w:name w:val="Border"/>
    <w:basedOn w:val="Normal"/>
    <w:qFormat/>
    <w:rsid w:val="00D92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C22"/>
    <w:rPr>
      <w:u w:val="single"/>
    </w:rPr>
  </w:style>
  <w:style w:type="character" w:customStyle="1" w:styleId="BoldandItalics">
    <w:name w:val="Bold and Italics"/>
    <w:qFormat/>
    <w:rsid w:val="00D92C22"/>
    <w:rPr>
      <w:b/>
      <w:i/>
      <w:u w:val="none"/>
    </w:rPr>
  </w:style>
  <w:style w:type="paragraph" w:styleId="BalloonText">
    <w:name w:val="Balloon Text"/>
    <w:basedOn w:val="Normal"/>
    <w:link w:val="BalloonTextChar"/>
    <w:rsid w:val="00D92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C22"/>
    <w:pPr>
      <w:spacing w:before="0" w:after="0"/>
    </w:pPr>
  </w:style>
  <w:style w:type="paragraph" w:customStyle="1" w:styleId="BodyTextBold">
    <w:name w:val="Body Text Bold"/>
    <w:basedOn w:val="BodyText"/>
    <w:qFormat/>
    <w:rsid w:val="00D92C22"/>
    <w:rPr>
      <w:b/>
    </w:rPr>
  </w:style>
  <w:style w:type="character" w:styleId="Hyperlink">
    <w:name w:val="Hyperlink"/>
    <w:basedOn w:val="DefaultParagraphFont"/>
    <w:uiPriority w:val="99"/>
    <w:unhideWhenUsed/>
    <w:rsid w:val="00317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4264</Characters>
  <Application>Microsoft Office Word</Application>
  <DocSecurity>0</DocSecurity>
  <Lines>193</Lines>
  <Paragraphs>106</Paragraphs>
  <ScaleCrop>false</ScaleCrop>
  <Company>Author-it Software Corporation Ltd.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MARC027 Contribute to the operation of engine equipment and associated propulsion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2020-10-27T01:25:00Z</dcterms:created>
  <dcterms:modified xsi:type="dcterms:W3CDTF">2020-10-27T01:25:00Z</dcterms:modified>
</cp:coreProperties>
</file>