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3AEF" w:rsidP="00303AEF">
      <w:pPr>
        <w:pStyle w:val="Title"/>
      </w:pPr>
      <w:r>
        <w:fldChar w:fldCharType="begin"/>
      </w:r>
      <w:r>
        <w:instrText xml:space="preserve"> TITLE   \* MERGEFORMAT </w:instrText>
      </w:r>
      <w:r>
        <w:fldChar w:fldCharType="separate"/>
      </w:r>
      <w:r>
        <w:t>MARC025 Operate and maintain engines for auxiliary systems other than steam auxiliary systems</w:t>
      </w:r>
      <w:r>
        <w:fldChar w:fldCharType="end"/>
      </w:r>
    </w:p>
    <w:p w:rsidR="00303AEF" w:rsidP="00303AEF">
      <w:pPr>
        <w:pStyle w:val="Version"/>
        <w:sectPr w:rsidSect="00827D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7D0F" w:rsidP="00827D0F">
      <w:pPr>
        <w:pStyle w:val="SuperHeading"/>
      </w:pPr>
      <w:r w:rsidRPr="00827D0F">
        <w:t>MARC025 Operate and maintain engines for auxiliary systems other than steam auxiliary systems</w:t>
      </w:r>
    </w:p>
    <w:p w:rsidR="00000000" w:rsidRPr="00827D0F" w:rsidP="00827D0F">
      <w:pPr>
        <w:pStyle w:val="Heading1"/>
      </w:pPr>
      <w:bookmarkStart w:id="1" w:name="O_661303"/>
      <w:bookmarkEnd w:id="1"/>
      <w:r w:rsidRPr="00827D0F">
        <w:t>Modification History</w:t>
      </w:r>
    </w:p>
    <w:p w:rsidR="00000000" w:rsidRPr="00827D0F" w:rsidP="00303AEF">
      <w:pPr>
        <w:pStyle w:val="BodyText"/>
      </w:pPr>
      <w:r w:rsidRPr="00827D0F">
        <w:t>Release 1. New unit of competency.</w:t>
      </w:r>
    </w:p>
    <w:p w:rsidR="00000000" w:rsidRPr="00827D0F" w:rsidP="00827D0F">
      <w:pPr>
        <w:pStyle w:val="Heading1"/>
      </w:pPr>
      <w:bookmarkStart w:id="2" w:name="O_661304"/>
      <w:bookmarkEnd w:id="2"/>
      <w:r w:rsidRPr="00827D0F">
        <w:t>Application</w:t>
      </w:r>
    </w:p>
    <w:p w:rsidR="00000000" w:rsidRPr="00827D0F" w:rsidP="00303AEF">
      <w:pPr>
        <w:pStyle w:val="BodyText"/>
      </w:pPr>
      <w:r w:rsidRPr="00827D0F">
        <w:t>This unit involves the skills and knowledge r</w:t>
      </w:r>
      <w:r w:rsidRPr="00827D0F">
        <w:t>equired to operate and perform basic maintenance on non steam driven auxiliary systems according to relevant workplace practices and codes of practice. It includes operating controls, monitoring performance and maintaining operational condition of auxiliar</w:t>
      </w:r>
      <w:r w:rsidRPr="00827D0F">
        <w:t>y equipment during use.</w:t>
      </w:r>
    </w:p>
    <w:p w:rsidR="00000000" w:rsidRPr="00827D0F" w:rsidP="00303AEF">
      <w:pPr>
        <w:pStyle w:val="BodyText"/>
      </w:pPr>
      <w:r w:rsidRPr="00827D0F">
        <w:t>This unit applies to engine workers working in the maritime industry as a Marine Engine Driver Steam.</w:t>
      </w:r>
    </w:p>
    <w:p w:rsidR="00000000" w:rsidRPr="00827D0F" w:rsidP="00303AEF">
      <w:pPr>
        <w:pStyle w:val="BodyText"/>
      </w:pPr>
      <w:r w:rsidRPr="00827D0F">
        <w:t>No licensing, legislative or certification requirements apply to this unit at the time of publication.</w:t>
      </w:r>
    </w:p>
    <w:p w:rsidR="00000000" w:rsidRPr="00827D0F" w:rsidP="00827D0F">
      <w:pPr>
        <w:pStyle w:val="Heading1"/>
      </w:pPr>
      <w:bookmarkStart w:id="3" w:name="O_661305"/>
      <w:bookmarkEnd w:id="3"/>
      <w:r w:rsidRPr="00827D0F">
        <w:t>Pre-requ</w:t>
      </w:r>
      <w:r w:rsidRPr="00827D0F">
        <w:t>isite Unit</w:t>
      </w:r>
    </w:p>
    <w:p w:rsidR="00000000" w:rsidRPr="00827D0F" w:rsidP="00303AEF">
      <w:pPr>
        <w:pStyle w:val="BodyText"/>
      </w:pPr>
      <w:r w:rsidRPr="00827D0F">
        <w:t>Not applicable.</w:t>
      </w:r>
    </w:p>
    <w:p w:rsidR="00000000" w:rsidRPr="00827D0F" w:rsidP="00827D0F">
      <w:pPr>
        <w:pStyle w:val="Heading1"/>
      </w:pPr>
      <w:bookmarkStart w:id="4" w:name="O_661306"/>
      <w:bookmarkEnd w:id="4"/>
      <w:r w:rsidRPr="00827D0F">
        <w:t>Competency Field</w:t>
      </w:r>
    </w:p>
    <w:p w:rsidR="00000000" w:rsidRPr="00827D0F" w:rsidP="00303AEF">
      <w:pPr>
        <w:pStyle w:val="BodyText"/>
      </w:pPr>
      <w:r w:rsidRPr="00827D0F">
        <w:t>C – Equipment Operations</w:t>
      </w:r>
    </w:p>
    <w:p w:rsidR="00000000" w:rsidRPr="00827D0F" w:rsidP="00827D0F">
      <w:pPr>
        <w:pStyle w:val="Heading1"/>
      </w:pPr>
      <w:bookmarkStart w:id="5" w:name="O_661307"/>
      <w:bookmarkEnd w:id="5"/>
      <w:r w:rsidRPr="00827D0F">
        <w:t>Unit Sector</w:t>
      </w:r>
    </w:p>
    <w:p w:rsidR="00000000" w:rsidRPr="00827D0F" w:rsidP="00303AEF">
      <w:pPr>
        <w:pStyle w:val="BodyText"/>
      </w:pPr>
      <w:r w:rsidRPr="00827D0F">
        <w:t>Not applicable.</w:t>
      </w:r>
    </w:p>
    <w:p w:rsidR="00000000" w:rsidRPr="00827D0F" w:rsidP="00827D0F">
      <w:pPr>
        <w:pStyle w:val="Heading1"/>
      </w:pPr>
      <w:bookmarkStart w:id="6" w:name="O_661308"/>
      <w:bookmarkEnd w:id="6"/>
      <w:r w:rsidRPr="00827D0F">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303AEF">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Performance criteria describe t</w:t>
            </w:r>
            <w:r w:rsidRPr="00827D0F">
              <w:t>he performance needed to demonstrate achievement of the element.</w:t>
            </w:r>
          </w:p>
        </w:tc>
      </w:tr>
      <w:tr w:rsidTr="00303AE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27D0F" w:rsidP="00827D0F">
            <w:pPr>
              <w:pStyle w:val="BodyText"/>
            </w:pPr>
            <w:r w:rsidRPr="00827D0F">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rPr>
                <w:rStyle w:val="SpecialBold"/>
              </w:rPr>
              <w:t>Prepare for sea</w:t>
            </w:r>
          </w:p>
        </w:tc>
        <w:tc>
          <w:tcPr>
            <w:tcW w:w="719"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1.1</w:t>
            </w:r>
          </w:p>
        </w:tc>
        <w:tc>
          <w:tcPr>
            <w:tcW w:w="6045"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Spares and stores required for proposed voyage are acquired</w:t>
            </w:r>
          </w:p>
        </w:tc>
      </w:tr>
      <w:tr w:rsidTr="00303AE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1.2</w:t>
            </w:r>
          </w:p>
        </w:tc>
        <w:tc>
          <w:tcPr>
            <w:tcW w:w="6045"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Preparations and checks are completed prior to sailing</w:t>
            </w:r>
          </w:p>
        </w:tc>
      </w:tr>
      <w:tr w:rsidTr="00303AE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1.3</w:t>
            </w:r>
          </w:p>
        </w:tc>
        <w:tc>
          <w:tcPr>
            <w:tcW w:w="6045"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 xml:space="preserve">Flammable/explosive materials are stowed and managed </w:t>
            </w:r>
            <w:r w:rsidRPr="00827D0F">
              <w:t>according to regulatory and organisational requirements</w:t>
            </w:r>
          </w:p>
        </w:tc>
      </w:tr>
      <w:tr w:rsidTr="00303AE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1.4</w:t>
            </w:r>
          </w:p>
        </w:tc>
        <w:tc>
          <w:tcPr>
            <w:tcW w:w="6045"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Engines are started according to manufacturer specifications and organisational requirements</w:t>
            </w:r>
          </w:p>
        </w:tc>
      </w:tr>
      <w:tr w:rsidTr="00303AE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1.5</w:t>
            </w:r>
          </w:p>
        </w:tc>
        <w:tc>
          <w:tcPr>
            <w:tcW w:w="6045"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Deviations from norm are promptly identi</w:t>
            </w:r>
            <w:r w:rsidRPr="00827D0F">
              <w:t>fied and rectified ore referred</w:t>
            </w:r>
          </w:p>
        </w:tc>
      </w:tr>
      <w:tr w:rsidTr="00303AE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1.6</w:t>
            </w:r>
          </w:p>
        </w:tc>
        <w:tc>
          <w:tcPr>
            <w:tcW w:w="6045"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Adjustments are made to achieve a safe and efficient operation</w:t>
            </w:r>
          </w:p>
        </w:tc>
      </w:tr>
      <w:tr w:rsidTr="00303AE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1.7</w:t>
            </w:r>
          </w:p>
        </w:tc>
        <w:tc>
          <w:tcPr>
            <w:tcW w:w="6045"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Inability to start engine is reported, and logged promptly and accurately to appropriate personnel</w:t>
            </w:r>
          </w:p>
        </w:tc>
      </w:tr>
      <w:tr w:rsidTr="00303AE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27D0F" w:rsidP="00827D0F">
            <w:pPr>
              <w:pStyle w:val="BodyText"/>
            </w:pPr>
            <w:r w:rsidRPr="00827D0F">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rPr>
                <w:rStyle w:val="SpecialBold"/>
              </w:rPr>
              <w:t>Operate internal combustion engines and auxiliary systems</w:t>
            </w:r>
          </w:p>
        </w:tc>
        <w:tc>
          <w:tcPr>
            <w:tcW w:w="719"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2.1</w:t>
            </w:r>
          </w:p>
        </w:tc>
        <w:tc>
          <w:tcPr>
            <w:tcW w:w="6045"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Engines and auxiliary systems are operated within technical specifications</w:t>
            </w:r>
          </w:p>
        </w:tc>
      </w:tr>
      <w:tr w:rsidTr="00303AE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2.2</w:t>
            </w:r>
          </w:p>
        </w:tc>
        <w:tc>
          <w:tcPr>
            <w:tcW w:w="6045"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Engines and auxiliary systems are operated and monitored to ensure they are within operating limits specified by</w:t>
            </w:r>
            <w:r w:rsidRPr="00827D0F">
              <w:t xml:space="preserve"> organisational procedures and manufacturer recommendations</w:t>
            </w:r>
          </w:p>
        </w:tc>
      </w:tr>
      <w:tr w:rsidTr="00303AE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2.3</w:t>
            </w:r>
          </w:p>
        </w:tc>
        <w:tc>
          <w:tcPr>
            <w:tcW w:w="6045"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Environmental implications associated with operating engines and auxiliary systems are identified and controlled</w:t>
            </w:r>
          </w:p>
        </w:tc>
      </w:tr>
      <w:tr w:rsidTr="00303AE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2.4</w:t>
            </w:r>
          </w:p>
        </w:tc>
        <w:tc>
          <w:tcPr>
            <w:tcW w:w="6045"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Operational faults are recognised and rectified according to manufacturer specifications and fault-finding methods</w:t>
            </w:r>
          </w:p>
        </w:tc>
      </w:tr>
      <w:tr w:rsidTr="00303AE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2.5</w:t>
            </w:r>
          </w:p>
        </w:tc>
        <w:tc>
          <w:tcPr>
            <w:tcW w:w="6045"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Appropriate action is taken in a malfunction or emergency</w:t>
            </w:r>
          </w:p>
        </w:tc>
      </w:tr>
      <w:tr w:rsidTr="00303AE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27D0F" w:rsidP="00827D0F">
            <w:pPr>
              <w:pStyle w:val="BodyText"/>
            </w:pPr>
            <w:r w:rsidRPr="00827D0F">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rPr>
                <w:rStyle w:val="SpecialBold"/>
              </w:rPr>
              <w:t>Secure machinery after voyage</w:t>
            </w:r>
          </w:p>
        </w:tc>
        <w:tc>
          <w:tcPr>
            <w:tcW w:w="719"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3.1</w:t>
            </w:r>
          </w:p>
        </w:tc>
        <w:tc>
          <w:tcPr>
            <w:tcW w:w="6045"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Vessel, equipment and machinery are loc</w:t>
            </w:r>
            <w:r w:rsidRPr="00827D0F">
              <w:t>ked down according to manufacturer specifications and organisational procedures</w:t>
            </w:r>
          </w:p>
        </w:tc>
      </w:tr>
      <w:tr w:rsidTr="00303AE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3.2</w:t>
            </w:r>
          </w:p>
        </w:tc>
        <w:tc>
          <w:tcPr>
            <w:tcW w:w="6045"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Operational records are completed according to workplace procedures</w:t>
            </w:r>
          </w:p>
        </w:tc>
      </w:tr>
      <w:tr w:rsidTr="00303AE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3.3</w:t>
            </w:r>
          </w:p>
        </w:tc>
        <w:tc>
          <w:tcPr>
            <w:tcW w:w="6045"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 xml:space="preserve">Damage and repairs requiring action are reported according to workplace procedures </w:t>
            </w:r>
          </w:p>
        </w:tc>
      </w:tr>
      <w:tr w:rsidTr="00303AE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27D0F" w:rsidP="00827D0F">
            <w:pPr>
              <w:pStyle w:val="BodyText"/>
            </w:pPr>
            <w:r w:rsidRPr="00827D0F">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rPr>
                <w:rStyle w:val="SpecialBold"/>
              </w:rPr>
              <w:t>Plan maintenance activities</w:t>
            </w:r>
          </w:p>
        </w:tc>
        <w:tc>
          <w:tcPr>
            <w:tcW w:w="719"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4.1</w:t>
            </w:r>
          </w:p>
        </w:tc>
        <w:tc>
          <w:tcPr>
            <w:tcW w:w="6045"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Maintenance plan is accessed to determine maintenance requirements for engines and auxiliary systems</w:t>
            </w:r>
          </w:p>
        </w:tc>
      </w:tr>
      <w:tr w:rsidTr="00303AE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4.2</w:t>
            </w:r>
          </w:p>
        </w:tc>
        <w:tc>
          <w:tcPr>
            <w:tcW w:w="6045"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Inspections are conducted and additional non-routine maintenance requirements are determined</w:t>
            </w:r>
          </w:p>
        </w:tc>
      </w:tr>
      <w:tr w:rsidTr="00303AE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4.3</w:t>
            </w:r>
          </w:p>
        </w:tc>
        <w:tc>
          <w:tcPr>
            <w:tcW w:w="6045" w:type="dxa"/>
            <w:tcBorders>
              <w:top w:val="nil"/>
              <w:left w:val="nil"/>
              <w:bottom w:val="nil"/>
              <w:right w:val="nil"/>
            </w:tcBorders>
            <w:tcMar>
              <w:top w:w="0" w:type="dxa"/>
              <w:left w:w="62" w:type="dxa"/>
              <w:bottom w:w="0" w:type="dxa"/>
              <w:right w:w="62" w:type="dxa"/>
            </w:tcMar>
          </w:tcPr>
          <w:p w:rsidR="00000000" w:rsidRPr="00827D0F" w:rsidP="00827D0F">
            <w:pPr>
              <w:pStyle w:val="BodyText"/>
            </w:pPr>
            <w:r w:rsidRPr="00827D0F">
              <w:t>Tasks are planned and sequenced in conjunction with others involved in or affected by maintenance work</w:t>
            </w:r>
          </w:p>
        </w:tc>
      </w:tr>
    </w:tbl>
    <w:p w:rsidR="00000000" w:rsidRPr="00827D0F" w:rsidP="00827D0F">
      <w:pPr>
        <w:pStyle w:val="BodyText"/>
      </w:pPr>
    </w:p>
    <w:p w:rsidR="00000000" w:rsidRPr="00827D0F" w:rsidP="00827D0F">
      <w:pPr>
        <w:pStyle w:val="AllowPageBreak"/>
      </w:pPr>
    </w:p>
    <w:p w:rsidR="00000000" w:rsidRPr="00827D0F" w:rsidP="00827D0F">
      <w:pPr>
        <w:pStyle w:val="Heading1"/>
      </w:pPr>
      <w:bookmarkStart w:id="7" w:name="O_661309"/>
      <w:bookmarkEnd w:id="7"/>
      <w:r w:rsidRPr="00827D0F">
        <w:t>Foundation Skills</w:t>
      </w:r>
    </w:p>
    <w:tbl>
      <w:tblPr>
        <w:tblW w:w="9498" w:type="dxa"/>
        <w:tblLayout w:type="fixed"/>
        <w:tblCellMar>
          <w:left w:w="62" w:type="dxa"/>
          <w:right w:w="62" w:type="dxa"/>
        </w:tblCellMar>
        <w:tblLook w:val="0000"/>
      </w:tblPr>
      <w:tblGrid>
        <w:gridCol w:w="9498"/>
      </w:tblGrid>
      <w:tr w:rsidTr="00827D0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27D0F" w:rsidP="00827D0F">
            <w:pPr>
              <w:pStyle w:val="BodyText"/>
            </w:pPr>
            <w:r w:rsidRPr="00827D0F">
              <w:t>Foundation skills essential to performance are explicit in the performance criteria of this unit of competency.</w:t>
            </w:r>
          </w:p>
        </w:tc>
      </w:tr>
    </w:tbl>
    <w:p w:rsidR="00000000" w:rsidRPr="00827D0F" w:rsidP="00827D0F">
      <w:pPr>
        <w:pStyle w:val="BodyText"/>
      </w:pPr>
    </w:p>
    <w:p w:rsidR="00000000" w:rsidRPr="00827D0F" w:rsidP="00827D0F">
      <w:pPr>
        <w:pStyle w:val="AllowPageBreak"/>
      </w:pPr>
    </w:p>
    <w:p w:rsidR="00000000" w:rsidRPr="00827D0F" w:rsidP="00827D0F">
      <w:pPr>
        <w:pStyle w:val="Heading1"/>
      </w:pPr>
      <w:bookmarkStart w:id="8" w:name="O_661310"/>
      <w:bookmarkEnd w:id="8"/>
      <w:r w:rsidRPr="00827D0F">
        <w:t>Range of Conditions</w:t>
      </w:r>
    </w:p>
    <w:tbl>
      <w:tblPr>
        <w:tblW w:w="9498" w:type="dxa"/>
        <w:tblLayout w:type="fixed"/>
        <w:tblCellMar>
          <w:left w:w="62" w:type="dxa"/>
          <w:right w:w="62" w:type="dxa"/>
        </w:tblCellMar>
        <w:tblLook w:val="0000"/>
      </w:tblPr>
      <w:tblGrid>
        <w:gridCol w:w="2735"/>
        <w:gridCol w:w="6763"/>
      </w:tblGrid>
      <w:tr w:rsidTr="00827D0F">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Range is restricted to essential operating conditions and any other variables essential to the work environment.</w:t>
            </w:r>
          </w:p>
        </w:tc>
      </w:tr>
      <w:tr w:rsidTr="00827D0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Spares and stores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27D0F" w:rsidP="00827D0F">
            <w:pPr>
              <w:pStyle w:val="ListBullet"/>
            </w:pPr>
            <w:r w:rsidRPr="00827D0F">
              <w:t>appropriate oils and grease</w:t>
            </w:r>
          </w:p>
          <w:p w:rsidR="00000000" w:rsidRPr="00827D0F" w:rsidP="00827D0F">
            <w:pPr>
              <w:pStyle w:val="ListBullet"/>
            </w:pPr>
            <w:r w:rsidRPr="00827D0F">
              <w:t>cleaning material</w:t>
            </w:r>
          </w:p>
          <w:p w:rsidR="00000000" w:rsidRPr="00827D0F" w:rsidP="00827D0F">
            <w:pPr>
              <w:pStyle w:val="ListBullet"/>
            </w:pPr>
            <w:r w:rsidRPr="00827D0F">
              <w:t>machinery spare parts</w:t>
            </w:r>
          </w:p>
          <w:p w:rsidR="00000000" w:rsidRPr="00827D0F" w:rsidP="00827D0F">
            <w:pPr>
              <w:pStyle w:val="ListBullet"/>
            </w:pPr>
            <w:r w:rsidRPr="00827D0F">
              <w:t xml:space="preserve">shackles and other lifting equipment </w:t>
            </w:r>
          </w:p>
          <w:p w:rsidR="00000000" w:rsidP="00827D0F">
            <w:pPr>
              <w:pStyle w:val="ListBullet"/>
              <w:rPr>
                <w:lang w:val="en-NZ"/>
              </w:rPr>
            </w:pPr>
            <w:r w:rsidRPr="00827D0F">
              <w:t>tools, hand and power</w:t>
            </w:r>
          </w:p>
        </w:tc>
      </w:tr>
      <w:tr w:rsidTr="00827D0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Preparations and checks must include:</w:t>
            </w:r>
          </w:p>
        </w:tc>
        <w:tc>
          <w:tcPr>
            <w:tcW w:w="6763" w:type="dxa"/>
            <w:tcBorders>
              <w:top w:val="nil"/>
              <w:left w:val="nil"/>
              <w:bottom w:val="nil"/>
              <w:right w:val="nil"/>
            </w:tcBorders>
            <w:tcMar>
              <w:top w:w="0" w:type="dxa"/>
              <w:left w:w="62" w:type="dxa"/>
              <w:bottom w:w="0" w:type="dxa"/>
              <w:right w:w="62" w:type="dxa"/>
            </w:tcMar>
          </w:tcPr>
          <w:p w:rsidR="00000000" w:rsidRPr="00827D0F" w:rsidP="00827D0F">
            <w:pPr>
              <w:pStyle w:val="ListBullet"/>
            </w:pPr>
            <w:r w:rsidRPr="00827D0F">
              <w:t>checking:</w:t>
            </w:r>
          </w:p>
          <w:p w:rsidR="00000000" w:rsidRPr="00827D0F" w:rsidP="00827D0F">
            <w:pPr>
              <w:pStyle w:val="ListBullet2"/>
            </w:pPr>
            <w:r w:rsidRPr="00827D0F">
              <w:t>coolants levels</w:t>
            </w:r>
          </w:p>
          <w:p w:rsidR="00000000" w:rsidRPr="00827D0F" w:rsidP="00827D0F">
            <w:pPr>
              <w:pStyle w:val="ListBullet2"/>
            </w:pPr>
            <w:r w:rsidRPr="00827D0F">
              <w:t>fuel level</w:t>
            </w:r>
          </w:p>
          <w:p w:rsidR="00000000" w:rsidRPr="00827D0F" w:rsidP="00827D0F">
            <w:pPr>
              <w:pStyle w:val="ListBullet2"/>
            </w:pPr>
            <w:r w:rsidRPr="00827D0F">
              <w:t>filters</w:t>
            </w:r>
          </w:p>
          <w:p w:rsidR="00000000" w:rsidRPr="00827D0F" w:rsidP="00827D0F">
            <w:pPr>
              <w:pStyle w:val="ListBullet"/>
            </w:pPr>
            <w:r w:rsidRPr="00827D0F">
              <w:t>confirming correct pressures of auxiliary systems</w:t>
            </w:r>
          </w:p>
          <w:p w:rsidR="00000000" w:rsidRPr="00827D0F" w:rsidP="00827D0F">
            <w:pPr>
              <w:pStyle w:val="ListBullet"/>
            </w:pPr>
            <w:r w:rsidRPr="00827D0F">
              <w:t>dip oil</w:t>
            </w:r>
          </w:p>
          <w:p w:rsidR="00000000" w:rsidRPr="00827D0F" w:rsidP="00827D0F">
            <w:pPr>
              <w:pStyle w:val="ListBullet"/>
            </w:pPr>
            <w:r w:rsidRPr="00827D0F">
              <w:t>inspecting:</w:t>
            </w:r>
          </w:p>
          <w:p w:rsidR="00000000" w:rsidRPr="00827D0F" w:rsidP="00827D0F">
            <w:pPr>
              <w:pStyle w:val="ListBullet2"/>
            </w:pPr>
            <w:r w:rsidRPr="00827D0F">
              <w:t>batteries and turn on isolator</w:t>
            </w:r>
          </w:p>
          <w:p w:rsidR="00000000" w:rsidRPr="00827D0F" w:rsidP="00827D0F">
            <w:pPr>
              <w:pStyle w:val="ListBullet2"/>
            </w:pPr>
            <w:r w:rsidRPr="00827D0F">
              <w:t>for leaks and faults</w:t>
            </w:r>
          </w:p>
          <w:p w:rsidR="00000000" w:rsidRPr="00827D0F" w:rsidP="00827D0F">
            <w:pPr>
              <w:pStyle w:val="ListBullet2"/>
            </w:pPr>
            <w:r w:rsidRPr="00827D0F">
              <w:t xml:space="preserve">safety guards, power take off stubs and shafts </w:t>
            </w:r>
          </w:p>
          <w:p w:rsidR="00000000" w:rsidRPr="00827D0F" w:rsidP="00827D0F">
            <w:pPr>
              <w:pStyle w:val="ListBullet"/>
            </w:pPr>
            <w:r w:rsidRPr="00827D0F">
              <w:t>lubrication</w:t>
            </w:r>
          </w:p>
          <w:p w:rsidR="00000000" w:rsidRPr="00827D0F" w:rsidP="00827D0F">
            <w:pPr>
              <w:pStyle w:val="ListBullet"/>
            </w:pPr>
            <w:r w:rsidRPr="00827D0F">
              <w:t>opening valves as appropriate</w:t>
            </w:r>
          </w:p>
          <w:p w:rsidR="00000000" w:rsidRPr="00827D0F" w:rsidP="00827D0F">
            <w:pPr>
              <w:pStyle w:val="ListBullet"/>
            </w:pPr>
            <w:r w:rsidRPr="00827D0F">
              <w:t>power leads</w:t>
            </w:r>
          </w:p>
          <w:p w:rsidR="00000000" w:rsidRPr="00827D0F" w:rsidP="00827D0F">
            <w:pPr>
              <w:pStyle w:val="ListBullet"/>
            </w:pPr>
            <w:r w:rsidRPr="00827D0F">
              <w:t>spares and stores</w:t>
            </w:r>
          </w:p>
          <w:p w:rsidR="00000000" w:rsidP="00827D0F">
            <w:pPr>
              <w:pStyle w:val="ListBullet"/>
              <w:rPr>
                <w:lang w:val="en-NZ"/>
              </w:rPr>
            </w:pPr>
            <w:r w:rsidRPr="00827D0F">
              <w:t>stowage of LPG cylinders</w:t>
            </w:r>
          </w:p>
        </w:tc>
      </w:tr>
      <w:tr w:rsidTr="00827D0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Flammable/explosive materials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27D0F" w:rsidP="00827D0F">
            <w:pPr>
              <w:pStyle w:val="ListBullet"/>
            </w:pPr>
            <w:r w:rsidRPr="00827D0F">
              <w:t>liquid fuels</w:t>
            </w:r>
          </w:p>
          <w:p w:rsidR="00000000" w:rsidRPr="00827D0F" w:rsidP="00827D0F">
            <w:pPr>
              <w:pStyle w:val="ListBullet"/>
            </w:pPr>
            <w:r w:rsidRPr="00827D0F">
              <w:t>LPG</w:t>
            </w:r>
          </w:p>
          <w:p w:rsidR="00000000" w:rsidP="00827D0F">
            <w:pPr>
              <w:pStyle w:val="ListBullet"/>
              <w:rPr>
                <w:lang w:val="en-NZ"/>
              </w:rPr>
            </w:pPr>
            <w:r w:rsidRPr="00827D0F">
              <w:t>refrigerant gas</w:t>
            </w:r>
          </w:p>
        </w:tc>
      </w:tr>
      <w:tr w:rsidTr="00827D0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Engines and auxiliary systems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27D0F" w:rsidP="00827D0F">
            <w:pPr>
              <w:pStyle w:val="ListBullet"/>
            </w:pPr>
            <w:r w:rsidRPr="00827D0F">
              <w:t>auxiliary equipment and associated spaces</w:t>
            </w:r>
          </w:p>
          <w:p w:rsidR="00000000" w:rsidRPr="00827D0F" w:rsidP="00827D0F">
            <w:pPr>
              <w:pStyle w:val="ListBullet"/>
            </w:pPr>
            <w:r w:rsidRPr="00827D0F">
              <w:t>cooling systems</w:t>
            </w:r>
          </w:p>
          <w:p w:rsidR="00000000" w:rsidRPr="00827D0F" w:rsidP="00827D0F">
            <w:pPr>
              <w:pStyle w:val="ListBullet"/>
            </w:pPr>
            <w:r w:rsidRPr="00827D0F">
              <w:t>lubricating systems</w:t>
            </w:r>
          </w:p>
          <w:p w:rsidR="00000000" w:rsidRPr="00827D0F" w:rsidP="00827D0F">
            <w:pPr>
              <w:pStyle w:val="ListBullet"/>
            </w:pPr>
            <w:r w:rsidRPr="00827D0F">
              <w:t>marine</w:t>
            </w:r>
            <w:r w:rsidRPr="00827D0F">
              <w:t xml:space="preserve"> two- and four-stroke diesel engines</w:t>
            </w:r>
          </w:p>
          <w:p w:rsidR="00000000" w:rsidRPr="00827D0F" w:rsidP="00827D0F">
            <w:pPr>
              <w:pStyle w:val="ListBullet"/>
            </w:pPr>
            <w:r w:rsidRPr="00827D0F">
              <w:t>paddle and shafting arrangements</w:t>
            </w:r>
          </w:p>
          <w:p w:rsidR="00000000" w:rsidRPr="00827D0F" w:rsidP="00827D0F">
            <w:pPr>
              <w:pStyle w:val="ListBullet"/>
            </w:pPr>
            <w:r w:rsidRPr="00827D0F">
              <w:t>propeller and immediate shafting alignment</w:t>
            </w:r>
          </w:p>
          <w:p w:rsidR="00000000" w:rsidRPr="00827D0F" w:rsidP="00827D0F">
            <w:pPr>
              <w:pStyle w:val="ListBullet"/>
            </w:pPr>
            <w:r w:rsidRPr="00827D0F">
              <w:t>pumping systems</w:t>
            </w:r>
          </w:p>
          <w:p w:rsidR="00000000" w:rsidRPr="00827D0F" w:rsidP="00827D0F">
            <w:pPr>
              <w:pStyle w:val="ListBullet"/>
            </w:pPr>
            <w:r w:rsidRPr="00827D0F">
              <w:t xml:space="preserve">refrigeration systems </w:t>
            </w:r>
          </w:p>
          <w:p w:rsidR="00000000" w:rsidP="00827D0F">
            <w:pPr>
              <w:pStyle w:val="ListBullet"/>
              <w:rPr>
                <w:lang w:val="en-NZ"/>
              </w:rPr>
            </w:pPr>
            <w:r w:rsidRPr="00827D0F">
              <w:t>steering systems</w:t>
            </w:r>
          </w:p>
        </w:tc>
      </w:tr>
      <w:tr w:rsidTr="00827D0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Environmental implications must include:</w:t>
            </w:r>
          </w:p>
        </w:tc>
        <w:tc>
          <w:tcPr>
            <w:tcW w:w="6763" w:type="dxa"/>
            <w:tcBorders>
              <w:top w:val="nil"/>
              <w:left w:val="nil"/>
              <w:bottom w:val="nil"/>
              <w:right w:val="nil"/>
            </w:tcBorders>
            <w:tcMar>
              <w:top w:w="0" w:type="dxa"/>
              <w:left w:w="62" w:type="dxa"/>
              <w:bottom w:w="0" w:type="dxa"/>
              <w:right w:w="62" w:type="dxa"/>
            </w:tcMar>
          </w:tcPr>
          <w:p w:rsidR="00000000" w:rsidRPr="00827D0F" w:rsidP="00827D0F">
            <w:pPr>
              <w:pStyle w:val="ListBullet"/>
            </w:pPr>
            <w:r w:rsidRPr="00827D0F">
              <w:t>excessive noise and exhaust emissions</w:t>
            </w:r>
          </w:p>
          <w:p w:rsidR="00000000" w:rsidP="00827D0F">
            <w:pPr>
              <w:pStyle w:val="ListBullet"/>
              <w:rPr>
                <w:lang w:val="en-NZ"/>
              </w:rPr>
            </w:pPr>
            <w:r w:rsidRPr="00827D0F">
              <w:t>loss of fuel and oil overside</w:t>
            </w:r>
          </w:p>
        </w:tc>
      </w:tr>
      <w:tr w:rsidTr="00827D0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Emergencies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27D0F" w:rsidP="00827D0F">
            <w:pPr>
              <w:pStyle w:val="ListBullet"/>
            </w:pPr>
            <w:r w:rsidRPr="00827D0F">
              <w:t>failure of the auxiliary engines</w:t>
            </w:r>
          </w:p>
          <w:p w:rsidR="00000000" w:rsidRPr="00827D0F" w:rsidP="00827D0F">
            <w:pPr>
              <w:pStyle w:val="ListBullet"/>
            </w:pPr>
            <w:r w:rsidRPr="00827D0F">
              <w:t>fire</w:t>
            </w:r>
          </w:p>
          <w:p w:rsidR="00000000" w:rsidRPr="00827D0F" w:rsidP="00827D0F">
            <w:pPr>
              <w:pStyle w:val="ListBullet"/>
            </w:pPr>
            <w:r w:rsidRPr="00827D0F">
              <w:t>flooding</w:t>
            </w:r>
          </w:p>
          <w:p w:rsidR="00000000" w:rsidP="00827D0F">
            <w:pPr>
              <w:pStyle w:val="ListBullet"/>
              <w:rPr>
                <w:lang w:val="en-NZ"/>
              </w:rPr>
            </w:pPr>
            <w:r w:rsidRPr="00827D0F">
              <w:t>loss of steering</w:t>
            </w:r>
          </w:p>
        </w:tc>
      </w:tr>
      <w:tr w:rsidTr="00827D0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Operational records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27D0F" w:rsidP="00827D0F">
            <w:pPr>
              <w:pStyle w:val="ListBullet"/>
            </w:pPr>
            <w:r w:rsidRPr="00827D0F">
              <w:t xml:space="preserve">maintenance logs </w:t>
            </w:r>
          </w:p>
          <w:p w:rsidR="00000000" w:rsidP="00827D0F">
            <w:pPr>
              <w:pStyle w:val="ListBullet"/>
              <w:rPr>
                <w:lang w:val="en-NZ"/>
              </w:rPr>
            </w:pPr>
            <w:r w:rsidRPr="00827D0F">
              <w:t>running logs</w:t>
            </w:r>
          </w:p>
        </w:tc>
      </w:tr>
      <w:tr w:rsidTr="00827D0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27D0F">
            <w:pPr>
              <w:pStyle w:val="BodyText"/>
              <w:rPr>
                <w:lang w:val="en-NZ"/>
              </w:rPr>
            </w:pPr>
            <w:r w:rsidRPr="00827D0F">
              <w:t>Maintenance requir</w:t>
            </w:r>
            <w:r w:rsidRPr="00827D0F">
              <w:t>ements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27D0F" w:rsidP="00827D0F">
            <w:pPr>
              <w:pStyle w:val="ListBullet"/>
            </w:pPr>
            <w:r w:rsidRPr="00827D0F">
              <w:t>cleaning:</w:t>
            </w:r>
          </w:p>
          <w:p w:rsidR="00000000" w:rsidRPr="00827D0F" w:rsidP="00827D0F">
            <w:pPr>
              <w:pStyle w:val="ListBullet2"/>
            </w:pPr>
            <w:r w:rsidRPr="00827D0F">
              <w:t>coolers</w:t>
            </w:r>
          </w:p>
          <w:p w:rsidR="00000000" w:rsidRPr="00827D0F" w:rsidP="00827D0F">
            <w:pPr>
              <w:pStyle w:val="ListBullet2"/>
            </w:pPr>
            <w:r w:rsidRPr="00827D0F">
              <w:t>filters</w:t>
            </w:r>
          </w:p>
          <w:p w:rsidR="00000000" w:rsidRPr="00827D0F" w:rsidP="00827D0F">
            <w:pPr>
              <w:pStyle w:val="ListBullet"/>
            </w:pPr>
            <w:r w:rsidRPr="00827D0F">
              <w:t>greasing</w:t>
            </w:r>
          </w:p>
          <w:p w:rsidR="00000000" w:rsidRPr="00827D0F" w:rsidP="00827D0F">
            <w:pPr>
              <w:pStyle w:val="ListBullet"/>
            </w:pPr>
            <w:r w:rsidRPr="00827D0F">
              <w:t xml:space="preserve">maintaining emergency equipment </w:t>
            </w:r>
          </w:p>
          <w:p w:rsidR="00000000" w:rsidRPr="00827D0F" w:rsidP="00827D0F">
            <w:pPr>
              <w:pStyle w:val="ListBullet"/>
            </w:pPr>
            <w:r w:rsidRPr="00827D0F">
              <w:t>oiling</w:t>
            </w:r>
          </w:p>
          <w:p w:rsidR="00000000" w:rsidRPr="00827D0F" w:rsidP="00827D0F">
            <w:pPr>
              <w:pStyle w:val="ListBullet"/>
            </w:pPr>
            <w:r w:rsidRPr="00827D0F">
              <w:t>oily water separator</w:t>
            </w:r>
          </w:p>
          <w:p w:rsidR="00000000" w:rsidRPr="00827D0F" w:rsidP="00827D0F">
            <w:pPr>
              <w:pStyle w:val="ListBullet"/>
            </w:pPr>
            <w:r w:rsidRPr="00827D0F">
              <w:t>overhauling and repairing pumps</w:t>
            </w:r>
          </w:p>
          <w:p w:rsidR="00000000" w:rsidRPr="00827D0F" w:rsidP="00827D0F">
            <w:pPr>
              <w:pStyle w:val="ListBullet"/>
            </w:pPr>
            <w:r w:rsidRPr="00827D0F">
              <w:t>scheduled survey inspections</w:t>
            </w:r>
          </w:p>
          <w:p w:rsidR="00000000" w:rsidRPr="00827D0F" w:rsidP="00827D0F">
            <w:pPr>
              <w:pStyle w:val="ListBullet"/>
            </w:pPr>
            <w:r w:rsidRPr="00827D0F">
              <w:t>topping up oils</w:t>
            </w:r>
          </w:p>
        </w:tc>
      </w:tr>
    </w:tbl>
    <w:p w:rsidR="00000000" w:rsidRPr="00827D0F" w:rsidP="00827D0F">
      <w:pPr>
        <w:pStyle w:val="BodyText"/>
      </w:pPr>
    </w:p>
    <w:p w:rsidR="00000000" w:rsidRPr="00827D0F" w:rsidP="00827D0F">
      <w:pPr>
        <w:pStyle w:val="AllowPageBreak"/>
      </w:pPr>
    </w:p>
    <w:p w:rsidR="00000000" w:rsidRPr="00827D0F" w:rsidP="00827D0F">
      <w:pPr>
        <w:pStyle w:val="Heading1"/>
      </w:pPr>
      <w:bookmarkStart w:id="9" w:name="O_661311"/>
      <w:bookmarkEnd w:id="9"/>
      <w:r w:rsidRPr="00827D0F">
        <w:t>Unit Mapping Information</w:t>
      </w:r>
    </w:p>
    <w:p w:rsidR="00000000" w:rsidRPr="00827D0F" w:rsidP="00303AEF">
      <w:pPr>
        <w:pStyle w:val="BodyText"/>
      </w:pPr>
      <w:r w:rsidRPr="00827D0F">
        <w:t>This unit replaces and is equivalent to MARC3004A Operate and maintain engines for auxiliary systems other than steam auxiliary systems.</w:t>
      </w:r>
    </w:p>
    <w:p w:rsidR="00000000" w:rsidRPr="00827D0F" w:rsidP="00827D0F">
      <w:pPr>
        <w:pStyle w:val="Heading1"/>
      </w:pPr>
      <w:bookmarkStart w:id="10" w:name="O_661318"/>
      <w:bookmarkEnd w:id="10"/>
      <w:r w:rsidRPr="00827D0F">
        <w:t>Links</w:t>
      </w:r>
    </w:p>
    <w:p w:rsidR="00000000" w:rsidRPr="00827D0F" w:rsidP="00303AEF">
      <w:pPr>
        <w:pStyle w:val="BodyText"/>
      </w:pPr>
      <w:r w:rsidRPr="00827D0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660B5">
        <w:rPr>
          <w:rStyle w:val="Hyperlink"/>
        </w:rPr>
        <w:t>https://vetnet.gov.au/Pages/TrainingDocs.aspx?q=772efb7b-4cce-47fe-9bbd-ee3b1d1eb4c2</w:t>
      </w:r>
      <w:r>
        <w:fldChar w:fldCharType="end"/>
      </w:r>
    </w:p>
    <w:p w:rsidR="00000000" w:rsidRPr="00827D0F" w:rsidP="00827D0F"/>
    <w:sectPr w:rsidSect="00827D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D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D0F" w:rsidRPr="00303AEF" w:rsidP="00303A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D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AEF" w:rsidP="00827D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3AEF" w:rsidP="00827D0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03AEF" w:rsidP="00827D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D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A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7D0F" w:rsidRPr="00303AEF" w:rsidP="00303A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D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AEF" w:rsidRPr="002D2AF8" w:rsidP="00827D0F">
    <w:pPr>
      <w:pStyle w:val="Header"/>
      <w:framePr w:wrap="around"/>
    </w:pPr>
    <w:r>
      <w:fldChar w:fldCharType="begin"/>
    </w:r>
    <w:r>
      <w:instrText xml:space="preserve"> TITLE   \* MERGEFORMAT </w:instrText>
    </w:r>
    <w:r>
      <w:fldChar w:fldCharType="separate"/>
    </w:r>
    <w:r>
      <w:t>MARC025 Operate and maintain engines for auxiliary systems other than steam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303AEF" w:rsidP="00827D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40DE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4EBF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0A08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D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7D0F"/>
    <w:pPr>
      <w:spacing w:before="360" w:after="60"/>
      <w:outlineLvl w:val="0"/>
    </w:pPr>
    <w:rPr>
      <w:sz w:val="32"/>
    </w:rPr>
  </w:style>
  <w:style w:type="paragraph" w:styleId="Heading2">
    <w:name w:val="heading 2"/>
    <w:basedOn w:val="HeadingBase"/>
    <w:next w:val="BodyText"/>
    <w:link w:val="Heading2Char"/>
    <w:qFormat/>
    <w:rsid w:val="00827D0F"/>
    <w:pPr>
      <w:keepLines/>
      <w:spacing w:before="240" w:after="120"/>
      <w:outlineLvl w:val="1"/>
    </w:pPr>
    <w:rPr>
      <w:sz w:val="28"/>
      <w:szCs w:val="40"/>
    </w:rPr>
  </w:style>
  <w:style w:type="paragraph" w:styleId="Heading3">
    <w:name w:val="heading 3"/>
    <w:basedOn w:val="HeadingBase"/>
    <w:next w:val="BodyText"/>
    <w:link w:val="Heading3Char"/>
    <w:qFormat/>
    <w:rsid w:val="00827D0F"/>
    <w:pPr>
      <w:spacing w:before="180" w:after="120"/>
      <w:outlineLvl w:val="2"/>
    </w:pPr>
    <w:rPr>
      <w:spacing w:val="-10"/>
      <w:kern w:val="32"/>
    </w:rPr>
  </w:style>
  <w:style w:type="paragraph" w:styleId="Heading4">
    <w:name w:val="heading 4"/>
    <w:basedOn w:val="HeadingBase"/>
    <w:next w:val="BodyText"/>
    <w:link w:val="Heading4Char"/>
    <w:qFormat/>
    <w:rsid w:val="00827D0F"/>
    <w:pPr>
      <w:spacing w:before="160" w:after="120"/>
      <w:outlineLvl w:val="3"/>
    </w:pPr>
    <w:rPr>
      <w:sz w:val="22"/>
    </w:rPr>
  </w:style>
  <w:style w:type="paragraph" w:styleId="Heading5">
    <w:name w:val="heading 5"/>
    <w:basedOn w:val="HeadingBase"/>
    <w:next w:val="Normal"/>
    <w:link w:val="Heading5Char"/>
    <w:qFormat/>
    <w:rsid w:val="00827D0F"/>
    <w:pPr>
      <w:spacing w:before="80"/>
      <w:outlineLvl w:val="4"/>
    </w:pPr>
    <w:rPr>
      <w:color w:val="918585"/>
      <w:sz w:val="20"/>
    </w:rPr>
  </w:style>
  <w:style w:type="paragraph" w:styleId="Heading6">
    <w:name w:val="heading 6"/>
    <w:basedOn w:val="HeadingBase"/>
    <w:next w:val="Normal"/>
    <w:link w:val="Heading6Char"/>
    <w:qFormat/>
    <w:rsid w:val="00827D0F"/>
    <w:pPr>
      <w:spacing w:before="60"/>
      <w:outlineLvl w:val="5"/>
    </w:pPr>
    <w:rPr>
      <w:color w:val="918585"/>
      <w:sz w:val="20"/>
    </w:rPr>
  </w:style>
  <w:style w:type="paragraph" w:styleId="Heading7">
    <w:name w:val="heading 7"/>
    <w:basedOn w:val="Normal"/>
    <w:next w:val="Normal"/>
    <w:link w:val="Heading7Char"/>
    <w:qFormat/>
    <w:rsid w:val="00827D0F"/>
    <w:pPr>
      <w:ind w:left="720"/>
      <w:outlineLvl w:val="6"/>
    </w:pPr>
    <w:rPr>
      <w:i/>
    </w:rPr>
  </w:style>
  <w:style w:type="paragraph" w:styleId="Heading8">
    <w:name w:val="heading 8"/>
    <w:basedOn w:val="Normal"/>
    <w:next w:val="Normal"/>
    <w:link w:val="Heading8Char"/>
    <w:qFormat/>
    <w:rsid w:val="00827D0F"/>
    <w:pPr>
      <w:ind w:left="720"/>
      <w:outlineLvl w:val="7"/>
    </w:pPr>
    <w:rPr>
      <w:i/>
    </w:rPr>
  </w:style>
  <w:style w:type="paragraph" w:styleId="Heading9">
    <w:name w:val="heading 9"/>
    <w:basedOn w:val="Normal"/>
    <w:next w:val="Normal"/>
    <w:link w:val="Heading9Char"/>
    <w:qFormat/>
    <w:rsid w:val="00827D0F"/>
    <w:pPr>
      <w:ind w:left="720"/>
      <w:outlineLvl w:val="8"/>
    </w:pPr>
    <w:rPr>
      <w:i/>
    </w:rPr>
  </w:style>
  <w:style w:type="character" w:default="1" w:styleId="DefaultParagraphFont">
    <w:name w:val="Default Paragraph Font"/>
    <w:uiPriority w:val="1"/>
    <w:unhideWhenUsed/>
    <w:rsid w:val="00827D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7D0F"/>
  </w:style>
  <w:style w:type="character" w:customStyle="1" w:styleId="Heading1Char">
    <w:name w:val="Heading 1 Char"/>
    <w:basedOn w:val="DefaultParagraphFont"/>
    <w:link w:val="Heading1"/>
    <w:rsid w:val="00827D0F"/>
    <w:rPr>
      <w:rFonts w:ascii="Times New Roman" w:eastAsia="Times New Roman" w:hAnsi="Times New Roman" w:cs="Times New Roman"/>
      <w:b/>
      <w:sz w:val="32"/>
      <w:szCs w:val="20"/>
      <w:lang w:eastAsia="en-US"/>
    </w:rPr>
  </w:style>
  <w:style w:type="paragraph" w:styleId="BodyText">
    <w:name w:val="Body Text"/>
    <w:basedOn w:val="Normal"/>
    <w:link w:val="BodyTextChar"/>
    <w:rsid w:val="00827D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7D0F"/>
    <w:rPr>
      <w:rFonts w:ascii="Times New Roman" w:eastAsia="Times New Roman" w:hAnsi="Times New Roman" w:cs="Times New Roman"/>
      <w:sz w:val="24"/>
      <w:lang w:eastAsia="en-US"/>
    </w:rPr>
  </w:style>
  <w:style w:type="paragraph" w:styleId="ListBullet">
    <w:name w:val="List Bullet"/>
    <w:basedOn w:val="List"/>
    <w:rsid w:val="00827D0F"/>
    <w:pPr>
      <w:numPr>
        <w:numId w:val="12"/>
      </w:numPr>
      <w:tabs>
        <w:tab w:val="clear" w:pos="340"/>
      </w:tabs>
      <w:spacing w:before="40" w:after="40"/>
    </w:pPr>
  </w:style>
  <w:style w:type="character" w:customStyle="1" w:styleId="SpecialBold">
    <w:name w:val="Special Bold"/>
    <w:basedOn w:val="DefaultParagraphFont"/>
    <w:rsid w:val="00827D0F"/>
    <w:rPr>
      <w:b/>
      <w:spacing w:val="0"/>
    </w:rPr>
  </w:style>
  <w:style w:type="paragraph" w:styleId="ListBullet2">
    <w:name w:val="List Bullet 2"/>
    <w:basedOn w:val="List2"/>
    <w:rsid w:val="00827D0F"/>
    <w:pPr>
      <w:numPr>
        <w:numId w:val="13"/>
      </w:numPr>
      <w:tabs>
        <w:tab w:val="clear" w:pos="680"/>
      </w:tabs>
    </w:pPr>
  </w:style>
  <w:style w:type="paragraph" w:customStyle="1" w:styleId="SuperHeading">
    <w:name w:val="SuperHeading"/>
    <w:basedOn w:val="Normal"/>
    <w:rsid w:val="00827D0F"/>
    <w:pPr>
      <w:spacing w:before="240" w:after="120"/>
      <w:outlineLvl w:val="0"/>
    </w:pPr>
    <w:rPr>
      <w:rFonts w:ascii="Times New Roman" w:hAnsi="Times New Roman"/>
      <w:b/>
      <w:sz w:val="32"/>
    </w:rPr>
  </w:style>
  <w:style w:type="paragraph" w:customStyle="1" w:styleId="AllowPageBreak">
    <w:name w:val="AllowPageBreak"/>
    <w:rsid w:val="00827D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7D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7D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7D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7D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7D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7D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7D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7D0F"/>
    <w:rPr>
      <w:rFonts w:ascii="Courier New" w:eastAsia="Times New Roman" w:hAnsi="Courier New" w:cs="Times New Roman"/>
      <w:i/>
      <w:szCs w:val="20"/>
      <w:lang w:eastAsia="en-US"/>
    </w:rPr>
  </w:style>
  <w:style w:type="paragraph" w:customStyle="1" w:styleId="HeadingBase">
    <w:name w:val="Heading Base"/>
    <w:rsid w:val="00827D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7D0F"/>
    <w:pPr>
      <w:tabs>
        <w:tab w:val="right" w:leader="dot" w:pos="9072"/>
      </w:tabs>
      <w:ind w:left="567"/>
    </w:pPr>
    <w:rPr>
      <w:szCs w:val="22"/>
    </w:rPr>
  </w:style>
  <w:style w:type="paragraph" w:customStyle="1" w:styleId="TOCBase">
    <w:name w:val="TOC Base"/>
    <w:rsid w:val="00827D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7D0F"/>
    <w:pPr>
      <w:tabs>
        <w:tab w:val="right" w:leader="dot" w:pos="9072"/>
      </w:tabs>
      <w:spacing w:before="40" w:after="40"/>
      <w:ind w:left="284"/>
    </w:pPr>
    <w:rPr>
      <w:rFonts w:ascii="Times New Roman" w:hAnsi="Times New Roman"/>
    </w:rPr>
  </w:style>
  <w:style w:type="paragraph" w:styleId="TOC1">
    <w:name w:val="toc 1"/>
    <w:basedOn w:val="TOCBase"/>
    <w:next w:val="Normal"/>
    <w:rsid w:val="00827D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7D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7D0F"/>
    <w:rPr>
      <w:rFonts w:ascii="Times New Roman" w:eastAsia="Times New Roman" w:hAnsi="Times New Roman" w:cs="Times New Roman"/>
      <w:sz w:val="16"/>
      <w:lang w:eastAsia="en-US"/>
    </w:rPr>
  </w:style>
  <w:style w:type="paragraph" w:styleId="Title">
    <w:name w:val="Title"/>
    <w:basedOn w:val="HeadingBase"/>
    <w:link w:val="TitleChar"/>
    <w:qFormat/>
    <w:rsid w:val="00827D0F"/>
    <w:pPr>
      <w:spacing w:before="5040"/>
      <w:jc w:val="center"/>
    </w:pPr>
    <w:rPr>
      <w:sz w:val="48"/>
      <w:szCs w:val="72"/>
      <w:lang w:val="en-US"/>
    </w:rPr>
  </w:style>
  <w:style w:type="character" w:customStyle="1" w:styleId="TitleChar">
    <w:name w:val="Title Char"/>
    <w:basedOn w:val="DefaultParagraphFont"/>
    <w:link w:val="Title"/>
    <w:rsid w:val="00827D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7D0F"/>
    <w:pPr>
      <w:tabs>
        <w:tab w:val="left" w:pos="3600"/>
        <w:tab w:val="left" w:pos="3958"/>
      </w:tabs>
    </w:pPr>
  </w:style>
  <w:style w:type="paragraph" w:styleId="List">
    <w:name w:val="List"/>
    <w:basedOn w:val="BodyText"/>
    <w:next w:val="BodyText"/>
    <w:rsid w:val="00827D0F"/>
    <w:pPr>
      <w:tabs>
        <w:tab w:val="left" w:pos="340"/>
      </w:tabs>
      <w:spacing w:before="60" w:after="60"/>
      <w:ind w:left="340" w:hanging="340"/>
    </w:pPr>
  </w:style>
  <w:style w:type="paragraph" w:customStyle="1" w:styleId="Note">
    <w:name w:val="Note"/>
    <w:basedOn w:val="BodyText"/>
    <w:rsid w:val="00827D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7D0F"/>
    <w:pPr>
      <w:framePr w:wrap="auto" w:hAnchor="text" w:y="6049"/>
    </w:pPr>
    <w:rPr>
      <w:color w:val="000000"/>
      <w:sz w:val="40"/>
    </w:rPr>
  </w:style>
  <w:style w:type="paragraph" w:customStyle="1" w:styleId="TOCTitle">
    <w:name w:val="TOCTitle"/>
    <w:basedOn w:val="Heading1"/>
    <w:rsid w:val="00827D0F"/>
    <w:pPr>
      <w:spacing w:after="240"/>
      <w:jc w:val="center"/>
      <w:outlineLvl w:val="9"/>
    </w:pPr>
    <w:rPr>
      <w:caps/>
    </w:rPr>
  </w:style>
  <w:style w:type="paragraph" w:customStyle="1" w:styleId="Version">
    <w:name w:val="Version"/>
    <w:rsid w:val="00827D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7D0F"/>
    <w:pPr>
      <w:keepNext w:val="0"/>
      <w:tabs>
        <w:tab w:val="right" w:pos="4176"/>
      </w:tabs>
      <w:ind w:left="198" w:hanging="198"/>
    </w:pPr>
    <w:rPr>
      <w:rFonts w:ascii="Garamond" w:hAnsi="Garamond"/>
    </w:rPr>
  </w:style>
  <w:style w:type="paragraph" w:styleId="IndexHeading">
    <w:name w:val="index heading"/>
    <w:basedOn w:val="Normal"/>
    <w:next w:val="Index1"/>
    <w:semiHidden/>
    <w:rsid w:val="00827D0F"/>
    <w:pPr>
      <w:spacing w:before="120" w:after="120"/>
    </w:pPr>
    <w:rPr>
      <w:rFonts w:ascii="Arial" w:hAnsi="Arial"/>
      <w:b/>
      <w:color w:val="918585"/>
      <w:sz w:val="24"/>
    </w:rPr>
  </w:style>
  <w:style w:type="paragraph" w:styleId="Header">
    <w:name w:val="header"/>
    <w:basedOn w:val="Normal"/>
    <w:link w:val="HeaderChar"/>
    <w:rsid w:val="00827D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7D0F"/>
    <w:rPr>
      <w:rFonts w:ascii="Times New Roman" w:eastAsia="Times New Roman" w:hAnsi="Times New Roman" w:cs="Times New Roman"/>
      <w:sz w:val="16"/>
      <w:szCs w:val="20"/>
      <w:lang w:val="en-GB" w:eastAsia="en-US"/>
    </w:rPr>
  </w:style>
  <w:style w:type="paragraph" w:customStyle="1" w:styleId="Chapter">
    <w:name w:val="Chapter"/>
    <w:basedOn w:val="Normal"/>
    <w:rsid w:val="00827D0F"/>
    <w:pPr>
      <w:spacing w:before="240"/>
    </w:pPr>
    <w:rPr>
      <w:rFonts w:ascii="Times New Roman" w:hAnsi="Times New Roman"/>
      <w:smallCaps/>
      <w:spacing w:val="80"/>
      <w:sz w:val="28"/>
    </w:rPr>
  </w:style>
  <w:style w:type="paragraph" w:customStyle="1" w:styleId="InChapter">
    <w:name w:val="InChapter"/>
    <w:basedOn w:val="Heading3"/>
    <w:rsid w:val="00827D0F"/>
    <w:pPr>
      <w:spacing w:after="240"/>
      <w:outlineLvl w:val="9"/>
    </w:pPr>
    <w:rPr>
      <w:noProof/>
    </w:rPr>
  </w:style>
  <w:style w:type="paragraph" w:styleId="Index2">
    <w:name w:val="index 2"/>
    <w:basedOn w:val="Normal"/>
    <w:next w:val="Normal"/>
    <w:semiHidden/>
    <w:rsid w:val="00827D0F"/>
    <w:pPr>
      <w:tabs>
        <w:tab w:val="right" w:pos="4176"/>
      </w:tabs>
      <w:ind w:left="568" w:hanging="284"/>
    </w:pPr>
    <w:rPr>
      <w:rFonts w:ascii="Garamond" w:hAnsi="Garamond"/>
    </w:rPr>
  </w:style>
  <w:style w:type="paragraph" w:customStyle="1" w:styleId="Byline">
    <w:name w:val="Byline"/>
    <w:rsid w:val="00827D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7D0F"/>
    <w:pPr>
      <w:tabs>
        <w:tab w:val="clear" w:pos="3600"/>
        <w:tab w:val="clear" w:pos="3958"/>
      </w:tabs>
      <w:jc w:val="right"/>
    </w:pPr>
  </w:style>
  <w:style w:type="character" w:styleId="Emphasis">
    <w:name w:val="Emphasis"/>
    <w:basedOn w:val="DefaultParagraphFont"/>
    <w:qFormat/>
    <w:rsid w:val="00827D0F"/>
    <w:rPr>
      <w:i/>
    </w:rPr>
  </w:style>
  <w:style w:type="paragraph" w:styleId="Caption">
    <w:name w:val="caption"/>
    <w:basedOn w:val="BodyText"/>
    <w:next w:val="Normal"/>
    <w:qFormat/>
    <w:rsid w:val="00827D0F"/>
    <w:pPr>
      <w:framePr w:w="2268" w:hSpace="181" w:vSpace="181" w:wrap="around" w:vAnchor="text" w:hAnchor="page" w:x="1135" w:y="285" w:anchorLock="1"/>
    </w:pPr>
    <w:rPr>
      <w:i/>
    </w:rPr>
  </w:style>
  <w:style w:type="paragraph" w:customStyle="1" w:styleId="MiniTOCTitle">
    <w:name w:val="MiniTOCTitle"/>
    <w:basedOn w:val="Heading4"/>
    <w:rsid w:val="00827D0F"/>
    <w:pPr>
      <w:spacing w:before="240"/>
      <w:outlineLvl w:val="9"/>
    </w:pPr>
    <w:rPr>
      <w:noProof/>
      <w:sz w:val="24"/>
    </w:rPr>
  </w:style>
  <w:style w:type="paragraph" w:customStyle="1" w:styleId="MiniTOCItem">
    <w:name w:val="MiniTOCItem"/>
    <w:basedOn w:val="ListBullet"/>
    <w:rsid w:val="00827D0F"/>
    <w:pPr>
      <w:numPr>
        <w:numId w:val="0"/>
      </w:numPr>
      <w:tabs>
        <w:tab w:val="right" w:leader="dot" w:pos="6521"/>
      </w:tabs>
      <w:spacing w:before="0" w:after="0"/>
    </w:pPr>
  </w:style>
  <w:style w:type="paragraph" w:customStyle="1" w:styleId="TOFTitle">
    <w:name w:val="TOFTitle"/>
    <w:basedOn w:val="TOCTitle"/>
    <w:rsid w:val="00827D0F"/>
  </w:style>
  <w:style w:type="paragraph" w:styleId="TableofFigures">
    <w:name w:val="table of figures"/>
    <w:basedOn w:val="Normal"/>
    <w:next w:val="Normal"/>
    <w:semiHidden/>
    <w:rsid w:val="00827D0F"/>
    <w:pPr>
      <w:tabs>
        <w:tab w:val="right" w:leader="dot" w:pos="9072"/>
      </w:tabs>
      <w:ind w:left="970" w:hanging="403"/>
    </w:pPr>
    <w:rPr>
      <w:rFonts w:ascii="Times New Roman" w:hAnsi="Times New Roman"/>
      <w:b/>
    </w:rPr>
  </w:style>
  <w:style w:type="paragraph" w:styleId="ListNumber">
    <w:name w:val="List Number"/>
    <w:basedOn w:val="List"/>
    <w:rsid w:val="00827D0F"/>
    <w:pPr>
      <w:numPr>
        <w:numId w:val="15"/>
      </w:numPr>
      <w:tabs>
        <w:tab w:val="clear" w:pos="340"/>
      </w:tabs>
    </w:pPr>
  </w:style>
  <w:style w:type="character" w:customStyle="1" w:styleId="WingdingSymbols">
    <w:name w:val="Wingding Symbols"/>
    <w:rsid w:val="00827D0F"/>
    <w:rPr>
      <w:rFonts w:ascii="Wingdings" w:hAnsi="Wingdings"/>
    </w:rPr>
  </w:style>
  <w:style w:type="paragraph" w:customStyle="1" w:styleId="TableHeading">
    <w:name w:val="Table Heading"/>
    <w:basedOn w:val="HeadingBase"/>
    <w:rsid w:val="00827D0F"/>
    <w:pPr>
      <w:keepLines/>
      <w:pBdr>
        <w:bottom w:val="single" w:sz="6" w:space="1" w:color="918585"/>
      </w:pBdr>
      <w:spacing w:before="240"/>
    </w:pPr>
  </w:style>
  <w:style w:type="character" w:customStyle="1" w:styleId="HotSpot">
    <w:name w:val="HotSpot"/>
    <w:rsid w:val="00827D0F"/>
    <w:rPr>
      <w:color w:val="0033CC"/>
      <w:u w:val="none"/>
    </w:rPr>
  </w:style>
  <w:style w:type="paragraph" w:customStyle="1" w:styleId="BodyTextRight">
    <w:name w:val="Body Text Right"/>
    <w:basedOn w:val="BodyText"/>
    <w:rsid w:val="00827D0F"/>
    <w:pPr>
      <w:spacing w:before="0" w:after="0"/>
      <w:jc w:val="right"/>
    </w:pPr>
  </w:style>
  <w:style w:type="paragraph" w:styleId="Index3">
    <w:name w:val="index 3"/>
    <w:basedOn w:val="ListNumber2"/>
    <w:next w:val="Normal"/>
    <w:semiHidden/>
    <w:rsid w:val="00827D0F"/>
    <w:pPr>
      <w:numPr>
        <w:numId w:val="0"/>
      </w:numPr>
      <w:tabs>
        <w:tab w:val="right" w:leader="dot" w:pos="4176"/>
      </w:tabs>
    </w:pPr>
  </w:style>
  <w:style w:type="paragraph" w:styleId="ListNumber2">
    <w:name w:val="List Number 2"/>
    <w:basedOn w:val="List2"/>
    <w:rsid w:val="00827D0F"/>
    <w:pPr>
      <w:numPr>
        <w:numId w:val="10"/>
      </w:numPr>
      <w:tabs>
        <w:tab w:val="clear" w:pos="1060"/>
      </w:tabs>
    </w:pPr>
  </w:style>
  <w:style w:type="paragraph" w:customStyle="1" w:styleId="MarginNote">
    <w:name w:val="Margin Note"/>
    <w:basedOn w:val="BodyText"/>
    <w:rsid w:val="00827D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7D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7D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7D0F"/>
    <w:rPr>
      <w:sz w:val="32"/>
    </w:rPr>
  </w:style>
  <w:style w:type="paragraph" w:customStyle="1" w:styleId="HeadingProcedure">
    <w:name w:val="Heading Procedure"/>
    <w:basedOn w:val="HeadingBase"/>
    <w:next w:val="Normal"/>
    <w:rsid w:val="00827D0F"/>
    <w:pPr>
      <w:tabs>
        <w:tab w:val="left" w:pos="0"/>
      </w:tabs>
      <w:spacing w:before="120" w:after="60"/>
    </w:pPr>
    <w:rPr>
      <w:i/>
      <w:color w:val="918585"/>
      <w:sz w:val="22"/>
    </w:rPr>
  </w:style>
  <w:style w:type="paragraph" w:customStyle="1" w:styleId="TableBodyText">
    <w:name w:val="Table Body Text"/>
    <w:basedOn w:val="BodyText"/>
    <w:rsid w:val="00827D0F"/>
    <w:pPr>
      <w:spacing w:before="60" w:after="60"/>
    </w:pPr>
  </w:style>
  <w:style w:type="paragraph" w:styleId="ListContinue">
    <w:name w:val="List Continue"/>
    <w:basedOn w:val="List"/>
    <w:rsid w:val="00827D0F"/>
    <w:pPr>
      <w:ind w:firstLine="0"/>
    </w:pPr>
  </w:style>
  <w:style w:type="paragraph" w:customStyle="1" w:styleId="ListNote">
    <w:name w:val="List Note"/>
    <w:basedOn w:val="List"/>
    <w:rsid w:val="00827D0F"/>
    <w:pPr>
      <w:pBdr>
        <w:top w:val="single" w:sz="6" w:space="2" w:color="918585"/>
        <w:bottom w:val="single" w:sz="6" w:space="2" w:color="918585"/>
      </w:pBdr>
      <w:tabs>
        <w:tab w:val="left" w:pos="1021"/>
      </w:tabs>
      <w:ind w:firstLine="0"/>
    </w:pPr>
  </w:style>
  <w:style w:type="paragraph" w:customStyle="1" w:styleId="Warning">
    <w:name w:val="Warning"/>
    <w:basedOn w:val="BodyText"/>
    <w:rsid w:val="00827D0F"/>
    <w:pPr>
      <w:shd w:val="clear" w:color="auto" w:fill="D9D9D9"/>
      <w:tabs>
        <w:tab w:val="left" w:pos="992"/>
      </w:tabs>
      <w:ind w:left="119" w:right="119"/>
    </w:pPr>
    <w:rPr>
      <w:sz w:val="20"/>
    </w:rPr>
  </w:style>
  <w:style w:type="paragraph" w:customStyle="1" w:styleId="MarginIcons">
    <w:name w:val="Margin Icons"/>
    <w:basedOn w:val="BodyText"/>
    <w:rsid w:val="00827D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7D0F"/>
    <w:rPr>
      <w:rFonts w:ascii="Courier New" w:hAnsi="Courier New"/>
    </w:rPr>
  </w:style>
  <w:style w:type="paragraph" w:customStyle="1" w:styleId="NoteBullet">
    <w:name w:val="Note Bullet"/>
    <w:basedOn w:val="Note"/>
    <w:rsid w:val="00827D0F"/>
    <w:pPr>
      <w:tabs>
        <w:tab w:val="clear" w:pos="680"/>
      </w:tabs>
      <w:spacing w:before="60" w:after="60"/>
    </w:pPr>
  </w:style>
  <w:style w:type="paragraph" w:customStyle="1" w:styleId="SubHeading2">
    <w:name w:val="SubHeading2"/>
    <w:basedOn w:val="HeadingBase"/>
    <w:rsid w:val="00827D0F"/>
    <w:pPr>
      <w:spacing w:before="240" w:after="60"/>
    </w:pPr>
    <w:rPr>
      <w:sz w:val="20"/>
    </w:rPr>
  </w:style>
  <w:style w:type="paragraph" w:customStyle="1" w:styleId="SubHeading1">
    <w:name w:val="SubHeading1"/>
    <w:basedOn w:val="HeadingBase"/>
    <w:rsid w:val="00827D0F"/>
    <w:pPr>
      <w:spacing w:before="240" w:after="60"/>
    </w:pPr>
    <w:rPr>
      <w:color w:val="918585"/>
      <w:sz w:val="22"/>
    </w:rPr>
  </w:style>
  <w:style w:type="paragraph" w:customStyle="1" w:styleId="SideHeading">
    <w:name w:val="Side Heading"/>
    <w:basedOn w:val="HeadingBase"/>
    <w:rsid w:val="00827D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7D0F"/>
    <w:pPr>
      <w:tabs>
        <w:tab w:val="num" w:pos="360"/>
      </w:tabs>
    </w:pPr>
  </w:style>
  <w:style w:type="paragraph" w:styleId="PlainText">
    <w:name w:val="Plain Text"/>
    <w:basedOn w:val="Normal"/>
    <w:link w:val="PlainTextChar"/>
    <w:rsid w:val="00827D0F"/>
    <w:rPr>
      <w:sz w:val="20"/>
    </w:rPr>
  </w:style>
  <w:style w:type="character" w:customStyle="1" w:styleId="PlainTextChar">
    <w:name w:val="Plain Text Char"/>
    <w:basedOn w:val="DefaultParagraphFont"/>
    <w:link w:val="PlainText"/>
    <w:rsid w:val="00827D0F"/>
    <w:rPr>
      <w:rFonts w:ascii="Courier New" w:eastAsia="Times New Roman" w:hAnsi="Courier New" w:cs="Times New Roman"/>
      <w:sz w:val="20"/>
      <w:szCs w:val="20"/>
      <w:lang w:eastAsia="en-US"/>
    </w:rPr>
  </w:style>
  <w:style w:type="character" w:customStyle="1" w:styleId="MenuOption">
    <w:name w:val="Menu Option"/>
    <w:basedOn w:val="DefaultParagraphFont"/>
    <w:rsid w:val="00827D0F"/>
    <w:rPr>
      <w:b/>
      <w:smallCaps/>
    </w:rPr>
  </w:style>
  <w:style w:type="paragraph" w:customStyle="1" w:styleId="TableListNumber">
    <w:name w:val="Table List Number"/>
    <w:basedOn w:val="ListNumber"/>
    <w:rsid w:val="00827D0F"/>
    <w:pPr>
      <w:numPr>
        <w:numId w:val="0"/>
      </w:numPr>
    </w:pPr>
  </w:style>
  <w:style w:type="paragraph" w:styleId="TOC4">
    <w:name w:val="toc 4"/>
    <w:basedOn w:val="TOCBase"/>
    <w:next w:val="Normal"/>
    <w:semiHidden/>
    <w:rsid w:val="00827D0F"/>
    <w:pPr>
      <w:tabs>
        <w:tab w:val="right" w:leader="dot" w:pos="9071"/>
      </w:tabs>
      <w:ind w:left="1701"/>
    </w:pPr>
  </w:style>
  <w:style w:type="paragraph" w:customStyle="1" w:styleId="ListAlpha">
    <w:name w:val="List Alpha"/>
    <w:basedOn w:val="List"/>
    <w:rsid w:val="00827D0F"/>
    <w:pPr>
      <w:numPr>
        <w:numId w:val="9"/>
      </w:numPr>
    </w:pPr>
  </w:style>
  <w:style w:type="paragraph" w:customStyle="1" w:styleId="ListAlpha2">
    <w:name w:val="List Alpha 2"/>
    <w:basedOn w:val="List2"/>
    <w:rsid w:val="00827D0F"/>
    <w:pPr>
      <w:numPr>
        <w:numId w:val="8"/>
      </w:numPr>
    </w:pPr>
  </w:style>
  <w:style w:type="paragraph" w:styleId="List2">
    <w:name w:val="List 2"/>
    <w:basedOn w:val="BodyText"/>
    <w:rsid w:val="00827D0F"/>
    <w:pPr>
      <w:tabs>
        <w:tab w:val="left" w:pos="680"/>
      </w:tabs>
      <w:spacing w:before="60" w:after="60"/>
      <w:ind w:left="680" w:hanging="340"/>
    </w:pPr>
  </w:style>
  <w:style w:type="paragraph" w:styleId="List3">
    <w:name w:val="List 3"/>
    <w:basedOn w:val="BodyText"/>
    <w:rsid w:val="00827D0F"/>
    <w:pPr>
      <w:tabs>
        <w:tab w:val="left" w:pos="1021"/>
      </w:tabs>
      <w:spacing w:before="60" w:after="60"/>
      <w:ind w:left="1020" w:hanging="340"/>
    </w:pPr>
  </w:style>
  <w:style w:type="paragraph" w:styleId="List4">
    <w:name w:val="List 4"/>
    <w:basedOn w:val="BodyText"/>
    <w:rsid w:val="00827D0F"/>
    <w:pPr>
      <w:tabs>
        <w:tab w:val="left" w:pos="1361"/>
      </w:tabs>
      <w:spacing w:before="60" w:after="60"/>
      <w:ind w:left="1361" w:hanging="340"/>
    </w:pPr>
  </w:style>
  <w:style w:type="paragraph" w:styleId="List5">
    <w:name w:val="List 5"/>
    <w:basedOn w:val="BodyText"/>
    <w:rsid w:val="00827D0F"/>
    <w:pPr>
      <w:tabs>
        <w:tab w:val="left" w:pos="1701"/>
      </w:tabs>
      <w:spacing w:before="60" w:after="60"/>
      <w:ind w:left="1701" w:hanging="340"/>
    </w:pPr>
  </w:style>
  <w:style w:type="paragraph" w:styleId="ListBullet3">
    <w:name w:val="List Bullet 3"/>
    <w:basedOn w:val="List3"/>
    <w:rsid w:val="00827D0F"/>
    <w:pPr>
      <w:numPr>
        <w:numId w:val="14"/>
      </w:numPr>
      <w:tabs>
        <w:tab w:val="clear" w:pos="1021"/>
      </w:tabs>
      <w:ind w:left="1037" w:hanging="357"/>
    </w:pPr>
  </w:style>
  <w:style w:type="paragraph" w:styleId="ListBullet4">
    <w:name w:val="List Bullet 4"/>
    <w:basedOn w:val="List4"/>
    <w:rsid w:val="00827D0F"/>
    <w:pPr>
      <w:numPr>
        <w:numId w:val="3"/>
      </w:numPr>
      <w:tabs>
        <w:tab w:val="clear" w:pos="1361"/>
      </w:tabs>
    </w:pPr>
  </w:style>
  <w:style w:type="paragraph" w:styleId="ListBullet5">
    <w:name w:val="List Bullet 5"/>
    <w:basedOn w:val="List5"/>
    <w:rsid w:val="00827D0F"/>
    <w:pPr>
      <w:numPr>
        <w:numId w:val="4"/>
      </w:numPr>
    </w:pPr>
  </w:style>
  <w:style w:type="paragraph" w:styleId="ListContinue2">
    <w:name w:val="List Continue 2"/>
    <w:basedOn w:val="List2"/>
    <w:rsid w:val="00827D0F"/>
    <w:pPr>
      <w:ind w:firstLine="0"/>
    </w:pPr>
  </w:style>
  <w:style w:type="paragraph" w:styleId="ListContinue3">
    <w:name w:val="List Continue 3"/>
    <w:basedOn w:val="List3"/>
    <w:rsid w:val="00827D0F"/>
    <w:pPr>
      <w:ind w:left="1021" w:firstLine="0"/>
    </w:pPr>
  </w:style>
  <w:style w:type="paragraph" w:styleId="ListContinue4">
    <w:name w:val="List Continue 4"/>
    <w:basedOn w:val="List4"/>
    <w:rsid w:val="00827D0F"/>
    <w:pPr>
      <w:ind w:firstLine="0"/>
    </w:pPr>
  </w:style>
  <w:style w:type="paragraph" w:styleId="ListContinue5">
    <w:name w:val="List Continue 5"/>
    <w:basedOn w:val="List5"/>
    <w:rsid w:val="00827D0F"/>
    <w:pPr>
      <w:ind w:firstLine="0"/>
    </w:pPr>
  </w:style>
  <w:style w:type="paragraph" w:styleId="ListNumber3">
    <w:name w:val="List Number 3"/>
    <w:basedOn w:val="List3"/>
    <w:rsid w:val="00827D0F"/>
    <w:pPr>
      <w:numPr>
        <w:numId w:val="5"/>
      </w:numPr>
    </w:pPr>
  </w:style>
  <w:style w:type="paragraph" w:styleId="ListNumber4">
    <w:name w:val="List Number 4"/>
    <w:basedOn w:val="List4"/>
    <w:rsid w:val="00827D0F"/>
    <w:pPr>
      <w:numPr>
        <w:numId w:val="6"/>
      </w:numPr>
    </w:pPr>
  </w:style>
  <w:style w:type="paragraph" w:styleId="ListNumber5">
    <w:name w:val="List Number 5"/>
    <w:basedOn w:val="List5"/>
    <w:rsid w:val="00827D0F"/>
    <w:pPr>
      <w:numPr>
        <w:numId w:val="7"/>
      </w:numPr>
    </w:pPr>
  </w:style>
  <w:style w:type="paragraph" w:styleId="BlockText">
    <w:name w:val="Block Text"/>
    <w:basedOn w:val="Normal"/>
    <w:rsid w:val="00827D0F"/>
    <w:pPr>
      <w:spacing w:after="120"/>
      <w:ind w:left="1440" w:right="1440"/>
    </w:pPr>
  </w:style>
  <w:style w:type="character" w:customStyle="1" w:styleId="Subscript">
    <w:name w:val="Subscript"/>
    <w:basedOn w:val="DefaultParagraphFont"/>
    <w:rsid w:val="00827D0F"/>
    <w:rPr>
      <w:sz w:val="16"/>
      <w:vertAlign w:val="subscript"/>
    </w:rPr>
  </w:style>
  <w:style w:type="character" w:customStyle="1" w:styleId="Superscript">
    <w:name w:val="Superscript"/>
    <w:basedOn w:val="DefaultParagraphFont"/>
    <w:rsid w:val="00827D0F"/>
    <w:rPr>
      <w:sz w:val="16"/>
      <w:vertAlign w:val="superscript"/>
    </w:rPr>
  </w:style>
  <w:style w:type="character" w:customStyle="1" w:styleId="Symbols">
    <w:name w:val="Symbols"/>
    <w:basedOn w:val="DefaultParagraphFont"/>
    <w:rsid w:val="00827D0F"/>
    <w:rPr>
      <w:rFonts w:ascii="Symbol" w:hAnsi="Symbol"/>
    </w:rPr>
  </w:style>
  <w:style w:type="character" w:customStyle="1" w:styleId="MenuOptions">
    <w:name w:val="Menu Options"/>
    <w:basedOn w:val="DefaultParagraphFont"/>
    <w:rsid w:val="00827D0F"/>
    <w:rPr>
      <w:rFonts w:ascii="Arial Narrow" w:hAnsi="Arial Narrow"/>
      <w:smallCaps/>
    </w:rPr>
  </w:style>
  <w:style w:type="character" w:customStyle="1" w:styleId="Buttons">
    <w:name w:val="Buttons"/>
    <w:basedOn w:val="DefaultParagraphFont"/>
    <w:rsid w:val="00827D0F"/>
    <w:rPr>
      <w:b/>
    </w:rPr>
  </w:style>
  <w:style w:type="character" w:customStyle="1" w:styleId="Underlined">
    <w:name w:val="Underlined"/>
    <w:basedOn w:val="DefaultParagraphFont"/>
    <w:rsid w:val="00827D0F"/>
    <w:rPr>
      <w:u w:val="single"/>
    </w:rPr>
  </w:style>
  <w:style w:type="paragraph" w:customStyle="1" w:styleId="TableBodyTextRight">
    <w:name w:val="Table Body Text Right"/>
    <w:basedOn w:val="TableBodyText"/>
    <w:rsid w:val="00827D0F"/>
    <w:pPr>
      <w:widowControl w:val="0"/>
      <w:autoSpaceDE w:val="0"/>
      <w:autoSpaceDN w:val="0"/>
      <w:adjustRightInd w:val="0"/>
      <w:jc w:val="right"/>
    </w:pPr>
    <w:rPr>
      <w:rFonts w:cs="Arial"/>
      <w:szCs w:val="18"/>
    </w:rPr>
  </w:style>
  <w:style w:type="paragraph" w:customStyle="1" w:styleId="CopyrightText">
    <w:name w:val="Copyright Text"/>
    <w:basedOn w:val="BodyText"/>
    <w:rsid w:val="00827D0F"/>
    <w:rPr>
      <w:sz w:val="18"/>
    </w:rPr>
  </w:style>
  <w:style w:type="paragraph" w:customStyle="1" w:styleId="BodySmallRight">
    <w:name w:val="Body Small Right"/>
    <w:basedOn w:val="BodyTextRight"/>
    <w:rsid w:val="00827D0F"/>
    <w:rPr>
      <w:sz w:val="18"/>
      <w:szCs w:val="18"/>
    </w:rPr>
  </w:style>
  <w:style w:type="paragraph" w:customStyle="1" w:styleId="MarginEdition">
    <w:name w:val="Margin Edition"/>
    <w:basedOn w:val="MarginNote"/>
    <w:rsid w:val="00827D0F"/>
    <w:pPr>
      <w:spacing w:before="0" w:after="0"/>
    </w:pPr>
    <w:rPr>
      <w:rFonts w:ascii="Times New Roman" w:hAnsi="Times New Roman"/>
      <w:color w:val="999999"/>
    </w:rPr>
  </w:style>
  <w:style w:type="paragraph" w:customStyle="1" w:styleId="Spacer">
    <w:name w:val="Spacer"/>
    <w:basedOn w:val="Normal"/>
    <w:rsid w:val="00827D0F"/>
    <w:rPr>
      <w:sz w:val="2"/>
      <w:szCs w:val="2"/>
    </w:rPr>
  </w:style>
  <w:style w:type="character" w:customStyle="1" w:styleId="Small">
    <w:name w:val="Small"/>
    <w:basedOn w:val="DefaultParagraphFont"/>
    <w:rsid w:val="00827D0F"/>
    <w:rPr>
      <w:sz w:val="16"/>
    </w:rPr>
  </w:style>
  <w:style w:type="paragraph" w:customStyle="1" w:styleId="WideTable">
    <w:name w:val="Wide Table"/>
    <w:basedOn w:val="Normal"/>
    <w:rsid w:val="00827D0F"/>
    <w:pPr>
      <w:ind w:left="-1418"/>
    </w:pPr>
    <w:rPr>
      <w:sz w:val="2"/>
      <w:szCs w:val="2"/>
    </w:rPr>
  </w:style>
  <w:style w:type="character" w:styleId="PageNumber">
    <w:name w:val="page number"/>
    <w:basedOn w:val="DefaultParagraphFont"/>
    <w:rsid w:val="00827D0F"/>
  </w:style>
  <w:style w:type="paragraph" w:styleId="Quote">
    <w:name w:val="Quote"/>
    <w:basedOn w:val="Heading1"/>
    <w:link w:val="QuoteChar"/>
    <w:qFormat/>
    <w:rsid w:val="00827D0F"/>
    <w:rPr>
      <w:b w:val="0"/>
      <w:sz w:val="72"/>
      <w:szCs w:val="72"/>
      <w:lang w:val="en-NZ"/>
    </w:rPr>
  </w:style>
  <w:style w:type="character" w:customStyle="1" w:styleId="QuoteChar">
    <w:name w:val="Quote Char"/>
    <w:basedOn w:val="DefaultParagraphFont"/>
    <w:link w:val="Quote"/>
    <w:rsid w:val="00827D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7D0F"/>
    <w:pPr>
      <w:pageBreakBefore/>
    </w:pPr>
  </w:style>
  <w:style w:type="paragraph" w:customStyle="1" w:styleId="Border">
    <w:name w:val="Border"/>
    <w:basedOn w:val="Normal"/>
    <w:qFormat/>
    <w:rsid w:val="00827D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7D0F"/>
    <w:rPr>
      <w:b/>
      <w:bCs/>
      <w:i/>
      <w:iCs/>
      <w:color w:val="auto"/>
    </w:rPr>
  </w:style>
  <w:style w:type="paragraph" w:styleId="IntenseQuote">
    <w:name w:val="Intense Quote"/>
    <w:basedOn w:val="Normal"/>
    <w:next w:val="Normal"/>
    <w:link w:val="IntenseQuoteChar"/>
    <w:uiPriority w:val="30"/>
    <w:qFormat/>
    <w:rsid w:val="00827D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7D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7D0F"/>
    <w:rPr>
      <w:smallCaps/>
      <w:color w:val="auto"/>
      <w:u w:val="single"/>
    </w:rPr>
  </w:style>
  <w:style w:type="character" w:styleId="IntenseReference">
    <w:name w:val="Intense Reference"/>
    <w:basedOn w:val="DefaultParagraphFont"/>
    <w:uiPriority w:val="32"/>
    <w:qFormat/>
    <w:rsid w:val="00827D0F"/>
    <w:rPr>
      <w:b/>
      <w:bCs/>
      <w:smallCaps/>
      <w:color w:val="auto"/>
      <w:spacing w:val="5"/>
      <w:u w:val="single"/>
    </w:rPr>
  </w:style>
  <w:style w:type="paragraph" w:customStyle="1" w:styleId="2ColumnHeading">
    <w:name w:val="2Column Heading"/>
    <w:basedOn w:val="BodyText"/>
    <w:qFormat/>
    <w:rsid w:val="00827D0F"/>
    <w:pPr>
      <w:spacing w:after="60"/>
      <w:ind w:left="-2268"/>
    </w:pPr>
    <w:rPr>
      <w:b/>
    </w:rPr>
  </w:style>
  <w:style w:type="paragraph" w:customStyle="1" w:styleId="Heading1TOC">
    <w:name w:val="Heading1 TOC"/>
    <w:basedOn w:val="Normal"/>
    <w:qFormat/>
    <w:rsid w:val="00827D0F"/>
    <w:pPr>
      <w:spacing w:before="240" w:after="120"/>
    </w:pPr>
    <w:rPr>
      <w:rFonts w:ascii="Times New Roman" w:hAnsi="Times New Roman"/>
      <w:b/>
      <w:sz w:val="32"/>
    </w:rPr>
  </w:style>
  <w:style w:type="paragraph" w:customStyle="1" w:styleId="Heading2TOC">
    <w:name w:val="Heading2 TOC"/>
    <w:basedOn w:val="Normal"/>
    <w:qFormat/>
    <w:rsid w:val="00827D0F"/>
    <w:pPr>
      <w:spacing w:before="240" w:after="60"/>
    </w:pPr>
    <w:rPr>
      <w:rFonts w:ascii="Times New Roman" w:hAnsi="Times New Roman"/>
      <w:b/>
      <w:sz w:val="28"/>
    </w:rPr>
  </w:style>
  <w:style w:type="character" w:customStyle="1" w:styleId="Underline">
    <w:name w:val="Underline"/>
    <w:basedOn w:val="DefaultParagraphFont"/>
    <w:qFormat/>
    <w:rsid w:val="00827D0F"/>
    <w:rPr>
      <w:u w:val="single"/>
    </w:rPr>
  </w:style>
  <w:style w:type="character" w:customStyle="1" w:styleId="BoldandItalics">
    <w:name w:val="Bold and Italics"/>
    <w:qFormat/>
    <w:rsid w:val="00827D0F"/>
    <w:rPr>
      <w:b/>
      <w:i/>
      <w:u w:val="none"/>
    </w:rPr>
  </w:style>
  <w:style w:type="paragraph" w:styleId="BalloonText">
    <w:name w:val="Balloon Text"/>
    <w:basedOn w:val="Normal"/>
    <w:link w:val="BalloonTextChar"/>
    <w:rsid w:val="00827D0F"/>
    <w:rPr>
      <w:rFonts w:ascii="Tahoma" w:hAnsi="Tahoma" w:cs="Tahoma"/>
      <w:sz w:val="16"/>
      <w:szCs w:val="16"/>
    </w:rPr>
  </w:style>
  <w:style w:type="character" w:customStyle="1" w:styleId="BalloonTextChar">
    <w:name w:val="Balloon Text Char"/>
    <w:basedOn w:val="DefaultParagraphFont"/>
    <w:link w:val="BalloonText"/>
    <w:rsid w:val="00827D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7D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7D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7D0F"/>
    <w:rPr>
      <w:b/>
      <w:color w:val="660033"/>
      <w:spacing w:val="0"/>
    </w:rPr>
  </w:style>
  <w:style w:type="paragraph" w:customStyle="1" w:styleId="Nameditemlist">
    <w:name w:val="Named item list"/>
    <w:basedOn w:val="BodyText"/>
    <w:qFormat/>
    <w:rsid w:val="00827D0F"/>
    <w:pPr>
      <w:tabs>
        <w:tab w:val="left" w:pos="2835"/>
      </w:tabs>
      <w:ind w:left="2835" w:hanging="2835"/>
    </w:pPr>
  </w:style>
  <w:style w:type="paragraph" w:customStyle="1" w:styleId="BodyTextnopadding">
    <w:name w:val="Body Text no padding"/>
    <w:basedOn w:val="BodyText"/>
    <w:qFormat/>
    <w:rsid w:val="00827D0F"/>
    <w:pPr>
      <w:spacing w:before="0" w:after="0"/>
    </w:pPr>
  </w:style>
  <w:style w:type="paragraph" w:customStyle="1" w:styleId="BodyTextBold">
    <w:name w:val="Body Text Bold"/>
    <w:basedOn w:val="BodyText"/>
    <w:qFormat/>
    <w:rsid w:val="00827D0F"/>
    <w:rPr>
      <w:b/>
    </w:rPr>
  </w:style>
  <w:style w:type="character" w:styleId="Hyperlink">
    <w:name w:val="Hyperlink"/>
    <w:basedOn w:val="DefaultParagraphFont"/>
    <w:uiPriority w:val="99"/>
    <w:unhideWhenUsed/>
    <w:rsid w:val="00303A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704</Words>
  <Characters>4549</Characters>
  <Application>Microsoft Office Word</Application>
  <DocSecurity>0</DocSecurity>
  <Lines>239</Lines>
  <Paragraphs>150</Paragraphs>
  <ScaleCrop>false</ScaleCrop>
  <Company>Author-it Software Corporation Ltd.</Company>
  <LinksUpToDate>false</LinksUpToDate>
  <CharactersWithSpaces>5103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MARC025 Operate and maintain engines for auxiliary systems other than steam auxiliary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2021-01-24T23:05:00Z</dcterms:created>
  <dcterms:modified xsi:type="dcterms:W3CDTF">2021-01-24T23:05:00Z</dcterms:modified>
</cp:coreProperties>
</file>