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5DE" w:rsidP="003935DE">
      <w:pPr>
        <w:pStyle w:val="Title"/>
      </w:pPr>
      <w:r>
        <w:fldChar w:fldCharType="begin"/>
      </w:r>
      <w:r>
        <w:instrText xml:space="preserve"> TITLE   \* MERGEFORMAT </w:instrText>
      </w:r>
      <w:r>
        <w:fldChar w:fldCharType="separate"/>
      </w:r>
      <w:r>
        <w:t>Assessment Requirements for MARC025 Operate and maintain engines for auxiliary systems other than steam auxiliary systems</w:t>
      </w:r>
      <w:r>
        <w:fldChar w:fldCharType="end"/>
      </w:r>
    </w:p>
    <w:p w:rsidR="003935DE" w:rsidP="003935DE">
      <w:pPr>
        <w:pStyle w:val="Version"/>
        <w:sectPr w:rsidSect="000A1F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F21" w:rsidP="000A1F21">
      <w:pPr>
        <w:pStyle w:val="SuperHeading"/>
      </w:pPr>
      <w:r w:rsidRPr="000A1F21">
        <w:t>Assessment Requirements for MARC025 Operate and maintain engines for auxiliary systems other than steam auxiliary systems</w:t>
      </w:r>
    </w:p>
    <w:p w:rsidR="00000000" w:rsidRPr="000A1F21" w:rsidP="000A1F21">
      <w:pPr>
        <w:pStyle w:val="Heading1"/>
      </w:pPr>
      <w:bookmarkStart w:id="1" w:name="O_661313"/>
      <w:bookmarkEnd w:id="1"/>
      <w:r w:rsidRPr="000A1F21">
        <w:t>Modification History</w:t>
      </w:r>
    </w:p>
    <w:p w:rsidR="00000000" w:rsidRPr="000A1F21" w:rsidP="003935DE">
      <w:pPr>
        <w:pStyle w:val="BodyText"/>
      </w:pPr>
      <w:r w:rsidRPr="000A1F21">
        <w:t>Release 1. New unit of competency.</w:t>
      </w:r>
    </w:p>
    <w:p w:rsidR="00000000" w:rsidRPr="000A1F21" w:rsidP="000A1F21">
      <w:pPr>
        <w:pStyle w:val="Heading1"/>
      </w:pPr>
      <w:bookmarkStart w:id="2" w:name="O_661314"/>
      <w:bookmarkEnd w:id="2"/>
      <w:r w:rsidRPr="000A1F21">
        <w:t>Performance Evidence</w:t>
      </w:r>
    </w:p>
    <w:tbl>
      <w:tblPr>
        <w:tblW w:w="9498" w:type="dxa"/>
        <w:tblLayout w:type="fixed"/>
        <w:tblCellMar>
          <w:left w:w="62" w:type="dxa"/>
          <w:right w:w="62" w:type="dxa"/>
        </w:tblCellMar>
        <w:tblLook w:val="0000"/>
      </w:tblPr>
      <w:tblGrid>
        <w:gridCol w:w="9498"/>
      </w:tblGrid>
      <w:tr w:rsidTr="000A1F2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A1F21">
            <w:pPr>
              <w:pStyle w:val="BodyText"/>
              <w:rPr>
                <w:lang w:val="en-NZ"/>
              </w:rPr>
            </w:pPr>
            <w:r w:rsidRPr="000A1F21">
              <w:t>Evidence required to demonstrate competence in this unit must be relevant to and satisfy all of the requirements of the elements, performance criteria and range of conditions on at least one occasion and include:</w:t>
            </w:r>
          </w:p>
        </w:tc>
      </w:tr>
      <w:tr w:rsidTr="000A1F21">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0A1F21" w:rsidP="000A1F21">
            <w:pPr>
              <w:pStyle w:val="ListBullet"/>
            </w:pPr>
            <w:r w:rsidRPr="000A1F21">
              <w:t>applying relevant work health and safety/</w:t>
            </w:r>
            <w:r w:rsidRPr="000A1F21">
              <w:t>occupational health and safety (WHS/OHS) requirements and work practices</w:t>
            </w:r>
          </w:p>
          <w:p w:rsidR="00000000" w:rsidRPr="000A1F21" w:rsidP="000A1F21">
            <w:pPr>
              <w:pStyle w:val="ListBullet"/>
            </w:pPr>
            <w:r w:rsidRPr="000A1F21">
              <w:t>attending to appropriate level of detail in recordkeeping</w:t>
            </w:r>
          </w:p>
          <w:p w:rsidR="00000000" w:rsidRPr="000A1F21" w:rsidP="000A1F21">
            <w:pPr>
              <w:pStyle w:val="ListBullet"/>
            </w:pPr>
            <w:r w:rsidRPr="000A1F21">
              <w:t>managing:</w:t>
            </w:r>
          </w:p>
          <w:p w:rsidR="00000000" w:rsidRPr="000A1F21" w:rsidP="000A1F21">
            <w:pPr>
              <w:pStyle w:val="ListBullet2"/>
            </w:pPr>
            <w:r w:rsidRPr="000A1F21">
              <w:t>refrigerant gases</w:t>
            </w:r>
          </w:p>
          <w:p w:rsidR="00000000" w:rsidRPr="000A1F21" w:rsidP="000A1F21">
            <w:pPr>
              <w:pStyle w:val="ListBullet2"/>
            </w:pPr>
            <w:r w:rsidRPr="000A1F21">
              <w:t>lubricating systems and prevent pollution of marine environment</w:t>
            </w:r>
          </w:p>
          <w:p w:rsidR="00000000" w:rsidRPr="000A1F21" w:rsidP="000A1F21">
            <w:pPr>
              <w:pStyle w:val="ListBullet2"/>
            </w:pPr>
            <w:r w:rsidRPr="000A1F21">
              <w:t>cooling systems</w:t>
            </w:r>
          </w:p>
          <w:p w:rsidR="00000000" w:rsidRPr="000A1F21" w:rsidP="000A1F21">
            <w:pPr>
              <w:pStyle w:val="ListBullet2"/>
            </w:pPr>
            <w:r w:rsidRPr="000A1F21">
              <w:t>pumping systems and prevent pollution of marine environment</w:t>
            </w:r>
          </w:p>
          <w:p w:rsidR="00000000" w:rsidRPr="000A1F21" w:rsidP="000A1F21">
            <w:pPr>
              <w:pStyle w:val="ListBullet"/>
            </w:pPr>
            <w:r w:rsidRPr="000A1F21">
              <w:t>operating and maintaining steering systems</w:t>
            </w:r>
          </w:p>
          <w:p w:rsidR="00000000" w:rsidRPr="000A1F21" w:rsidP="000A1F21">
            <w:pPr>
              <w:pStyle w:val="ListBullet"/>
            </w:pPr>
            <w:r w:rsidRPr="000A1F21">
              <w:t>operating marine auxiliary internal combustion engines within technical specifications</w:t>
            </w:r>
          </w:p>
          <w:p w:rsidR="00000000" w:rsidRPr="000A1F21" w:rsidP="000A1F21">
            <w:pPr>
              <w:pStyle w:val="ListBullet"/>
            </w:pPr>
            <w:r w:rsidRPr="000A1F21">
              <w:t>preparing machinery for sea</w:t>
            </w:r>
          </w:p>
          <w:p w:rsidR="00000000" w:rsidRPr="000A1F21" w:rsidP="000A1F21">
            <w:pPr>
              <w:pStyle w:val="ListBullet"/>
            </w:pPr>
            <w:r w:rsidRPr="000A1F21">
              <w:t>recognising and rectifying operationa</w:t>
            </w:r>
            <w:r w:rsidRPr="000A1F21">
              <w:t>l faults</w:t>
            </w:r>
          </w:p>
          <w:p w:rsidR="00000000" w:rsidRPr="000A1F21" w:rsidP="000A1F21">
            <w:pPr>
              <w:pStyle w:val="ListBullet"/>
            </w:pPr>
            <w:r w:rsidRPr="000A1F21">
              <w:t>securing machinery after voyage</w:t>
            </w:r>
          </w:p>
        </w:tc>
      </w:tr>
    </w:tbl>
    <w:p w:rsidR="00000000" w:rsidRPr="000A1F21" w:rsidP="000A1F21">
      <w:pPr>
        <w:pStyle w:val="BodyText"/>
      </w:pPr>
    </w:p>
    <w:p w:rsidR="00000000" w:rsidRPr="000A1F21" w:rsidP="000A1F21">
      <w:pPr>
        <w:pStyle w:val="AllowPageBreak"/>
      </w:pPr>
    </w:p>
    <w:p w:rsidR="00000000" w:rsidRPr="000A1F21" w:rsidP="000A1F21">
      <w:pPr>
        <w:pStyle w:val="Heading1"/>
      </w:pPr>
      <w:bookmarkStart w:id="3" w:name="O_661315"/>
      <w:bookmarkEnd w:id="3"/>
      <w:r w:rsidRPr="000A1F21">
        <w:t>Knowledge Evidence</w:t>
      </w:r>
    </w:p>
    <w:tbl>
      <w:tblPr>
        <w:tblW w:w="9498" w:type="dxa"/>
        <w:tblLayout w:type="fixed"/>
        <w:tblCellMar>
          <w:left w:w="62" w:type="dxa"/>
          <w:right w:w="62" w:type="dxa"/>
        </w:tblCellMar>
        <w:tblLook w:val="0000"/>
      </w:tblPr>
      <w:tblGrid>
        <w:gridCol w:w="9498"/>
      </w:tblGrid>
      <w:tr w:rsidTr="000A1F21">
        <w:tblPrEx>
          <w:tblW w:w="9498" w:type="dxa"/>
          <w:tblLayout w:type="fixed"/>
          <w:tblCellMar>
            <w:left w:w="62" w:type="dxa"/>
            <w:right w:w="62" w:type="dxa"/>
          </w:tblCellMar>
          <w:tblLook w:val="0000"/>
        </w:tblPrEx>
        <w:trPr>
          <w:trHeight w:val="793"/>
        </w:trPr>
        <w:tc>
          <w:tcPr>
            <w:tcW w:w="9498" w:type="dxa"/>
            <w:tcBorders>
              <w:top w:val="nil"/>
              <w:left w:val="nil"/>
              <w:bottom w:val="nil"/>
              <w:right w:val="nil"/>
            </w:tcBorders>
            <w:tcMar>
              <w:top w:w="0" w:type="dxa"/>
              <w:left w:w="62" w:type="dxa"/>
              <w:bottom w:w="0" w:type="dxa"/>
              <w:right w:w="62" w:type="dxa"/>
            </w:tcMar>
          </w:tcPr>
          <w:p w:rsidR="00000000" w:rsidP="000A1F21">
            <w:pPr>
              <w:pStyle w:val="BodyText"/>
              <w:rPr>
                <w:lang w:val="en-NZ"/>
              </w:rPr>
            </w:pPr>
            <w:r w:rsidRPr="000A1F21">
              <w:t xml:space="preserve">Evidence required to demonstrate competence in this unit must be relevant to and satisfy all of the requirements of the elements, performance </w:t>
            </w:r>
            <w:r w:rsidRPr="000A1F21">
              <w:t>criteria and range of conditions and include knowledge of:</w:t>
            </w:r>
          </w:p>
        </w:tc>
      </w:tr>
      <w:tr w:rsidTr="000A1F2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A1F21" w:rsidP="000A1F21">
            <w:pPr>
              <w:pStyle w:val="ListBullet"/>
            </w:pPr>
            <w:r w:rsidRPr="000A1F21">
              <w:t>basic constructional parts of marine auxiliary internal combustion engines</w:t>
            </w:r>
          </w:p>
          <w:p w:rsidR="00000000" w:rsidRPr="000A1F21" w:rsidP="000A1F21">
            <w:pPr>
              <w:pStyle w:val="ListBullet"/>
            </w:pPr>
            <w:r w:rsidRPr="000A1F21">
              <w:t>bilge pumping for vessels with several compartments</w:t>
            </w:r>
          </w:p>
          <w:p w:rsidR="00000000" w:rsidRPr="000A1F21" w:rsidP="000A1F21">
            <w:pPr>
              <w:pStyle w:val="ListBullet"/>
            </w:pPr>
            <w:r w:rsidRPr="000A1F21">
              <w:t>common faults in steering gear</w:t>
            </w:r>
          </w:p>
          <w:p w:rsidR="00000000" w:rsidRPr="000A1F21" w:rsidP="000A1F21">
            <w:pPr>
              <w:pStyle w:val="ListBullet"/>
            </w:pPr>
            <w:r w:rsidRPr="000A1F21">
              <w:t xml:space="preserve">construction and maintenance of heat </w:t>
            </w:r>
            <w:r w:rsidRPr="000A1F21">
              <w:t>exchangers</w:t>
            </w:r>
          </w:p>
          <w:p w:rsidR="00000000" w:rsidRPr="000A1F21" w:rsidP="000A1F21">
            <w:pPr>
              <w:pStyle w:val="ListBullet"/>
            </w:pPr>
            <w:r w:rsidRPr="000A1F21">
              <w:t>corrosion prevention</w:t>
            </w:r>
          </w:p>
          <w:p w:rsidR="00000000" w:rsidRPr="000A1F21" w:rsidP="000A1F21">
            <w:pPr>
              <w:pStyle w:val="ListBullet"/>
            </w:pPr>
            <w:r w:rsidRPr="000A1F21">
              <w:t>cross connections between bilge/ballast/seawater systems and fire main</w:t>
            </w:r>
          </w:p>
          <w:p w:rsidR="00000000" w:rsidRPr="000A1F21" w:rsidP="000A1F21">
            <w:pPr>
              <w:pStyle w:val="ListBullet"/>
            </w:pPr>
            <w:r w:rsidRPr="000A1F21">
              <w:t>dangers associated with:</w:t>
            </w:r>
          </w:p>
          <w:p w:rsidR="00000000" w:rsidRPr="000A1F21" w:rsidP="000A1F21">
            <w:pPr>
              <w:pStyle w:val="ListBullet2"/>
            </w:pPr>
            <w:r w:rsidRPr="000A1F21">
              <w:t xml:space="preserve">back-flooding and methods to prevent back-flooding </w:t>
            </w:r>
          </w:p>
          <w:p w:rsidR="00000000" w:rsidRPr="000A1F21" w:rsidP="000A1F21">
            <w:pPr>
              <w:pStyle w:val="ListBullet2"/>
            </w:pPr>
            <w:r w:rsidRPr="000A1F21">
              <w:t>LPG and petrol vapour</w:t>
            </w:r>
          </w:p>
          <w:p w:rsidR="00000000" w:rsidRPr="000A1F21" w:rsidP="000A1F21">
            <w:pPr>
              <w:pStyle w:val="ListBullet"/>
            </w:pPr>
            <w:r w:rsidRPr="000A1F21">
              <w:t>dangers of refrigerant gas leaks in confined spaces</w:t>
            </w:r>
          </w:p>
          <w:p w:rsidR="00000000" w:rsidRPr="000A1F21" w:rsidP="000A1F21">
            <w:pPr>
              <w:pStyle w:val="ListBullet"/>
            </w:pPr>
            <w:r w:rsidRPr="000A1F21">
              <w:t>diesel engine:</w:t>
            </w:r>
          </w:p>
          <w:p w:rsidR="00000000" w:rsidRPr="000A1F21" w:rsidP="000A1F21">
            <w:pPr>
              <w:pStyle w:val="ListBullet2"/>
            </w:pPr>
            <w:r w:rsidRPr="000A1F21">
              <w:t>construction</w:t>
            </w:r>
          </w:p>
          <w:p w:rsidR="00000000" w:rsidRPr="000A1F21" w:rsidP="000A1F21">
            <w:pPr>
              <w:pStyle w:val="ListBullet2"/>
            </w:pPr>
            <w:r w:rsidRPr="000A1F21">
              <w:t>fuel injection, timing and control equipment</w:t>
            </w:r>
          </w:p>
          <w:p w:rsidR="00000000" w:rsidRPr="000A1F21" w:rsidP="000A1F21">
            <w:pPr>
              <w:pStyle w:val="ListBullet2"/>
            </w:pPr>
            <w:r w:rsidRPr="000A1F21">
              <w:t>operation and routine maintenance</w:t>
            </w:r>
          </w:p>
          <w:p w:rsidR="00000000" w:rsidRPr="000A1F21" w:rsidP="000A1F21">
            <w:pPr>
              <w:pStyle w:val="ListBullet"/>
            </w:pPr>
            <w:r w:rsidRPr="000A1F21">
              <w:t>dry sump and wet sump lubrication systems</w:t>
            </w:r>
          </w:p>
          <w:p w:rsidR="00000000" w:rsidRPr="000A1F21" w:rsidP="000A1F21">
            <w:pPr>
              <w:pStyle w:val="ListBullet"/>
            </w:pPr>
            <w:r w:rsidRPr="000A1F21">
              <w:t>electro-hydraulic steering gear</w:t>
            </w:r>
          </w:p>
          <w:p w:rsidR="00000000" w:rsidRPr="000A1F21" w:rsidP="000A1F21">
            <w:pPr>
              <w:pStyle w:val="ListBullet"/>
            </w:pPr>
            <w:r w:rsidRPr="000A1F21">
              <w:t>emergency steering</w:t>
            </w:r>
          </w:p>
          <w:p w:rsidR="00000000" w:rsidRPr="000A1F21" w:rsidP="000A1F21">
            <w:pPr>
              <w:pStyle w:val="ListBullet"/>
            </w:pPr>
            <w:r w:rsidRPr="000A1F21">
              <w:t>engine:</w:t>
            </w:r>
          </w:p>
          <w:p w:rsidR="00000000" w:rsidRPr="000A1F21" w:rsidP="000A1F21">
            <w:pPr>
              <w:pStyle w:val="ListBullet2"/>
            </w:pPr>
            <w:r w:rsidRPr="000A1F21">
              <w:t>performance and reasons for lack of performan</w:t>
            </w:r>
            <w:r w:rsidRPr="000A1F21">
              <w:t xml:space="preserve">ce </w:t>
            </w:r>
          </w:p>
          <w:p w:rsidR="00000000" w:rsidRPr="000A1F21" w:rsidP="000A1F21">
            <w:pPr>
              <w:pStyle w:val="ListBullet2"/>
            </w:pPr>
            <w:r w:rsidRPr="000A1F21">
              <w:t>protection arrangements</w:t>
            </w:r>
          </w:p>
          <w:p w:rsidR="00000000" w:rsidRPr="000A1F21" w:rsidP="000A1F21">
            <w:pPr>
              <w:pStyle w:val="ListBullet"/>
            </w:pPr>
            <w:r w:rsidRPr="000A1F21">
              <w:t>heat exchanger, keel cooler and raw water cooling systems</w:t>
            </w:r>
          </w:p>
          <w:p w:rsidR="00000000" w:rsidRPr="000A1F21" w:rsidP="000A1F21">
            <w:pPr>
              <w:pStyle w:val="ListBullet"/>
            </w:pPr>
            <w:r w:rsidRPr="000A1F21">
              <w:t>own ability and limits to rectify irregularities and faults</w:t>
            </w:r>
          </w:p>
          <w:p w:rsidR="00000000" w:rsidRPr="000A1F21" w:rsidP="000A1F21">
            <w:pPr>
              <w:pStyle w:val="ListBullet"/>
            </w:pPr>
            <w:r w:rsidRPr="000A1F21">
              <w:t>oil quality monitoring and filter changing procedures</w:t>
            </w:r>
          </w:p>
          <w:p w:rsidR="00000000" w:rsidRPr="000A1F21" w:rsidP="000A1F21">
            <w:pPr>
              <w:pStyle w:val="ListBullet"/>
            </w:pPr>
            <w:r w:rsidRPr="000A1F21">
              <w:t>planned maintenance</w:t>
            </w:r>
          </w:p>
          <w:p w:rsidR="00000000" w:rsidRPr="000A1F21" w:rsidP="000A1F21">
            <w:pPr>
              <w:pStyle w:val="ListBullet"/>
            </w:pPr>
            <w:r w:rsidRPr="000A1F21">
              <w:t>preparations and checks necessary before sailing</w:t>
            </w:r>
          </w:p>
          <w:p w:rsidR="00000000" w:rsidRPr="000A1F21" w:rsidP="000A1F21">
            <w:pPr>
              <w:pStyle w:val="ListBullet"/>
            </w:pPr>
            <w:r w:rsidRPr="000A1F21">
              <w:t>pump capabilities and requirements for priming</w:t>
            </w:r>
          </w:p>
          <w:p w:rsidR="00000000" w:rsidRPr="000A1F21" w:rsidP="000A1F21">
            <w:pPr>
              <w:pStyle w:val="ListBullet"/>
            </w:pPr>
            <w:r w:rsidRPr="000A1F21">
              <w:t>relevant licensing, legislative, regulatory or certification requirements</w:t>
            </w:r>
          </w:p>
          <w:p w:rsidR="00000000" w:rsidRPr="000A1F21" w:rsidP="000A1F21">
            <w:pPr>
              <w:pStyle w:val="ListBullet"/>
            </w:pPr>
            <w:r w:rsidRPr="000A1F21">
              <w:t>routine maintenance on steering systems</w:t>
            </w:r>
          </w:p>
          <w:p w:rsidR="00000000" w:rsidRPr="000A1F21" w:rsidP="000A1F21">
            <w:pPr>
              <w:pStyle w:val="ListBullet"/>
            </w:pPr>
            <w:r w:rsidRPr="000A1F21">
              <w:t>seawater circulating systems</w:t>
            </w:r>
          </w:p>
          <w:p w:rsidR="00000000" w:rsidRPr="000A1F21" w:rsidP="000A1F21">
            <w:pPr>
              <w:pStyle w:val="ListBullet"/>
            </w:pPr>
            <w:r w:rsidRPr="000A1F21">
              <w:t>securing machiner</w:t>
            </w:r>
            <w:r w:rsidRPr="000A1F21">
              <w:t>y after voyage</w:t>
            </w:r>
          </w:p>
          <w:p w:rsidR="00000000" w:rsidRPr="000A1F21" w:rsidP="000A1F21">
            <w:pPr>
              <w:pStyle w:val="ListBullet"/>
            </w:pPr>
            <w:r w:rsidRPr="000A1F21">
              <w:t>shutting down machinery</w:t>
            </w:r>
          </w:p>
          <w:p w:rsidR="00000000" w:rsidRPr="000A1F21" w:rsidP="000A1F21">
            <w:pPr>
              <w:pStyle w:val="ListBullet"/>
            </w:pPr>
            <w:r w:rsidRPr="000A1F21">
              <w:t>storage and testing of LPG cylinders</w:t>
            </w:r>
          </w:p>
          <w:p w:rsidR="00000000" w:rsidRPr="000A1F21" w:rsidP="000A1F21">
            <w:pPr>
              <w:pStyle w:val="ListBullet"/>
            </w:pPr>
            <w:r w:rsidRPr="000A1F21">
              <w:t>testing of steering gear</w:t>
            </w:r>
          </w:p>
          <w:p w:rsidR="00000000" w:rsidRPr="000A1F21" w:rsidP="000A1F21">
            <w:pPr>
              <w:pStyle w:val="ListBullet"/>
            </w:pPr>
            <w:r w:rsidRPr="000A1F21">
              <w:t>two- and four-stroke cycles of operation</w:t>
            </w:r>
          </w:p>
          <w:p w:rsidR="00000000" w:rsidRPr="000A1F21" w:rsidP="000A1F21">
            <w:pPr>
              <w:pStyle w:val="ListBullet"/>
            </w:pPr>
            <w:r w:rsidRPr="000A1F21">
              <w:t>types of pumps and safety devices</w:t>
            </w:r>
          </w:p>
        </w:tc>
      </w:tr>
    </w:tbl>
    <w:p w:rsidR="00000000" w:rsidRPr="000A1F21" w:rsidP="000A1F21">
      <w:pPr>
        <w:pStyle w:val="BodyText"/>
      </w:pPr>
    </w:p>
    <w:p w:rsidR="00000000" w:rsidRPr="000A1F21" w:rsidP="000A1F21">
      <w:pPr>
        <w:pStyle w:val="AllowPageBreak"/>
      </w:pPr>
    </w:p>
    <w:p w:rsidR="00000000" w:rsidRPr="000A1F21" w:rsidP="000A1F21">
      <w:pPr>
        <w:pStyle w:val="Heading1"/>
      </w:pPr>
      <w:bookmarkStart w:id="4" w:name="O_661316"/>
      <w:bookmarkEnd w:id="4"/>
      <w:r w:rsidRPr="000A1F21">
        <w:t>Assessment Conditions</w:t>
      </w:r>
    </w:p>
    <w:p w:rsidR="00000000" w:rsidRPr="000A1F21" w:rsidP="003935DE">
      <w:pPr>
        <w:pStyle w:val="BodyText"/>
      </w:pPr>
      <w:r w:rsidRPr="000A1F21">
        <w:t>Assessors must satisfy National Vocational Education and Training Regulator (NVR)/Australian Quality Training Framework (AQTF) assessor requirements.</w:t>
      </w:r>
    </w:p>
    <w:p w:rsidR="00000000" w:rsidRPr="000A1F21" w:rsidP="003935DE">
      <w:pPr>
        <w:pStyle w:val="BodyText"/>
      </w:pPr>
      <w:r w:rsidRPr="000A1F21">
        <w:t>Assessment must satisfy the National Vocational Education and Training Regulator (NVR)/Australian Quality</w:t>
      </w:r>
      <w:r w:rsidRPr="000A1F21">
        <w:t xml:space="preserve"> Training Framework (AQTF) standards.</w:t>
      </w:r>
    </w:p>
    <w:p w:rsidR="00000000" w:rsidRPr="000A1F21" w:rsidP="003935DE">
      <w:pPr>
        <w:pStyle w:val="BodyText"/>
      </w:pPr>
      <w:r w:rsidRPr="000A1F21">
        <w:t xml:space="preserve">Assessment processes and techniques must be appropriate to the language, literacy and numeracy requirements of the work being performed and the needs of the candidate. </w:t>
      </w:r>
    </w:p>
    <w:p w:rsidR="00000000" w:rsidRPr="000A1F21" w:rsidP="003935DE">
      <w:pPr>
        <w:pStyle w:val="BodyText"/>
      </w:pPr>
      <w:r w:rsidRPr="000A1F21">
        <w:t xml:space="preserve">Assessment must occur in workplace operational </w:t>
      </w:r>
      <w:r w:rsidRPr="000A1F21">
        <w:t>situations or where these are not available, in simulated workplace operational situations or an industry-approved marine operations site that replicates workplace conditions where operating and maintaining engines for auxiliary systems can be conducted.</w:t>
      </w:r>
    </w:p>
    <w:p w:rsidR="00000000" w:rsidRPr="000A1F21" w:rsidP="003935DE">
      <w:pPr>
        <w:pStyle w:val="BodyText"/>
      </w:pPr>
      <w:r w:rsidRPr="000A1F21">
        <w:t>Resources for assessment include access to:</w:t>
      </w:r>
    </w:p>
    <w:p w:rsidR="00000000" w:rsidRPr="000A1F21" w:rsidP="000A1F21">
      <w:pPr>
        <w:pStyle w:val="ListBullet"/>
      </w:pPr>
      <w:r w:rsidRPr="000A1F21">
        <w:t>relevant documentation including workplace procedures, regulations, codes of practice and operation manuals</w:t>
      </w:r>
    </w:p>
    <w:p w:rsidR="00000000" w:rsidRPr="000A1F21" w:rsidP="000A1F21">
      <w:pPr>
        <w:pStyle w:val="ListBullet"/>
      </w:pPr>
      <w:r w:rsidRPr="000A1F21">
        <w:t>tools, equipment and personal protective equipment currently used in industry</w:t>
      </w:r>
    </w:p>
    <w:p w:rsidR="00000000" w:rsidRPr="000A1F21" w:rsidP="000A1F21">
      <w:pPr>
        <w:pStyle w:val="BodyText"/>
      </w:pPr>
    </w:p>
    <w:p w:rsidR="00000000" w:rsidRPr="000A1F21" w:rsidP="003935DE">
      <w:pPr>
        <w:pStyle w:val="BodyText"/>
      </w:pPr>
      <w:r w:rsidRPr="000A1F21">
        <w:t>Performance should be demonstrated consistently over time and in a suitable range of contexts.</w:t>
      </w:r>
    </w:p>
    <w:p w:rsidR="00000000" w:rsidRPr="000A1F21" w:rsidP="000A1F21">
      <w:pPr>
        <w:pStyle w:val="Heading1"/>
      </w:pPr>
      <w:bookmarkStart w:id="5" w:name="O_661319"/>
      <w:bookmarkEnd w:id="5"/>
      <w:r w:rsidRPr="000A1F21">
        <w:t>Links</w:t>
      </w:r>
    </w:p>
    <w:p w:rsidR="00000000" w:rsidRPr="000A1F21" w:rsidP="003935DE">
      <w:pPr>
        <w:pStyle w:val="BodyText"/>
      </w:pPr>
      <w:r w:rsidRPr="000A1F2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C3BE9">
        <w:rPr>
          <w:rStyle w:val="Hyperlink"/>
        </w:rPr>
        <w:t>https://vetnet.gov.au/Pages/TrainingDocs.aspx?q=772efb7b-4cce-47fe-9bbd-ee3b1d1eb4c2</w:t>
      </w:r>
      <w:r>
        <w:fldChar w:fldCharType="end"/>
      </w:r>
    </w:p>
    <w:p w:rsidR="00000000" w:rsidRPr="000A1F21" w:rsidP="000A1F21"/>
    <w:sectPr w:rsidSect="000A1F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21" w:rsidRPr="003935DE" w:rsidP="00393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DE" w:rsidP="000A1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35DE" w:rsidP="000A1F2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935DE" w:rsidP="000A1F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F21" w:rsidRPr="003935DE" w:rsidP="003935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DE" w:rsidRPr="002D2AF8" w:rsidP="000A1F21">
    <w:pPr>
      <w:pStyle w:val="Header"/>
      <w:framePr w:wrap="around"/>
    </w:pPr>
    <w:r>
      <w:fldChar w:fldCharType="begin"/>
    </w:r>
    <w:r>
      <w:instrText xml:space="preserve"> TITLE   \* MERGEFORMAT </w:instrText>
    </w:r>
    <w:r>
      <w:fldChar w:fldCharType="separate"/>
    </w:r>
    <w:r>
      <w:t>Assessment Requirements for MARC025 Operate and maintain engines for auxiliary systems other than steam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3935DE" w:rsidP="000A1F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B40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60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BE4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F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F21"/>
    <w:pPr>
      <w:spacing w:before="360" w:after="60"/>
      <w:outlineLvl w:val="0"/>
    </w:pPr>
    <w:rPr>
      <w:sz w:val="32"/>
    </w:rPr>
  </w:style>
  <w:style w:type="paragraph" w:styleId="Heading2">
    <w:name w:val="heading 2"/>
    <w:basedOn w:val="HeadingBase"/>
    <w:next w:val="BodyText"/>
    <w:link w:val="Heading2Char"/>
    <w:qFormat/>
    <w:rsid w:val="000A1F21"/>
    <w:pPr>
      <w:keepLines/>
      <w:spacing w:before="240" w:after="120"/>
      <w:outlineLvl w:val="1"/>
    </w:pPr>
    <w:rPr>
      <w:sz w:val="28"/>
      <w:szCs w:val="40"/>
    </w:rPr>
  </w:style>
  <w:style w:type="paragraph" w:styleId="Heading3">
    <w:name w:val="heading 3"/>
    <w:basedOn w:val="HeadingBase"/>
    <w:next w:val="BodyText"/>
    <w:link w:val="Heading3Char"/>
    <w:qFormat/>
    <w:rsid w:val="000A1F21"/>
    <w:pPr>
      <w:spacing w:before="180" w:after="120"/>
      <w:outlineLvl w:val="2"/>
    </w:pPr>
    <w:rPr>
      <w:spacing w:val="-10"/>
      <w:kern w:val="32"/>
    </w:rPr>
  </w:style>
  <w:style w:type="paragraph" w:styleId="Heading4">
    <w:name w:val="heading 4"/>
    <w:basedOn w:val="HeadingBase"/>
    <w:next w:val="BodyText"/>
    <w:link w:val="Heading4Char"/>
    <w:qFormat/>
    <w:rsid w:val="000A1F21"/>
    <w:pPr>
      <w:spacing w:before="160" w:after="120"/>
      <w:outlineLvl w:val="3"/>
    </w:pPr>
    <w:rPr>
      <w:sz w:val="22"/>
    </w:rPr>
  </w:style>
  <w:style w:type="paragraph" w:styleId="Heading5">
    <w:name w:val="heading 5"/>
    <w:basedOn w:val="HeadingBase"/>
    <w:next w:val="Normal"/>
    <w:link w:val="Heading5Char"/>
    <w:qFormat/>
    <w:rsid w:val="000A1F21"/>
    <w:pPr>
      <w:spacing w:before="80"/>
      <w:outlineLvl w:val="4"/>
    </w:pPr>
    <w:rPr>
      <w:color w:val="918585"/>
      <w:sz w:val="20"/>
    </w:rPr>
  </w:style>
  <w:style w:type="paragraph" w:styleId="Heading6">
    <w:name w:val="heading 6"/>
    <w:basedOn w:val="HeadingBase"/>
    <w:next w:val="Normal"/>
    <w:link w:val="Heading6Char"/>
    <w:qFormat/>
    <w:rsid w:val="000A1F21"/>
    <w:pPr>
      <w:spacing w:before="60"/>
      <w:outlineLvl w:val="5"/>
    </w:pPr>
    <w:rPr>
      <w:color w:val="918585"/>
      <w:sz w:val="20"/>
    </w:rPr>
  </w:style>
  <w:style w:type="paragraph" w:styleId="Heading7">
    <w:name w:val="heading 7"/>
    <w:basedOn w:val="Normal"/>
    <w:next w:val="Normal"/>
    <w:link w:val="Heading7Char"/>
    <w:qFormat/>
    <w:rsid w:val="000A1F21"/>
    <w:pPr>
      <w:ind w:left="720"/>
      <w:outlineLvl w:val="6"/>
    </w:pPr>
    <w:rPr>
      <w:i/>
    </w:rPr>
  </w:style>
  <w:style w:type="paragraph" w:styleId="Heading8">
    <w:name w:val="heading 8"/>
    <w:basedOn w:val="Normal"/>
    <w:next w:val="Normal"/>
    <w:link w:val="Heading8Char"/>
    <w:qFormat/>
    <w:rsid w:val="000A1F21"/>
    <w:pPr>
      <w:ind w:left="720"/>
      <w:outlineLvl w:val="7"/>
    </w:pPr>
    <w:rPr>
      <w:i/>
    </w:rPr>
  </w:style>
  <w:style w:type="paragraph" w:styleId="Heading9">
    <w:name w:val="heading 9"/>
    <w:basedOn w:val="Normal"/>
    <w:next w:val="Normal"/>
    <w:link w:val="Heading9Char"/>
    <w:qFormat/>
    <w:rsid w:val="000A1F21"/>
    <w:pPr>
      <w:ind w:left="720"/>
      <w:outlineLvl w:val="8"/>
    </w:pPr>
    <w:rPr>
      <w:i/>
    </w:rPr>
  </w:style>
  <w:style w:type="character" w:default="1" w:styleId="DefaultParagraphFont">
    <w:name w:val="Default Paragraph Font"/>
    <w:uiPriority w:val="1"/>
    <w:unhideWhenUsed/>
    <w:rsid w:val="000A1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F21"/>
  </w:style>
  <w:style w:type="character" w:customStyle="1" w:styleId="Heading1Char">
    <w:name w:val="Heading 1 Char"/>
    <w:basedOn w:val="DefaultParagraphFont"/>
    <w:link w:val="Heading1"/>
    <w:rsid w:val="000A1F21"/>
    <w:rPr>
      <w:rFonts w:ascii="Times New Roman" w:eastAsia="Times New Roman" w:hAnsi="Times New Roman" w:cs="Times New Roman"/>
      <w:b/>
      <w:sz w:val="32"/>
      <w:szCs w:val="20"/>
      <w:lang w:eastAsia="en-US"/>
    </w:rPr>
  </w:style>
  <w:style w:type="paragraph" w:styleId="BodyText">
    <w:name w:val="Body Text"/>
    <w:basedOn w:val="Normal"/>
    <w:link w:val="BodyTextChar"/>
    <w:rsid w:val="000A1F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F21"/>
    <w:rPr>
      <w:rFonts w:ascii="Times New Roman" w:eastAsia="Times New Roman" w:hAnsi="Times New Roman" w:cs="Times New Roman"/>
      <w:sz w:val="24"/>
      <w:lang w:eastAsia="en-US"/>
    </w:rPr>
  </w:style>
  <w:style w:type="paragraph" w:styleId="ListBullet">
    <w:name w:val="List Bullet"/>
    <w:basedOn w:val="List"/>
    <w:rsid w:val="000A1F21"/>
    <w:pPr>
      <w:numPr>
        <w:numId w:val="12"/>
      </w:numPr>
      <w:tabs>
        <w:tab w:val="clear" w:pos="340"/>
      </w:tabs>
      <w:spacing w:before="40" w:after="40"/>
    </w:pPr>
  </w:style>
  <w:style w:type="paragraph" w:styleId="ListBullet2">
    <w:name w:val="List Bullet 2"/>
    <w:basedOn w:val="List2"/>
    <w:rsid w:val="000A1F21"/>
    <w:pPr>
      <w:numPr>
        <w:numId w:val="13"/>
      </w:numPr>
      <w:tabs>
        <w:tab w:val="clear" w:pos="680"/>
      </w:tabs>
    </w:pPr>
  </w:style>
  <w:style w:type="paragraph" w:customStyle="1" w:styleId="SuperHeading">
    <w:name w:val="SuperHeading"/>
    <w:basedOn w:val="Normal"/>
    <w:rsid w:val="000A1F21"/>
    <w:pPr>
      <w:spacing w:before="240" w:after="120"/>
      <w:outlineLvl w:val="0"/>
    </w:pPr>
    <w:rPr>
      <w:rFonts w:ascii="Times New Roman" w:hAnsi="Times New Roman"/>
      <w:b/>
      <w:sz w:val="32"/>
    </w:rPr>
  </w:style>
  <w:style w:type="paragraph" w:customStyle="1" w:styleId="AllowPageBreak">
    <w:name w:val="AllowPageBreak"/>
    <w:rsid w:val="000A1F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F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F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F21"/>
    <w:rPr>
      <w:rFonts w:ascii="Courier New" w:eastAsia="Times New Roman" w:hAnsi="Courier New" w:cs="Times New Roman"/>
      <w:i/>
      <w:szCs w:val="20"/>
      <w:lang w:eastAsia="en-US"/>
    </w:rPr>
  </w:style>
  <w:style w:type="paragraph" w:customStyle="1" w:styleId="HeadingBase">
    <w:name w:val="Heading Base"/>
    <w:rsid w:val="000A1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F21"/>
    <w:pPr>
      <w:tabs>
        <w:tab w:val="right" w:leader="dot" w:pos="9072"/>
      </w:tabs>
      <w:ind w:left="567"/>
    </w:pPr>
    <w:rPr>
      <w:szCs w:val="22"/>
    </w:rPr>
  </w:style>
  <w:style w:type="paragraph" w:customStyle="1" w:styleId="TOCBase">
    <w:name w:val="TOC Base"/>
    <w:rsid w:val="000A1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F21"/>
    <w:pPr>
      <w:tabs>
        <w:tab w:val="right" w:leader="dot" w:pos="9072"/>
      </w:tabs>
      <w:spacing w:before="40" w:after="40"/>
      <w:ind w:left="284"/>
    </w:pPr>
    <w:rPr>
      <w:rFonts w:ascii="Times New Roman" w:hAnsi="Times New Roman"/>
    </w:rPr>
  </w:style>
  <w:style w:type="paragraph" w:styleId="TOC1">
    <w:name w:val="toc 1"/>
    <w:basedOn w:val="TOCBase"/>
    <w:next w:val="Normal"/>
    <w:rsid w:val="000A1F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F21"/>
    <w:rPr>
      <w:rFonts w:ascii="Times New Roman" w:eastAsia="Times New Roman" w:hAnsi="Times New Roman" w:cs="Times New Roman"/>
      <w:sz w:val="16"/>
      <w:lang w:eastAsia="en-US"/>
    </w:rPr>
  </w:style>
  <w:style w:type="paragraph" w:styleId="Title">
    <w:name w:val="Title"/>
    <w:basedOn w:val="HeadingBase"/>
    <w:link w:val="TitleChar"/>
    <w:qFormat/>
    <w:rsid w:val="000A1F21"/>
    <w:pPr>
      <w:spacing w:before="5040"/>
      <w:jc w:val="center"/>
    </w:pPr>
    <w:rPr>
      <w:sz w:val="48"/>
      <w:szCs w:val="72"/>
      <w:lang w:val="en-US"/>
    </w:rPr>
  </w:style>
  <w:style w:type="character" w:customStyle="1" w:styleId="TitleChar">
    <w:name w:val="Title Char"/>
    <w:basedOn w:val="DefaultParagraphFont"/>
    <w:link w:val="Title"/>
    <w:rsid w:val="000A1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F21"/>
    <w:pPr>
      <w:tabs>
        <w:tab w:val="left" w:pos="3600"/>
        <w:tab w:val="left" w:pos="3958"/>
      </w:tabs>
    </w:pPr>
  </w:style>
  <w:style w:type="paragraph" w:styleId="List">
    <w:name w:val="List"/>
    <w:basedOn w:val="BodyText"/>
    <w:next w:val="BodyText"/>
    <w:rsid w:val="000A1F21"/>
    <w:pPr>
      <w:tabs>
        <w:tab w:val="left" w:pos="340"/>
      </w:tabs>
      <w:spacing w:before="60" w:after="60"/>
      <w:ind w:left="340" w:hanging="340"/>
    </w:pPr>
  </w:style>
  <w:style w:type="paragraph" w:customStyle="1" w:styleId="Note">
    <w:name w:val="Note"/>
    <w:basedOn w:val="BodyText"/>
    <w:rsid w:val="000A1F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1F21"/>
    <w:rPr>
      <w:b/>
      <w:spacing w:val="0"/>
    </w:rPr>
  </w:style>
  <w:style w:type="paragraph" w:customStyle="1" w:styleId="SuperTitle">
    <w:name w:val="SuperTitle"/>
    <w:basedOn w:val="Title"/>
    <w:rsid w:val="000A1F21"/>
    <w:pPr>
      <w:framePr w:wrap="auto" w:hAnchor="text" w:y="6049"/>
    </w:pPr>
    <w:rPr>
      <w:color w:val="000000"/>
      <w:sz w:val="40"/>
    </w:rPr>
  </w:style>
  <w:style w:type="paragraph" w:customStyle="1" w:styleId="TOCTitle">
    <w:name w:val="TOCTitle"/>
    <w:basedOn w:val="Heading1"/>
    <w:rsid w:val="000A1F21"/>
    <w:pPr>
      <w:spacing w:after="240"/>
      <w:jc w:val="center"/>
      <w:outlineLvl w:val="9"/>
    </w:pPr>
    <w:rPr>
      <w:caps/>
    </w:rPr>
  </w:style>
  <w:style w:type="paragraph" w:customStyle="1" w:styleId="Version">
    <w:name w:val="Version"/>
    <w:rsid w:val="000A1F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F21"/>
    <w:pPr>
      <w:keepNext w:val="0"/>
      <w:tabs>
        <w:tab w:val="right" w:pos="4176"/>
      </w:tabs>
      <w:ind w:left="198" w:hanging="198"/>
    </w:pPr>
    <w:rPr>
      <w:rFonts w:ascii="Garamond" w:hAnsi="Garamond"/>
    </w:rPr>
  </w:style>
  <w:style w:type="paragraph" w:styleId="IndexHeading">
    <w:name w:val="index heading"/>
    <w:basedOn w:val="Normal"/>
    <w:next w:val="Index1"/>
    <w:semiHidden/>
    <w:rsid w:val="000A1F21"/>
    <w:pPr>
      <w:spacing w:before="120" w:after="120"/>
    </w:pPr>
    <w:rPr>
      <w:rFonts w:ascii="Arial" w:hAnsi="Arial"/>
      <w:b/>
      <w:color w:val="918585"/>
      <w:sz w:val="24"/>
    </w:rPr>
  </w:style>
  <w:style w:type="paragraph" w:styleId="Header">
    <w:name w:val="header"/>
    <w:basedOn w:val="Normal"/>
    <w:link w:val="HeaderChar"/>
    <w:rsid w:val="000A1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F21"/>
    <w:rPr>
      <w:rFonts w:ascii="Times New Roman" w:eastAsia="Times New Roman" w:hAnsi="Times New Roman" w:cs="Times New Roman"/>
      <w:sz w:val="16"/>
      <w:szCs w:val="20"/>
      <w:lang w:val="en-GB" w:eastAsia="en-US"/>
    </w:rPr>
  </w:style>
  <w:style w:type="paragraph" w:customStyle="1" w:styleId="Chapter">
    <w:name w:val="Chapter"/>
    <w:basedOn w:val="Normal"/>
    <w:rsid w:val="000A1F21"/>
    <w:pPr>
      <w:spacing w:before="240"/>
    </w:pPr>
    <w:rPr>
      <w:rFonts w:ascii="Times New Roman" w:hAnsi="Times New Roman"/>
      <w:smallCaps/>
      <w:spacing w:val="80"/>
      <w:sz w:val="28"/>
    </w:rPr>
  </w:style>
  <w:style w:type="paragraph" w:customStyle="1" w:styleId="InChapter">
    <w:name w:val="InChapter"/>
    <w:basedOn w:val="Heading3"/>
    <w:rsid w:val="000A1F21"/>
    <w:pPr>
      <w:spacing w:after="240"/>
      <w:outlineLvl w:val="9"/>
    </w:pPr>
    <w:rPr>
      <w:noProof/>
    </w:rPr>
  </w:style>
  <w:style w:type="paragraph" w:styleId="Index2">
    <w:name w:val="index 2"/>
    <w:basedOn w:val="Normal"/>
    <w:next w:val="Normal"/>
    <w:semiHidden/>
    <w:rsid w:val="000A1F21"/>
    <w:pPr>
      <w:tabs>
        <w:tab w:val="right" w:pos="4176"/>
      </w:tabs>
      <w:ind w:left="568" w:hanging="284"/>
    </w:pPr>
    <w:rPr>
      <w:rFonts w:ascii="Garamond" w:hAnsi="Garamond"/>
    </w:rPr>
  </w:style>
  <w:style w:type="paragraph" w:customStyle="1" w:styleId="Byline">
    <w:name w:val="Byline"/>
    <w:rsid w:val="000A1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F21"/>
    <w:pPr>
      <w:tabs>
        <w:tab w:val="clear" w:pos="3600"/>
        <w:tab w:val="clear" w:pos="3958"/>
      </w:tabs>
      <w:jc w:val="right"/>
    </w:pPr>
  </w:style>
  <w:style w:type="character" w:styleId="Emphasis">
    <w:name w:val="Emphasis"/>
    <w:basedOn w:val="DefaultParagraphFont"/>
    <w:qFormat/>
    <w:rsid w:val="000A1F21"/>
    <w:rPr>
      <w:i/>
    </w:rPr>
  </w:style>
  <w:style w:type="paragraph" w:styleId="Caption">
    <w:name w:val="caption"/>
    <w:basedOn w:val="BodyText"/>
    <w:next w:val="Normal"/>
    <w:qFormat/>
    <w:rsid w:val="000A1F21"/>
    <w:pPr>
      <w:framePr w:w="2268" w:hSpace="181" w:vSpace="181" w:wrap="around" w:vAnchor="text" w:hAnchor="page" w:x="1135" w:y="285" w:anchorLock="1"/>
    </w:pPr>
    <w:rPr>
      <w:i/>
    </w:rPr>
  </w:style>
  <w:style w:type="paragraph" w:customStyle="1" w:styleId="MiniTOCTitle">
    <w:name w:val="MiniTOCTitle"/>
    <w:basedOn w:val="Heading4"/>
    <w:rsid w:val="000A1F21"/>
    <w:pPr>
      <w:spacing w:before="240"/>
      <w:outlineLvl w:val="9"/>
    </w:pPr>
    <w:rPr>
      <w:noProof/>
      <w:sz w:val="24"/>
    </w:rPr>
  </w:style>
  <w:style w:type="paragraph" w:customStyle="1" w:styleId="MiniTOCItem">
    <w:name w:val="MiniTOCItem"/>
    <w:basedOn w:val="ListBullet"/>
    <w:rsid w:val="000A1F21"/>
    <w:pPr>
      <w:numPr>
        <w:numId w:val="0"/>
      </w:numPr>
      <w:tabs>
        <w:tab w:val="right" w:leader="dot" w:pos="6521"/>
      </w:tabs>
      <w:spacing w:before="0" w:after="0"/>
    </w:pPr>
  </w:style>
  <w:style w:type="paragraph" w:customStyle="1" w:styleId="TOFTitle">
    <w:name w:val="TOFTitle"/>
    <w:basedOn w:val="TOCTitle"/>
    <w:rsid w:val="000A1F21"/>
  </w:style>
  <w:style w:type="paragraph" w:styleId="TableofFigures">
    <w:name w:val="table of figures"/>
    <w:basedOn w:val="Normal"/>
    <w:next w:val="Normal"/>
    <w:semiHidden/>
    <w:rsid w:val="000A1F21"/>
    <w:pPr>
      <w:tabs>
        <w:tab w:val="right" w:leader="dot" w:pos="9072"/>
      </w:tabs>
      <w:ind w:left="970" w:hanging="403"/>
    </w:pPr>
    <w:rPr>
      <w:rFonts w:ascii="Times New Roman" w:hAnsi="Times New Roman"/>
      <w:b/>
    </w:rPr>
  </w:style>
  <w:style w:type="paragraph" w:styleId="ListNumber">
    <w:name w:val="List Number"/>
    <w:basedOn w:val="List"/>
    <w:rsid w:val="000A1F21"/>
    <w:pPr>
      <w:numPr>
        <w:numId w:val="15"/>
      </w:numPr>
      <w:tabs>
        <w:tab w:val="clear" w:pos="340"/>
      </w:tabs>
    </w:pPr>
  </w:style>
  <w:style w:type="character" w:customStyle="1" w:styleId="WingdingSymbols">
    <w:name w:val="Wingding Symbols"/>
    <w:rsid w:val="000A1F21"/>
    <w:rPr>
      <w:rFonts w:ascii="Wingdings" w:hAnsi="Wingdings"/>
    </w:rPr>
  </w:style>
  <w:style w:type="paragraph" w:customStyle="1" w:styleId="TableHeading">
    <w:name w:val="Table Heading"/>
    <w:basedOn w:val="HeadingBase"/>
    <w:rsid w:val="000A1F21"/>
    <w:pPr>
      <w:keepLines/>
      <w:pBdr>
        <w:bottom w:val="single" w:sz="6" w:space="1" w:color="918585"/>
      </w:pBdr>
      <w:spacing w:before="240"/>
    </w:pPr>
  </w:style>
  <w:style w:type="character" w:customStyle="1" w:styleId="HotSpot">
    <w:name w:val="HotSpot"/>
    <w:rsid w:val="000A1F21"/>
    <w:rPr>
      <w:color w:val="0033CC"/>
      <w:u w:val="none"/>
    </w:rPr>
  </w:style>
  <w:style w:type="paragraph" w:customStyle="1" w:styleId="BodyTextRight">
    <w:name w:val="Body Text Right"/>
    <w:basedOn w:val="BodyText"/>
    <w:rsid w:val="000A1F21"/>
    <w:pPr>
      <w:spacing w:before="0" w:after="0"/>
      <w:jc w:val="right"/>
    </w:pPr>
  </w:style>
  <w:style w:type="paragraph" w:styleId="Index3">
    <w:name w:val="index 3"/>
    <w:basedOn w:val="ListNumber2"/>
    <w:next w:val="Normal"/>
    <w:semiHidden/>
    <w:rsid w:val="000A1F21"/>
    <w:pPr>
      <w:numPr>
        <w:numId w:val="0"/>
      </w:numPr>
      <w:tabs>
        <w:tab w:val="right" w:leader="dot" w:pos="4176"/>
      </w:tabs>
    </w:pPr>
  </w:style>
  <w:style w:type="paragraph" w:styleId="ListNumber2">
    <w:name w:val="List Number 2"/>
    <w:basedOn w:val="List2"/>
    <w:rsid w:val="000A1F21"/>
    <w:pPr>
      <w:numPr>
        <w:numId w:val="10"/>
      </w:numPr>
      <w:tabs>
        <w:tab w:val="clear" w:pos="1060"/>
      </w:tabs>
    </w:pPr>
  </w:style>
  <w:style w:type="paragraph" w:customStyle="1" w:styleId="MarginNote">
    <w:name w:val="Margin Note"/>
    <w:basedOn w:val="BodyText"/>
    <w:rsid w:val="000A1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F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F21"/>
    <w:rPr>
      <w:sz w:val="32"/>
    </w:rPr>
  </w:style>
  <w:style w:type="paragraph" w:customStyle="1" w:styleId="HeadingProcedure">
    <w:name w:val="Heading Procedure"/>
    <w:basedOn w:val="HeadingBase"/>
    <w:next w:val="Normal"/>
    <w:rsid w:val="000A1F21"/>
    <w:pPr>
      <w:tabs>
        <w:tab w:val="left" w:pos="0"/>
      </w:tabs>
      <w:spacing w:before="120" w:after="60"/>
    </w:pPr>
    <w:rPr>
      <w:i/>
      <w:color w:val="918585"/>
      <w:sz w:val="22"/>
    </w:rPr>
  </w:style>
  <w:style w:type="paragraph" w:customStyle="1" w:styleId="TableBodyText">
    <w:name w:val="Table Body Text"/>
    <w:basedOn w:val="BodyText"/>
    <w:rsid w:val="000A1F21"/>
    <w:pPr>
      <w:spacing w:before="60" w:after="60"/>
    </w:pPr>
  </w:style>
  <w:style w:type="paragraph" w:styleId="ListContinue">
    <w:name w:val="List Continue"/>
    <w:basedOn w:val="List"/>
    <w:rsid w:val="000A1F21"/>
    <w:pPr>
      <w:ind w:firstLine="0"/>
    </w:pPr>
  </w:style>
  <w:style w:type="paragraph" w:customStyle="1" w:styleId="ListNote">
    <w:name w:val="List Note"/>
    <w:basedOn w:val="List"/>
    <w:rsid w:val="000A1F21"/>
    <w:pPr>
      <w:pBdr>
        <w:top w:val="single" w:sz="6" w:space="2" w:color="918585"/>
        <w:bottom w:val="single" w:sz="6" w:space="2" w:color="918585"/>
      </w:pBdr>
      <w:tabs>
        <w:tab w:val="left" w:pos="1021"/>
      </w:tabs>
      <w:ind w:firstLine="0"/>
    </w:pPr>
  </w:style>
  <w:style w:type="paragraph" w:customStyle="1" w:styleId="Warning">
    <w:name w:val="Warning"/>
    <w:basedOn w:val="BodyText"/>
    <w:rsid w:val="000A1F21"/>
    <w:pPr>
      <w:shd w:val="clear" w:color="auto" w:fill="D9D9D9"/>
      <w:tabs>
        <w:tab w:val="left" w:pos="992"/>
      </w:tabs>
      <w:ind w:left="119" w:right="119"/>
    </w:pPr>
    <w:rPr>
      <w:sz w:val="20"/>
    </w:rPr>
  </w:style>
  <w:style w:type="paragraph" w:customStyle="1" w:styleId="MarginIcons">
    <w:name w:val="Margin Icons"/>
    <w:basedOn w:val="BodyText"/>
    <w:rsid w:val="000A1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F21"/>
    <w:rPr>
      <w:rFonts w:ascii="Courier New" w:hAnsi="Courier New"/>
    </w:rPr>
  </w:style>
  <w:style w:type="paragraph" w:customStyle="1" w:styleId="NoteBullet">
    <w:name w:val="Note Bullet"/>
    <w:basedOn w:val="Note"/>
    <w:rsid w:val="000A1F21"/>
    <w:pPr>
      <w:tabs>
        <w:tab w:val="clear" w:pos="680"/>
      </w:tabs>
      <w:spacing w:before="60" w:after="60"/>
    </w:pPr>
  </w:style>
  <w:style w:type="paragraph" w:customStyle="1" w:styleId="SubHeading2">
    <w:name w:val="SubHeading2"/>
    <w:basedOn w:val="HeadingBase"/>
    <w:rsid w:val="000A1F21"/>
    <w:pPr>
      <w:spacing w:before="240" w:after="60"/>
    </w:pPr>
    <w:rPr>
      <w:sz w:val="20"/>
    </w:rPr>
  </w:style>
  <w:style w:type="paragraph" w:customStyle="1" w:styleId="SubHeading1">
    <w:name w:val="SubHeading1"/>
    <w:basedOn w:val="HeadingBase"/>
    <w:rsid w:val="000A1F21"/>
    <w:pPr>
      <w:spacing w:before="240" w:after="60"/>
    </w:pPr>
    <w:rPr>
      <w:color w:val="918585"/>
      <w:sz w:val="22"/>
    </w:rPr>
  </w:style>
  <w:style w:type="paragraph" w:customStyle="1" w:styleId="SideHeading">
    <w:name w:val="Side Heading"/>
    <w:basedOn w:val="HeadingBase"/>
    <w:rsid w:val="000A1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F21"/>
    <w:pPr>
      <w:tabs>
        <w:tab w:val="num" w:pos="360"/>
      </w:tabs>
    </w:pPr>
  </w:style>
  <w:style w:type="paragraph" w:styleId="PlainText">
    <w:name w:val="Plain Text"/>
    <w:basedOn w:val="Normal"/>
    <w:link w:val="PlainTextChar"/>
    <w:rsid w:val="000A1F21"/>
    <w:rPr>
      <w:sz w:val="20"/>
    </w:rPr>
  </w:style>
  <w:style w:type="character" w:customStyle="1" w:styleId="PlainTextChar">
    <w:name w:val="Plain Text Char"/>
    <w:basedOn w:val="DefaultParagraphFont"/>
    <w:link w:val="PlainText"/>
    <w:rsid w:val="000A1F21"/>
    <w:rPr>
      <w:rFonts w:ascii="Courier New" w:eastAsia="Times New Roman" w:hAnsi="Courier New" w:cs="Times New Roman"/>
      <w:sz w:val="20"/>
      <w:szCs w:val="20"/>
      <w:lang w:eastAsia="en-US"/>
    </w:rPr>
  </w:style>
  <w:style w:type="character" w:customStyle="1" w:styleId="MenuOption">
    <w:name w:val="Menu Option"/>
    <w:basedOn w:val="DefaultParagraphFont"/>
    <w:rsid w:val="000A1F21"/>
    <w:rPr>
      <w:b/>
      <w:smallCaps/>
    </w:rPr>
  </w:style>
  <w:style w:type="paragraph" w:customStyle="1" w:styleId="TableListNumber">
    <w:name w:val="Table List Number"/>
    <w:basedOn w:val="ListNumber"/>
    <w:rsid w:val="000A1F21"/>
    <w:pPr>
      <w:numPr>
        <w:numId w:val="0"/>
      </w:numPr>
    </w:pPr>
  </w:style>
  <w:style w:type="paragraph" w:styleId="TOC4">
    <w:name w:val="toc 4"/>
    <w:basedOn w:val="TOCBase"/>
    <w:next w:val="Normal"/>
    <w:semiHidden/>
    <w:rsid w:val="000A1F21"/>
    <w:pPr>
      <w:tabs>
        <w:tab w:val="right" w:leader="dot" w:pos="9071"/>
      </w:tabs>
      <w:ind w:left="1701"/>
    </w:pPr>
  </w:style>
  <w:style w:type="paragraph" w:customStyle="1" w:styleId="ListAlpha">
    <w:name w:val="List Alpha"/>
    <w:basedOn w:val="List"/>
    <w:rsid w:val="000A1F21"/>
    <w:pPr>
      <w:numPr>
        <w:numId w:val="9"/>
      </w:numPr>
    </w:pPr>
  </w:style>
  <w:style w:type="paragraph" w:customStyle="1" w:styleId="ListAlpha2">
    <w:name w:val="List Alpha 2"/>
    <w:basedOn w:val="List2"/>
    <w:rsid w:val="000A1F21"/>
    <w:pPr>
      <w:numPr>
        <w:numId w:val="8"/>
      </w:numPr>
    </w:pPr>
  </w:style>
  <w:style w:type="paragraph" w:styleId="List2">
    <w:name w:val="List 2"/>
    <w:basedOn w:val="BodyText"/>
    <w:rsid w:val="000A1F21"/>
    <w:pPr>
      <w:tabs>
        <w:tab w:val="left" w:pos="680"/>
      </w:tabs>
      <w:spacing w:before="60" w:after="60"/>
      <w:ind w:left="680" w:hanging="340"/>
    </w:pPr>
  </w:style>
  <w:style w:type="paragraph" w:styleId="List3">
    <w:name w:val="List 3"/>
    <w:basedOn w:val="BodyText"/>
    <w:rsid w:val="000A1F21"/>
    <w:pPr>
      <w:tabs>
        <w:tab w:val="left" w:pos="1021"/>
      </w:tabs>
      <w:spacing w:before="60" w:after="60"/>
      <w:ind w:left="1020" w:hanging="340"/>
    </w:pPr>
  </w:style>
  <w:style w:type="paragraph" w:styleId="List4">
    <w:name w:val="List 4"/>
    <w:basedOn w:val="BodyText"/>
    <w:rsid w:val="000A1F21"/>
    <w:pPr>
      <w:tabs>
        <w:tab w:val="left" w:pos="1361"/>
      </w:tabs>
      <w:spacing w:before="60" w:after="60"/>
      <w:ind w:left="1361" w:hanging="340"/>
    </w:pPr>
  </w:style>
  <w:style w:type="paragraph" w:styleId="List5">
    <w:name w:val="List 5"/>
    <w:basedOn w:val="BodyText"/>
    <w:rsid w:val="000A1F21"/>
    <w:pPr>
      <w:tabs>
        <w:tab w:val="left" w:pos="1701"/>
      </w:tabs>
      <w:spacing w:before="60" w:after="60"/>
      <w:ind w:left="1701" w:hanging="340"/>
    </w:pPr>
  </w:style>
  <w:style w:type="paragraph" w:styleId="ListBullet3">
    <w:name w:val="List Bullet 3"/>
    <w:basedOn w:val="List3"/>
    <w:rsid w:val="000A1F21"/>
    <w:pPr>
      <w:numPr>
        <w:numId w:val="14"/>
      </w:numPr>
      <w:tabs>
        <w:tab w:val="clear" w:pos="1021"/>
      </w:tabs>
      <w:ind w:left="1037" w:hanging="357"/>
    </w:pPr>
  </w:style>
  <w:style w:type="paragraph" w:styleId="ListBullet4">
    <w:name w:val="List Bullet 4"/>
    <w:basedOn w:val="List4"/>
    <w:rsid w:val="000A1F21"/>
    <w:pPr>
      <w:numPr>
        <w:numId w:val="3"/>
      </w:numPr>
      <w:tabs>
        <w:tab w:val="clear" w:pos="1361"/>
      </w:tabs>
    </w:pPr>
  </w:style>
  <w:style w:type="paragraph" w:styleId="ListBullet5">
    <w:name w:val="List Bullet 5"/>
    <w:basedOn w:val="List5"/>
    <w:rsid w:val="000A1F21"/>
    <w:pPr>
      <w:numPr>
        <w:numId w:val="4"/>
      </w:numPr>
    </w:pPr>
  </w:style>
  <w:style w:type="paragraph" w:styleId="ListContinue2">
    <w:name w:val="List Continue 2"/>
    <w:basedOn w:val="List2"/>
    <w:rsid w:val="000A1F21"/>
    <w:pPr>
      <w:ind w:firstLine="0"/>
    </w:pPr>
  </w:style>
  <w:style w:type="paragraph" w:styleId="ListContinue3">
    <w:name w:val="List Continue 3"/>
    <w:basedOn w:val="List3"/>
    <w:rsid w:val="000A1F21"/>
    <w:pPr>
      <w:ind w:left="1021" w:firstLine="0"/>
    </w:pPr>
  </w:style>
  <w:style w:type="paragraph" w:styleId="ListContinue4">
    <w:name w:val="List Continue 4"/>
    <w:basedOn w:val="List4"/>
    <w:rsid w:val="000A1F21"/>
    <w:pPr>
      <w:ind w:firstLine="0"/>
    </w:pPr>
  </w:style>
  <w:style w:type="paragraph" w:styleId="ListContinue5">
    <w:name w:val="List Continue 5"/>
    <w:basedOn w:val="List5"/>
    <w:rsid w:val="000A1F21"/>
    <w:pPr>
      <w:ind w:firstLine="0"/>
    </w:pPr>
  </w:style>
  <w:style w:type="paragraph" w:styleId="ListNumber3">
    <w:name w:val="List Number 3"/>
    <w:basedOn w:val="List3"/>
    <w:rsid w:val="000A1F21"/>
    <w:pPr>
      <w:numPr>
        <w:numId w:val="5"/>
      </w:numPr>
    </w:pPr>
  </w:style>
  <w:style w:type="paragraph" w:styleId="ListNumber4">
    <w:name w:val="List Number 4"/>
    <w:basedOn w:val="List4"/>
    <w:rsid w:val="000A1F21"/>
    <w:pPr>
      <w:numPr>
        <w:numId w:val="6"/>
      </w:numPr>
    </w:pPr>
  </w:style>
  <w:style w:type="paragraph" w:styleId="ListNumber5">
    <w:name w:val="List Number 5"/>
    <w:basedOn w:val="List5"/>
    <w:rsid w:val="000A1F21"/>
    <w:pPr>
      <w:numPr>
        <w:numId w:val="7"/>
      </w:numPr>
    </w:pPr>
  </w:style>
  <w:style w:type="paragraph" w:styleId="BlockText">
    <w:name w:val="Block Text"/>
    <w:basedOn w:val="Normal"/>
    <w:rsid w:val="000A1F21"/>
    <w:pPr>
      <w:spacing w:after="120"/>
      <w:ind w:left="1440" w:right="1440"/>
    </w:pPr>
  </w:style>
  <w:style w:type="character" w:customStyle="1" w:styleId="Subscript">
    <w:name w:val="Subscript"/>
    <w:basedOn w:val="DefaultParagraphFont"/>
    <w:rsid w:val="000A1F21"/>
    <w:rPr>
      <w:sz w:val="16"/>
      <w:vertAlign w:val="subscript"/>
    </w:rPr>
  </w:style>
  <w:style w:type="character" w:customStyle="1" w:styleId="Superscript">
    <w:name w:val="Superscript"/>
    <w:basedOn w:val="DefaultParagraphFont"/>
    <w:rsid w:val="000A1F21"/>
    <w:rPr>
      <w:sz w:val="16"/>
      <w:vertAlign w:val="superscript"/>
    </w:rPr>
  </w:style>
  <w:style w:type="character" w:customStyle="1" w:styleId="Symbols">
    <w:name w:val="Symbols"/>
    <w:basedOn w:val="DefaultParagraphFont"/>
    <w:rsid w:val="000A1F21"/>
    <w:rPr>
      <w:rFonts w:ascii="Symbol" w:hAnsi="Symbol"/>
    </w:rPr>
  </w:style>
  <w:style w:type="character" w:customStyle="1" w:styleId="MenuOptions">
    <w:name w:val="Menu Options"/>
    <w:basedOn w:val="DefaultParagraphFont"/>
    <w:rsid w:val="000A1F21"/>
    <w:rPr>
      <w:rFonts w:ascii="Arial Narrow" w:hAnsi="Arial Narrow"/>
      <w:smallCaps/>
    </w:rPr>
  </w:style>
  <w:style w:type="character" w:customStyle="1" w:styleId="Buttons">
    <w:name w:val="Buttons"/>
    <w:basedOn w:val="DefaultParagraphFont"/>
    <w:rsid w:val="000A1F21"/>
    <w:rPr>
      <w:b/>
    </w:rPr>
  </w:style>
  <w:style w:type="character" w:customStyle="1" w:styleId="Underlined">
    <w:name w:val="Underlined"/>
    <w:basedOn w:val="DefaultParagraphFont"/>
    <w:rsid w:val="000A1F21"/>
    <w:rPr>
      <w:u w:val="single"/>
    </w:rPr>
  </w:style>
  <w:style w:type="paragraph" w:customStyle="1" w:styleId="TableBodyTextRight">
    <w:name w:val="Table Body Text Right"/>
    <w:basedOn w:val="TableBodyText"/>
    <w:rsid w:val="000A1F21"/>
    <w:pPr>
      <w:widowControl w:val="0"/>
      <w:autoSpaceDE w:val="0"/>
      <w:autoSpaceDN w:val="0"/>
      <w:adjustRightInd w:val="0"/>
      <w:jc w:val="right"/>
    </w:pPr>
    <w:rPr>
      <w:rFonts w:cs="Arial"/>
      <w:szCs w:val="18"/>
    </w:rPr>
  </w:style>
  <w:style w:type="paragraph" w:customStyle="1" w:styleId="CopyrightText">
    <w:name w:val="Copyright Text"/>
    <w:basedOn w:val="BodyText"/>
    <w:rsid w:val="000A1F21"/>
    <w:rPr>
      <w:sz w:val="18"/>
    </w:rPr>
  </w:style>
  <w:style w:type="paragraph" w:customStyle="1" w:styleId="BodySmallRight">
    <w:name w:val="Body Small Right"/>
    <w:basedOn w:val="BodyTextRight"/>
    <w:rsid w:val="000A1F21"/>
    <w:rPr>
      <w:sz w:val="18"/>
      <w:szCs w:val="18"/>
    </w:rPr>
  </w:style>
  <w:style w:type="paragraph" w:customStyle="1" w:styleId="MarginEdition">
    <w:name w:val="Margin Edition"/>
    <w:basedOn w:val="MarginNote"/>
    <w:rsid w:val="000A1F21"/>
    <w:pPr>
      <w:spacing w:before="0" w:after="0"/>
    </w:pPr>
    <w:rPr>
      <w:rFonts w:ascii="Times New Roman" w:hAnsi="Times New Roman"/>
      <w:color w:val="999999"/>
    </w:rPr>
  </w:style>
  <w:style w:type="paragraph" w:customStyle="1" w:styleId="Spacer">
    <w:name w:val="Spacer"/>
    <w:basedOn w:val="Normal"/>
    <w:rsid w:val="000A1F21"/>
    <w:rPr>
      <w:sz w:val="2"/>
      <w:szCs w:val="2"/>
    </w:rPr>
  </w:style>
  <w:style w:type="character" w:customStyle="1" w:styleId="Small">
    <w:name w:val="Small"/>
    <w:basedOn w:val="DefaultParagraphFont"/>
    <w:rsid w:val="000A1F21"/>
    <w:rPr>
      <w:sz w:val="16"/>
    </w:rPr>
  </w:style>
  <w:style w:type="paragraph" w:customStyle="1" w:styleId="WideTable">
    <w:name w:val="Wide Table"/>
    <w:basedOn w:val="Normal"/>
    <w:rsid w:val="000A1F21"/>
    <w:pPr>
      <w:ind w:left="-1418"/>
    </w:pPr>
    <w:rPr>
      <w:sz w:val="2"/>
      <w:szCs w:val="2"/>
    </w:rPr>
  </w:style>
  <w:style w:type="character" w:styleId="PageNumber">
    <w:name w:val="page number"/>
    <w:basedOn w:val="DefaultParagraphFont"/>
    <w:rsid w:val="000A1F21"/>
  </w:style>
  <w:style w:type="paragraph" w:styleId="Quote">
    <w:name w:val="Quote"/>
    <w:basedOn w:val="Heading1"/>
    <w:link w:val="QuoteChar"/>
    <w:qFormat/>
    <w:rsid w:val="000A1F21"/>
    <w:rPr>
      <w:b w:val="0"/>
      <w:sz w:val="72"/>
      <w:szCs w:val="72"/>
      <w:lang w:val="en-NZ"/>
    </w:rPr>
  </w:style>
  <w:style w:type="character" w:customStyle="1" w:styleId="QuoteChar">
    <w:name w:val="Quote Char"/>
    <w:basedOn w:val="DefaultParagraphFont"/>
    <w:link w:val="Quote"/>
    <w:rsid w:val="000A1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F21"/>
    <w:pPr>
      <w:pageBreakBefore/>
    </w:pPr>
  </w:style>
  <w:style w:type="paragraph" w:customStyle="1" w:styleId="Border">
    <w:name w:val="Border"/>
    <w:basedOn w:val="Normal"/>
    <w:qFormat/>
    <w:rsid w:val="000A1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F21"/>
    <w:rPr>
      <w:b/>
      <w:bCs/>
      <w:i/>
      <w:iCs/>
      <w:color w:val="auto"/>
    </w:rPr>
  </w:style>
  <w:style w:type="paragraph" w:styleId="IntenseQuote">
    <w:name w:val="Intense Quote"/>
    <w:basedOn w:val="Normal"/>
    <w:next w:val="Normal"/>
    <w:link w:val="IntenseQuoteChar"/>
    <w:uiPriority w:val="30"/>
    <w:qFormat/>
    <w:rsid w:val="000A1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F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F21"/>
    <w:rPr>
      <w:smallCaps/>
      <w:color w:val="auto"/>
      <w:u w:val="single"/>
    </w:rPr>
  </w:style>
  <w:style w:type="character" w:styleId="IntenseReference">
    <w:name w:val="Intense Reference"/>
    <w:basedOn w:val="DefaultParagraphFont"/>
    <w:uiPriority w:val="32"/>
    <w:qFormat/>
    <w:rsid w:val="000A1F21"/>
    <w:rPr>
      <w:b/>
      <w:bCs/>
      <w:smallCaps/>
      <w:color w:val="auto"/>
      <w:spacing w:val="5"/>
      <w:u w:val="single"/>
    </w:rPr>
  </w:style>
  <w:style w:type="paragraph" w:customStyle="1" w:styleId="2ColumnHeading">
    <w:name w:val="2Column Heading"/>
    <w:basedOn w:val="BodyText"/>
    <w:qFormat/>
    <w:rsid w:val="000A1F21"/>
    <w:pPr>
      <w:spacing w:after="60"/>
      <w:ind w:left="-2268"/>
    </w:pPr>
    <w:rPr>
      <w:b/>
    </w:rPr>
  </w:style>
  <w:style w:type="paragraph" w:customStyle="1" w:styleId="Heading1TOC">
    <w:name w:val="Heading1 TOC"/>
    <w:basedOn w:val="Normal"/>
    <w:qFormat/>
    <w:rsid w:val="000A1F21"/>
    <w:pPr>
      <w:spacing w:before="240" w:after="120"/>
    </w:pPr>
    <w:rPr>
      <w:rFonts w:ascii="Times New Roman" w:hAnsi="Times New Roman"/>
      <w:b/>
      <w:sz w:val="32"/>
    </w:rPr>
  </w:style>
  <w:style w:type="paragraph" w:customStyle="1" w:styleId="Heading2TOC">
    <w:name w:val="Heading2 TOC"/>
    <w:basedOn w:val="Normal"/>
    <w:qFormat/>
    <w:rsid w:val="000A1F21"/>
    <w:pPr>
      <w:spacing w:before="240" w:after="60"/>
    </w:pPr>
    <w:rPr>
      <w:rFonts w:ascii="Times New Roman" w:hAnsi="Times New Roman"/>
      <w:b/>
      <w:sz w:val="28"/>
    </w:rPr>
  </w:style>
  <w:style w:type="character" w:customStyle="1" w:styleId="Underline">
    <w:name w:val="Underline"/>
    <w:basedOn w:val="DefaultParagraphFont"/>
    <w:qFormat/>
    <w:rsid w:val="000A1F21"/>
    <w:rPr>
      <w:u w:val="single"/>
    </w:rPr>
  </w:style>
  <w:style w:type="character" w:customStyle="1" w:styleId="BoldandItalics">
    <w:name w:val="Bold and Italics"/>
    <w:qFormat/>
    <w:rsid w:val="000A1F21"/>
    <w:rPr>
      <w:b/>
      <w:i/>
      <w:u w:val="none"/>
    </w:rPr>
  </w:style>
  <w:style w:type="paragraph" w:styleId="BalloonText">
    <w:name w:val="Balloon Text"/>
    <w:basedOn w:val="Normal"/>
    <w:link w:val="BalloonTextChar"/>
    <w:rsid w:val="000A1F21"/>
    <w:rPr>
      <w:rFonts w:ascii="Tahoma" w:hAnsi="Tahoma" w:cs="Tahoma"/>
      <w:sz w:val="16"/>
      <w:szCs w:val="16"/>
    </w:rPr>
  </w:style>
  <w:style w:type="character" w:customStyle="1" w:styleId="BalloonTextChar">
    <w:name w:val="Balloon Text Char"/>
    <w:basedOn w:val="DefaultParagraphFont"/>
    <w:link w:val="BalloonText"/>
    <w:rsid w:val="000A1F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F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F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F21"/>
    <w:rPr>
      <w:b/>
      <w:color w:val="660033"/>
      <w:spacing w:val="0"/>
    </w:rPr>
  </w:style>
  <w:style w:type="paragraph" w:customStyle="1" w:styleId="Nameditemlist">
    <w:name w:val="Named item list"/>
    <w:basedOn w:val="BodyText"/>
    <w:qFormat/>
    <w:rsid w:val="000A1F21"/>
    <w:pPr>
      <w:tabs>
        <w:tab w:val="left" w:pos="2835"/>
      </w:tabs>
      <w:ind w:left="2835" w:hanging="2835"/>
    </w:pPr>
  </w:style>
  <w:style w:type="paragraph" w:customStyle="1" w:styleId="BodyTextnopadding">
    <w:name w:val="Body Text no padding"/>
    <w:basedOn w:val="BodyText"/>
    <w:qFormat/>
    <w:rsid w:val="000A1F21"/>
    <w:pPr>
      <w:spacing w:before="0" w:after="0"/>
    </w:pPr>
  </w:style>
  <w:style w:type="paragraph" w:customStyle="1" w:styleId="BodyTextBold">
    <w:name w:val="Body Text Bold"/>
    <w:basedOn w:val="BodyText"/>
    <w:qFormat/>
    <w:rsid w:val="000A1F21"/>
    <w:rPr>
      <w:b/>
    </w:rPr>
  </w:style>
  <w:style w:type="character" w:styleId="Hyperlink">
    <w:name w:val="Hyperlink"/>
    <w:basedOn w:val="DefaultParagraphFont"/>
    <w:uiPriority w:val="99"/>
    <w:unhideWhenUsed/>
    <w:rsid w:val="003935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3613</Characters>
  <Application>Microsoft Office Word</Application>
  <DocSecurity>0</DocSecurity>
  <Lines>100</Lines>
  <Paragraphs>78</Paragraphs>
  <ScaleCrop>false</ScaleCrop>
  <Company>Author-it Software Corporation Ltd.</Company>
  <LinksUpToDate>false</LinksUpToDate>
  <CharactersWithSpaces>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MARC025 Operate and maintain engines for auxiliary systems other than steam auxiliary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2021-01-24T23:09:00Z</dcterms:created>
  <dcterms:modified xsi:type="dcterms:W3CDTF">2021-01-24T23:09:00Z</dcterms:modified>
</cp:coreProperties>
</file>