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50D6" w:rsidP="00E250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MARC017 Operate 240 to 440 voltage alternating current electrical systems</w:t>
      </w:r>
      <w:r>
        <w:fldChar w:fldCharType="end"/>
      </w:r>
    </w:p>
    <w:p w:rsidR="00E250D6" w:rsidP="00E250D6">
      <w:pPr>
        <w:pStyle w:val="Version"/>
        <w:sectPr w:rsidSect="00D823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23F2" w:rsidP="00D823F2">
      <w:pPr>
        <w:pStyle w:val="SuperHeading"/>
      </w:pPr>
      <w:r w:rsidRPr="00D823F2">
        <w:t>MARC017 Opera</w:t>
      </w:r>
      <w:r w:rsidRPr="00D823F2">
        <w:t>te 240 to 440 voltage alternating current electrical systems</w:t>
      </w:r>
    </w:p>
    <w:p w:rsidR="00000000" w:rsidRPr="00D823F2" w:rsidP="00D823F2">
      <w:pPr>
        <w:pStyle w:val="Heading1"/>
      </w:pPr>
      <w:bookmarkStart w:id="1" w:name="O_597557"/>
      <w:bookmarkEnd w:id="1"/>
      <w:r w:rsidRPr="00D823F2">
        <w:t>Modification History</w:t>
      </w:r>
    </w:p>
    <w:p w:rsidR="00000000" w:rsidRPr="00D823F2" w:rsidP="00E250D6">
      <w:pPr>
        <w:pStyle w:val="BodyText"/>
      </w:pPr>
      <w:r w:rsidRPr="00D823F2">
        <w:t>Release 1. New unit of competency.</w:t>
      </w:r>
    </w:p>
    <w:p w:rsidR="00000000" w:rsidRPr="00D823F2" w:rsidP="00D823F2">
      <w:pPr>
        <w:pStyle w:val="Heading1"/>
      </w:pPr>
      <w:bookmarkStart w:id="2" w:name="O_597558"/>
      <w:bookmarkEnd w:id="2"/>
      <w:r w:rsidRPr="00D823F2">
        <w:t>Application</w:t>
      </w:r>
    </w:p>
    <w:p w:rsidR="00000000" w:rsidRPr="00D823F2" w:rsidP="00E250D6">
      <w:pPr>
        <w:pStyle w:val="BodyText"/>
      </w:pPr>
      <w:r w:rsidRPr="00D823F2">
        <w:t>This unit involves the skills and knowledge required to operate a 240 to 440 voltage alternating current (AC) electrical system according to technical specifications and safe operating limits.</w:t>
      </w:r>
    </w:p>
    <w:p w:rsidR="00000000" w:rsidRPr="00D823F2" w:rsidP="00E250D6">
      <w:pPr>
        <w:pStyle w:val="BodyText"/>
      </w:pPr>
      <w:r w:rsidRPr="00D823F2">
        <w:t>This unit applies to engine workers in the maritime industry w</w:t>
      </w:r>
      <w:r w:rsidRPr="00D823F2">
        <w:t>orking as a Marine Engine Driver Grade 1 Near Coastal on vessels up to 1500 kW.</w:t>
      </w:r>
    </w:p>
    <w:p w:rsidR="00000000" w:rsidRPr="00D823F2" w:rsidP="00E250D6">
      <w:pPr>
        <w:pStyle w:val="BodyText"/>
      </w:pPr>
      <w:r w:rsidRPr="00D823F2">
        <w:t>WARNING: Relevant state/territory training and qualification requirements need to be fulfilled by any persons carrying out installation, maintenance and/or repair of refrigera</w:t>
      </w:r>
      <w:r w:rsidRPr="00D823F2">
        <w:t>tion equipment especially with regard to preventing the escape of refrigerants into the atmosphere and to electrical work.</w:t>
      </w:r>
    </w:p>
    <w:p w:rsidR="00000000" w:rsidRPr="00D823F2" w:rsidP="00D823F2">
      <w:pPr>
        <w:pStyle w:val="Heading1"/>
      </w:pPr>
      <w:bookmarkStart w:id="3" w:name="O_597559"/>
      <w:bookmarkEnd w:id="3"/>
      <w:r w:rsidRPr="00D823F2">
        <w:t>Pre-requisite Unit</w:t>
      </w:r>
    </w:p>
    <w:p w:rsidR="00000000" w:rsidRPr="00D823F2" w:rsidP="00E250D6">
      <w:pPr>
        <w:pStyle w:val="BodyText"/>
      </w:pPr>
      <w:r w:rsidRPr="00D823F2">
        <w:t>Not applicable.</w:t>
      </w:r>
    </w:p>
    <w:p w:rsidR="00000000" w:rsidRPr="00D823F2" w:rsidP="00D823F2">
      <w:pPr>
        <w:pStyle w:val="Heading1"/>
      </w:pPr>
      <w:bookmarkStart w:id="4" w:name="O_597560"/>
      <w:bookmarkEnd w:id="4"/>
      <w:r w:rsidRPr="00D823F2">
        <w:t>Competency Field</w:t>
      </w:r>
    </w:p>
    <w:p w:rsidR="00000000" w:rsidRPr="00D823F2" w:rsidP="00E250D6">
      <w:pPr>
        <w:pStyle w:val="BodyText"/>
      </w:pPr>
      <w:r w:rsidRPr="00D823F2">
        <w:t>C - Equipment Operations</w:t>
      </w:r>
    </w:p>
    <w:p w:rsidR="00000000" w:rsidRPr="00D823F2" w:rsidP="00D823F2">
      <w:pPr>
        <w:pStyle w:val="Heading1"/>
      </w:pPr>
      <w:bookmarkStart w:id="5" w:name="O_597561"/>
      <w:bookmarkEnd w:id="5"/>
      <w:r w:rsidRPr="00D823F2">
        <w:t xml:space="preserve">Unit </w:t>
      </w:r>
      <w:r w:rsidRPr="00D823F2">
        <w:t>Sector</w:t>
      </w:r>
    </w:p>
    <w:p w:rsidR="00000000" w:rsidRPr="00D823F2" w:rsidP="00E250D6">
      <w:pPr>
        <w:pStyle w:val="BodyText"/>
      </w:pPr>
      <w:r w:rsidRPr="00D823F2">
        <w:t>Not applicable.</w:t>
      </w:r>
    </w:p>
    <w:p w:rsidR="00000000" w:rsidRPr="00D823F2" w:rsidP="00D823F2">
      <w:pPr>
        <w:pStyle w:val="Heading1"/>
      </w:pPr>
      <w:bookmarkStart w:id="6" w:name="O_597562"/>
      <w:bookmarkEnd w:id="6"/>
      <w:r w:rsidRPr="00D823F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2"/>
        <w:gridCol w:w="719"/>
        <w:gridCol w:w="6045"/>
      </w:tblGrid>
      <w:tr w:rsidTr="00E250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3F2" w:rsidP="00D823F2">
            <w:pPr>
              <w:pStyle w:val="BodyText"/>
            </w:pPr>
            <w:r w:rsidRPr="00D823F2">
              <w:rPr>
                <w:rStyle w:val="SpecialBold"/>
              </w:rPr>
              <w:t>1</w:t>
            </w:r>
          </w:p>
        </w:tc>
        <w:tc>
          <w:tcPr>
            <w:tcW w:w="2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F2">
            <w:pPr>
              <w:pStyle w:val="BodyText"/>
              <w:rPr>
                <w:lang w:val="en-NZ"/>
              </w:rPr>
            </w:pPr>
            <w:r w:rsidRPr="00D823F2">
              <w:rPr>
                <w:rStyle w:val="SpecialBold"/>
              </w:rPr>
              <w:t>Prepare for operation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F2">
            <w:pPr>
              <w:pStyle w:val="BodyText"/>
              <w:rPr>
                <w:lang w:val="en-NZ"/>
              </w:rPr>
            </w:pPr>
            <w:r w:rsidRPr="00D823F2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F2">
            <w:pPr>
              <w:pStyle w:val="BodyText"/>
              <w:rPr>
                <w:lang w:val="en-NZ"/>
              </w:rPr>
            </w:pPr>
            <w:r w:rsidRPr="00D823F2">
              <w:t>Risks to self, others and the environment are identified according to organisational procedures</w:t>
            </w:r>
          </w:p>
        </w:tc>
      </w:tr>
      <w:tr w:rsidTr="00E250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F2">
            <w:pPr>
              <w:pStyle w:val="BodyText"/>
              <w:rPr>
                <w:lang w:val="en-NZ"/>
              </w:rPr>
            </w:pPr>
            <w:r w:rsidRPr="00D823F2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F2">
            <w:pPr>
              <w:pStyle w:val="BodyText"/>
              <w:rPr>
                <w:lang w:val="en-NZ"/>
              </w:rPr>
            </w:pPr>
            <w:r w:rsidRPr="00D823F2">
              <w:t>Routine pre-operational checks of electrical systems are completed prior to use according to manufacturer specifications and organisational procedures</w:t>
            </w:r>
          </w:p>
        </w:tc>
      </w:tr>
      <w:tr w:rsidTr="00E250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3F2" w:rsidP="00D823F2">
            <w:pPr>
              <w:pStyle w:val="BodyText"/>
            </w:pPr>
            <w:r w:rsidRPr="00D823F2">
              <w:rPr>
                <w:rStyle w:val="SpecialBold"/>
              </w:rPr>
              <w:t>2</w:t>
            </w:r>
          </w:p>
        </w:tc>
        <w:tc>
          <w:tcPr>
            <w:tcW w:w="2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F2">
            <w:pPr>
              <w:pStyle w:val="BodyText"/>
              <w:rPr>
                <w:lang w:val="en-NZ"/>
              </w:rPr>
            </w:pPr>
            <w:r w:rsidRPr="00D823F2">
              <w:rPr>
                <w:rStyle w:val="SpecialBold"/>
              </w:rPr>
              <w:t>Operate electrical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F2">
            <w:pPr>
              <w:pStyle w:val="BodyText"/>
              <w:rPr>
                <w:lang w:val="en-NZ"/>
              </w:rPr>
            </w:pPr>
            <w:r w:rsidRPr="00D823F2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F2">
            <w:pPr>
              <w:pStyle w:val="BodyText"/>
              <w:rPr>
                <w:lang w:val="en-NZ"/>
              </w:rPr>
            </w:pPr>
            <w:r w:rsidRPr="00D823F2">
              <w:t>Suitable personal protective equipment is selected and used according t</w:t>
            </w:r>
            <w:r w:rsidRPr="00D823F2">
              <w:t>o organisational procedures</w:t>
            </w:r>
          </w:p>
        </w:tc>
      </w:tr>
      <w:tr w:rsidTr="00E250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F2">
            <w:pPr>
              <w:pStyle w:val="BodyText"/>
              <w:rPr>
                <w:lang w:val="en-NZ"/>
              </w:rPr>
            </w:pPr>
            <w:r w:rsidRPr="00D823F2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F2">
            <w:pPr>
              <w:pStyle w:val="BodyText"/>
              <w:rPr>
                <w:lang w:val="en-NZ"/>
              </w:rPr>
            </w:pPr>
            <w:r w:rsidRPr="00D823F2">
              <w:t>Electrical systems are operated in a safe and controlled manner</w:t>
            </w:r>
          </w:p>
        </w:tc>
      </w:tr>
      <w:tr w:rsidTr="00E250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F2">
            <w:pPr>
              <w:pStyle w:val="BodyText"/>
              <w:rPr>
                <w:lang w:val="en-NZ"/>
              </w:rPr>
            </w:pPr>
            <w:r w:rsidRPr="00D823F2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F2">
            <w:pPr>
              <w:pStyle w:val="BodyText"/>
              <w:rPr>
                <w:lang w:val="en-NZ"/>
              </w:rPr>
            </w:pPr>
            <w:r w:rsidRPr="00D823F2">
              <w:t xml:space="preserve">Performance of direct current (DC) and AC electrical systems is monitored </w:t>
            </w:r>
          </w:p>
        </w:tc>
      </w:tr>
      <w:tr w:rsidTr="00E250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F2">
            <w:pPr>
              <w:pStyle w:val="BodyText"/>
              <w:rPr>
                <w:lang w:val="en-NZ"/>
              </w:rPr>
            </w:pPr>
            <w:r w:rsidRPr="00D823F2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F2">
            <w:pPr>
              <w:pStyle w:val="BodyText"/>
              <w:rPr>
                <w:lang w:val="en-NZ"/>
              </w:rPr>
            </w:pPr>
            <w:r w:rsidRPr="00D823F2">
              <w:t>AC electrical demand is monitored and additional generators are paralleled or disconnected as required</w:t>
            </w:r>
          </w:p>
        </w:tc>
      </w:tr>
      <w:tr w:rsidTr="00E250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F2">
            <w:pPr>
              <w:pStyle w:val="BodyText"/>
              <w:rPr>
                <w:lang w:val="en-NZ"/>
              </w:rPr>
            </w:pPr>
            <w:r w:rsidRPr="00D823F2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F2">
            <w:pPr>
              <w:pStyle w:val="BodyText"/>
              <w:rPr>
                <w:lang w:val="en-NZ"/>
              </w:rPr>
            </w:pPr>
            <w:r w:rsidRPr="00D823F2">
              <w:t>Ship to shore electrical supply is connected and disconnected when required following established practices and organisational procedures</w:t>
            </w:r>
          </w:p>
        </w:tc>
      </w:tr>
      <w:tr w:rsidTr="00E250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F2">
            <w:pPr>
              <w:pStyle w:val="BodyText"/>
              <w:rPr>
                <w:lang w:val="en-NZ"/>
              </w:rPr>
            </w:pPr>
            <w:r w:rsidRPr="00D823F2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F2">
            <w:pPr>
              <w:pStyle w:val="BodyText"/>
              <w:rPr>
                <w:lang w:val="en-NZ"/>
              </w:rPr>
            </w:pPr>
            <w:r w:rsidRPr="00D823F2">
              <w:t>F</w:t>
            </w:r>
            <w:r w:rsidRPr="00D823F2">
              <w:t>aults or malfunctions are identified and reported according to organisational procedures</w:t>
            </w:r>
          </w:p>
        </w:tc>
      </w:tr>
      <w:tr w:rsidTr="00E250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F2">
            <w:pPr>
              <w:pStyle w:val="BodyText"/>
              <w:rPr>
                <w:lang w:val="en-NZ"/>
              </w:rPr>
            </w:pPr>
            <w:r w:rsidRPr="00D823F2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F2">
            <w:pPr>
              <w:pStyle w:val="BodyText"/>
              <w:rPr>
                <w:lang w:val="en-NZ"/>
              </w:rPr>
            </w:pPr>
            <w:r w:rsidRPr="00D823F2">
              <w:t>Faults or malfunctions are rectified and corrective actions are taken and recorded according to organisational procedures</w:t>
            </w:r>
          </w:p>
        </w:tc>
      </w:tr>
      <w:tr w:rsidTr="00E250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F2">
            <w:pPr>
              <w:pStyle w:val="BodyText"/>
              <w:rPr>
                <w:lang w:val="en-NZ"/>
              </w:rPr>
            </w:pPr>
            <w:r w:rsidRPr="00D823F2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F2">
            <w:pPr>
              <w:pStyle w:val="BodyText"/>
              <w:rPr>
                <w:lang w:val="en-NZ"/>
              </w:rPr>
            </w:pPr>
            <w:r w:rsidRPr="00D823F2">
              <w:t>Procedures to be undertaken in emergencies are recognised and implemented</w:t>
            </w:r>
          </w:p>
        </w:tc>
      </w:tr>
      <w:tr w:rsidTr="00E250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3F2" w:rsidP="00D823F2">
            <w:pPr>
              <w:pStyle w:val="BodyText"/>
            </w:pPr>
            <w:r w:rsidRPr="00D823F2">
              <w:rPr>
                <w:rStyle w:val="SpecialBold"/>
              </w:rPr>
              <w:t>3</w:t>
            </w:r>
          </w:p>
        </w:tc>
        <w:tc>
          <w:tcPr>
            <w:tcW w:w="2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F2">
            <w:pPr>
              <w:pStyle w:val="BodyText"/>
              <w:rPr>
                <w:lang w:val="en-NZ"/>
              </w:rPr>
            </w:pPr>
            <w:r w:rsidRPr="00D823F2">
              <w:rPr>
                <w:rStyle w:val="SpecialBold"/>
              </w:rPr>
              <w:t>Complete operations and check electrical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F2">
            <w:pPr>
              <w:pStyle w:val="BodyText"/>
              <w:rPr>
                <w:lang w:val="en-NZ"/>
              </w:rPr>
            </w:pPr>
            <w:r w:rsidRPr="00D823F2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F2">
            <w:pPr>
              <w:pStyle w:val="BodyText"/>
              <w:rPr>
                <w:lang w:val="en-NZ"/>
              </w:rPr>
            </w:pPr>
            <w:r w:rsidRPr="00D823F2">
              <w:t>Shut-down procedures are conducted according to manufacturer instructions and organisational procedures</w:t>
            </w:r>
          </w:p>
        </w:tc>
      </w:tr>
      <w:tr w:rsidTr="00E250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F2">
            <w:pPr>
              <w:pStyle w:val="BodyText"/>
              <w:rPr>
                <w:lang w:val="en-NZ"/>
              </w:rPr>
            </w:pPr>
            <w:r w:rsidRPr="00D823F2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3F2" w:rsidP="00D823F2">
            <w:pPr>
              <w:pStyle w:val="BodyText"/>
            </w:pPr>
            <w:r w:rsidRPr="00D823F2">
              <w:t>Operational records are completed according to organisational procedures</w:t>
            </w:r>
          </w:p>
        </w:tc>
      </w:tr>
    </w:tbl>
    <w:p w:rsidR="00000000" w:rsidRPr="00D823F2" w:rsidP="00D823F2">
      <w:pPr>
        <w:pStyle w:val="BodyText"/>
      </w:pPr>
    </w:p>
    <w:p w:rsidR="00000000" w:rsidRPr="00D823F2" w:rsidP="00D823F2">
      <w:pPr>
        <w:pStyle w:val="AllowPageBreak"/>
      </w:pPr>
    </w:p>
    <w:p w:rsidR="00000000" w:rsidRPr="00D823F2" w:rsidP="00D823F2">
      <w:pPr>
        <w:pStyle w:val="Heading1"/>
      </w:pPr>
      <w:bookmarkStart w:id="7" w:name="O_597563"/>
      <w:bookmarkEnd w:id="7"/>
      <w:r w:rsidRPr="00D823F2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823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F2">
            <w:pPr>
              <w:pStyle w:val="BodyText"/>
              <w:rPr>
                <w:lang w:val="en-NZ"/>
              </w:rPr>
            </w:pPr>
            <w:r w:rsidRPr="00D823F2">
              <w:t>This section describes those language, literacy, numeracy and employment skills that are essential to performance.</w:t>
            </w:r>
          </w:p>
        </w:tc>
      </w:tr>
      <w:tr w:rsidTr="00D823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3F2" w:rsidP="00D823F2">
            <w:pPr>
              <w:pStyle w:val="BodyText"/>
            </w:pPr>
            <w:r w:rsidRPr="00D823F2">
              <w:t>Foundation skills essential to</w:t>
            </w:r>
            <w:r w:rsidRPr="00D823F2">
              <w:t xml:space="preserve"> performance are explicit in the performance criteria of this unit of competency. </w:t>
            </w:r>
          </w:p>
        </w:tc>
      </w:tr>
    </w:tbl>
    <w:p w:rsidR="00000000" w:rsidRPr="00D823F2" w:rsidP="00D823F2">
      <w:pPr>
        <w:pStyle w:val="BodyText"/>
      </w:pPr>
    </w:p>
    <w:p w:rsidR="00000000" w:rsidRPr="00D823F2" w:rsidP="00D823F2">
      <w:pPr>
        <w:pStyle w:val="AllowPageBreak"/>
      </w:pPr>
    </w:p>
    <w:p w:rsidR="00000000" w:rsidRPr="00D823F2" w:rsidP="00D823F2">
      <w:pPr>
        <w:pStyle w:val="Heading1"/>
      </w:pPr>
      <w:bookmarkStart w:id="8" w:name="O_597564"/>
      <w:bookmarkEnd w:id="8"/>
      <w:r w:rsidRPr="00D823F2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E250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3F2" w:rsidP="00D823F2">
            <w:pPr>
              <w:pStyle w:val="BodyText"/>
            </w:pPr>
            <w:r w:rsidRPr="00D823F2">
              <w:t>Specifies different work environments and conditions that may affect performance. Essential operating conditions that may be present (</w:t>
            </w:r>
            <w:r w:rsidRPr="00D823F2">
              <w:t xml:space="preserve">depending on the work situation, needs of the </w:t>
            </w:r>
            <w:r w:rsidRPr="00D823F2">
              <w:t>candidate, accessibility of the item, and local industry and regional contexts) are included.</w:t>
            </w:r>
          </w:p>
          <w:p w:rsidR="00000000" w:rsidRPr="00D823F2" w:rsidP="00D823F2">
            <w:pPr>
              <w:pStyle w:val="BodyText"/>
            </w:pPr>
          </w:p>
          <w:p w:rsidR="00000000" w:rsidP="00D823F2">
            <w:pPr>
              <w:pStyle w:val="BodyText"/>
              <w:rPr>
                <w:lang w:val="en-NZ"/>
              </w:rPr>
            </w:pPr>
            <w:r w:rsidRPr="00D823F2">
              <w:t>Range is restricted to essential operating conditions and any other variables essential to the work environment.</w:t>
            </w:r>
          </w:p>
        </w:tc>
      </w:tr>
      <w:tr w:rsidTr="00E250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F2">
            <w:pPr>
              <w:pStyle w:val="BodyText"/>
              <w:rPr>
                <w:lang w:val="en-NZ"/>
              </w:rPr>
            </w:pPr>
            <w:r w:rsidRPr="00D823F2">
              <w:t>Electrical systems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3F2" w:rsidP="00D823F2">
            <w:pPr>
              <w:pStyle w:val="ListBullet"/>
            </w:pPr>
            <w:r w:rsidRPr="00D823F2">
              <w:t>alternators</w:t>
            </w:r>
          </w:p>
          <w:p w:rsidR="00000000" w:rsidRPr="00D823F2" w:rsidP="00D823F2">
            <w:pPr>
              <w:pStyle w:val="ListBullet"/>
            </w:pPr>
            <w:r w:rsidRPr="00D823F2">
              <w:t>batteries and associated circuits</w:t>
            </w:r>
          </w:p>
          <w:p w:rsidR="00000000" w:rsidRPr="00D823F2" w:rsidP="00D823F2">
            <w:pPr>
              <w:pStyle w:val="ListBullet"/>
            </w:pPr>
            <w:r w:rsidRPr="00D823F2">
              <w:t xml:space="preserve">control circuits </w:t>
            </w:r>
          </w:p>
          <w:p w:rsidR="00000000" w:rsidRPr="00D823F2" w:rsidP="00D823F2">
            <w:pPr>
              <w:pStyle w:val="ListBullet"/>
            </w:pPr>
            <w:r w:rsidRPr="00D823F2">
              <w:t>fire detection</w:t>
            </w:r>
          </w:p>
          <w:p w:rsidR="00000000" w:rsidRPr="00D823F2" w:rsidP="00D823F2">
            <w:pPr>
              <w:pStyle w:val="ListBullet"/>
            </w:pPr>
            <w:r w:rsidRPr="00D823F2">
              <w:t>motors</w:t>
            </w:r>
          </w:p>
          <w:p w:rsidR="00000000" w:rsidRPr="00D823F2" w:rsidP="00D823F2">
            <w:pPr>
              <w:pStyle w:val="ListBullet"/>
            </w:pPr>
            <w:r w:rsidRPr="00D823F2">
              <w:t>starter circuits</w:t>
            </w:r>
          </w:p>
          <w:p w:rsidR="00000000" w:rsidP="00D823F2">
            <w:pPr>
              <w:pStyle w:val="ListBullet"/>
              <w:rPr>
                <w:lang w:val="en-NZ"/>
              </w:rPr>
            </w:pPr>
            <w:r w:rsidRPr="00D823F2">
              <w:t>switchboard</w:t>
            </w:r>
          </w:p>
        </w:tc>
      </w:tr>
      <w:tr w:rsidTr="00E250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F2">
            <w:pPr>
              <w:pStyle w:val="BodyText"/>
              <w:rPr>
                <w:lang w:val="en-NZ"/>
              </w:rPr>
            </w:pPr>
          </w:p>
        </w:tc>
      </w:tr>
      <w:tr w:rsidTr="00E250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F2">
            <w:pPr>
              <w:pStyle w:val="BodyText"/>
              <w:rPr>
                <w:lang w:val="en-NZ"/>
              </w:rPr>
            </w:pPr>
            <w:r w:rsidRPr="00D823F2">
              <w:t>Emergencies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3F2" w:rsidP="00D823F2">
            <w:pPr>
              <w:pStyle w:val="ListBullet"/>
            </w:pPr>
            <w:r w:rsidRPr="00D823F2">
              <w:t>failure of:</w:t>
            </w:r>
          </w:p>
          <w:p w:rsidR="00000000" w:rsidRPr="00D823F2" w:rsidP="00D823F2">
            <w:pPr>
              <w:pStyle w:val="ListBullet"/>
            </w:pPr>
            <w:r w:rsidRPr="00D823F2">
              <w:t>generator</w:t>
            </w:r>
          </w:p>
          <w:p w:rsidR="00000000" w:rsidRPr="00D823F2" w:rsidP="00D823F2">
            <w:pPr>
              <w:pStyle w:val="ListBullet"/>
            </w:pPr>
            <w:r w:rsidRPr="00D823F2">
              <w:t>emergency generator</w:t>
            </w:r>
          </w:p>
          <w:p w:rsidR="00000000" w:rsidRPr="00D823F2" w:rsidP="00D823F2">
            <w:pPr>
              <w:pStyle w:val="ListBullet"/>
            </w:pPr>
            <w:r w:rsidRPr="00D823F2">
              <w:t xml:space="preserve">fire </w:t>
            </w:r>
          </w:p>
          <w:p w:rsidR="00000000" w:rsidP="00D823F2">
            <w:pPr>
              <w:pStyle w:val="ListBullet"/>
              <w:rPr>
                <w:lang w:val="en-NZ"/>
              </w:rPr>
            </w:pPr>
            <w:r w:rsidRPr="00D823F2">
              <w:t>flooding</w:t>
            </w:r>
          </w:p>
        </w:tc>
      </w:tr>
      <w:tr w:rsidTr="00E250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F2">
            <w:pPr>
              <w:pStyle w:val="BodyText"/>
              <w:rPr>
                <w:lang w:val="en-NZ"/>
              </w:rPr>
            </w:pPr>
          </w:p>
        </w:tc>
      </w:tr>
      <w:tr w:rsidTr="00E250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3F2">
            <w:pPr>
              <w:pStyle w:val="BodyText"/>
              <w:rPr>
                <w:lang w:val="en-NZ"/>
              </w:rPr>
            </w:pPr>
            <w:r w:rsidRPr="00D823F2">
              <w:t>Operational records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3F2" w:rsidP="00D823F2">
            <w:pPr>
              <w:pStyle w:val="ListBullet"/>
            </w:pPr>
            <w:r w:rsidRPr="00D823F2">
              <w:t>logbooks</w:t>
            </w:r>
          </w:p>
          <w:p w:rsidR="00000000" w:rsidRPr="00D823F2" w:rsidP="00D823F2">
            <w:pPr>
              <w:pStyle w:val="ListBullet"/>
            </w:pPr>
            <w:r w:rsidRPr="00D823F2">
              <w:t xml:space="preserve">maintenance records </w:t>
            </w:r>
          </w:p>
          <w:p w:rsidR="00000000" w:rsidRPr="00D823F2" w:rsidP="00D823F2">
            <w:pPr>
              <w:pStyle w:val="ListBullet"/>
            </w:pPr>
            <w:r w:rsidRPr="00D823F2">
              <w:t>operational orders from the organisation’s safety management system</w:t>
            </w:r>
          </w:p>
          <w:p w:rsidR="00000000" w:rsidRPr="00D823F2" w:rsidP="00D823F2">
            <w:pPr>
              <w:pStyle w:val="ListBullet"/>
            </w:pPr>
            <w:r w:rsidRPr="00D823F2">
              <w:t>plant and equipment manufacturer instructions and recommended procedures</w:t>
            </w:r>
          </w:p>
          <w:p w:rsidR="00000000" w:rsidRPr="00D823F2" w:rsidP="00D823F2">
            <w:pPr>
              <w:pStyle w:val="ListBullet"/>
            </w:pPr>
            <w:r w:rsidRPr="00D823F2">
              <w:t>relevant maritime authorities documentation relati</w:t>
            </w:r>
            <w:r w:rsidRPr="00D823F2">
              <w:t>ng to operating electrical systems</w:t>
            </w:r>
          </w:p>
        </w:tc>
      </w:tr>
    </w:tbl>
    <w:p w:rsidR="00000000" w:rsidRPr="00D823F2" w:rsidP="00D823F2">
      <w:pPr>
        <w:pStyle w:val="BodyText"/>
      </w:pPr>
    </w:p>
    <w:p w:rsidR="00000000" w:rsidRPr="00D823F2" w:rsidP="00D823F2">
      <w:pPr>
        <w:pStyle w:val="AllowPageBreak"/>
      </w:pPr>
    </w:p>
    <w:p w:rsidR="00000000" w:rsidRPr="00D823F2" w:rsidP="00D823F2">
      <w:pPr>
        <w:pStyle w:val="Heading1"/>
      </w:pPr>
      <w:bookmarkStart w:id="9" w:name="O_597565"/>
      <w:bookmarkEnd w:id="9"/>
      <w:r w:rsidRPr="00D823F2">
        <w:t>Unit Mapping Information</w:t>
      </w:r>
    </w:p>
    <w:p w:rsidR="00000000" w:rsidRPr="00D823F2" w:rsidP="00E250D6">
      <w:pPr>
        <w:pStyle w:val="BodyText"/>
      </w:pPr>
      <w:r w:rsidRPr="00D823F2">
        <w:t>This is a new unit. This unit is equivalent to MARC4007A Operate 240 to 440 voltage alternating current electrical systems.</w:t>
      </w:r>
    </w:p>
    <w:p w:rsidR="00000000" w:rsidRPr="00D823F2" w:rsidP="00D823F2">
      <w:pPr>
        <w:pStyle w:val="Heading1"/>
      </w:pPr>
      <w:bookmarkStart w:id="10" w:name="O_597572"/>
      <w:bookmarkEnd w:id="10"/>
      <w:r w:rsidRPr="00D823F2">
        <w:t>Links</w:t>
      </w:r>
    </w:p>
    <w:p w:rsidR="00000000" w:rsidRPr="00D823F2" w:rsidP="00E250D6">
      <w:pPr>
        <w:pStyle w:val="BodyText"/>
      </w:pPr>
      <w:r w:rsidRPr="00D823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357FE9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D823F2" w:rsidP="00D823F2"/>
    <w:sectPr w:rsidSect="00D823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3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3F2" w:rsidRPr="00E250D6" w:rsidP="00E250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3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0D6" w:rsidP="00D823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50D6" w:rsidP="00D823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250D6" w:rsidP="00D823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3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0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23F2" w:rsidRPr="00E250D6" w:rsidP="00E250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3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0D6" w:rsidRPr="002D2AF8" w:rsidP="00D823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MARC017 Operate 240 to 440 voltage alternating current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E250D6" w:rsidP="00D823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F0A2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344C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3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23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23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23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23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23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23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23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23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23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23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23F2"/>
  </w:style>
  <w:style w:type="character" w:customStyle="1" w:styleId="Heading1Char">
    <w:name w:val="Heading 1 Char"/>
    <w:basedOn w:val="DefaultParagraphFont"/>
    <w:link w:val="Heading1"/>
    <w:rsid w:val="00D823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23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23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23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23F2"/>
    <w:rPr>
      <w:b/>
      <w:spacing w:val="0"/>
    </w:rPr>
  </w:style>
  <w:style w:type="paragraph" w:customStyle="1" w:styleId="SuperHeading">
    <w:name w:val="SuperHeading"/>
    <w:basedOn w:val="Normal"/>
    <w:rsid w:val="00D823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23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23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23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23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23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23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23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23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23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23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23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23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23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23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23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23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23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23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23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23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23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23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23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23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23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23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23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23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23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23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23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23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23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23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23F2"/>
    <w:rPr>
      <w:i/>
    </w:rPr>
  </w:style>
  <w:style w:type="paragraph" w:styleId="Caption">
    <w:name w:val="caption"/>
    <w:basedOn w:val="BodyText"/>
    <w:next w:val="Normal"/>
    <w:qFormat/>
    <w:rsid w:val="00D823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23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23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23F2"/>
  </w:style>
  <w:style w:type="paragraph" w:styleId="TableofFigures">
    <w:name w:val="table of figures"/>
    <w:basedOn w:val="Normal"/>
    <w:next w:val="Normal"/>
    <w:semiHidden/>
    <w:rsid w:val="00D823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23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23F2"/>
    <w:rPr>
      <w:rFonts w:ascii="Wingdings" w:hAnsi="Wingdings"/>
    </w:rPr>
  </w:style>
  <w:style w:type="paragraph" w:customStyle="1" w:styleId="TableHeading">
    <w:name w:val="Table Heading"/>
    <w:basedOn w:val="HeadingBase"/>
    <w:rsid w:val="00D823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23F2"/>
    <w:rPr>
      <w:color w:val="0033CC"/>
      <w:u w:val="none"/>
    </w:rPr>
  </w:style>
  <w:style w:type="paragraph" w:customStyle="1" w:styleId="BodyTextRight">
    <w:name w:val="Body Text Right"/>
    <w:basedOn w:val="BodyText"/>
    <w:rsid w:val="00D823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23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23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23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23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23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23F2"/>
    <w:rPr>
      <w:sz w:val="32"/>
    </w:rPr>
  </w:style>
  <w:style w:type="paragraph" w:customStyle="1" w:styleId="HeadingProcedure">
    <w:name w:val="Heading Procedure"/>
    <w:basedOn w:val="HeadingBase"/>
    <w:next w:val="Normal"/>
    <w:rsid w:val="00D823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23F2"/>
    <w:pPr>
      <w:spacing w:before="60" w:after="60"/>
    </w:pPr>
  </w:style>
  <w:style w:type="paragraph" w:styleId="ListContinue">
    <w:name w:val="List Continue"/>
    <w:basedOn w:val="List"/>
    <w:rsid w:val="00D823F2"/>
    <w:pPr>
      <w:ind w:firstLine="0"/>
    </w:pPr>
  </w:style>
  <w:style w:type="paragraph" w:customStyle="1" w:styleId="ListNote">
    <w:name w:val="List Note"/>
    <w:basedOn w:val="List"/>
    <w:rsid w:val="00D823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23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23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23F2"/>
    <w:rPr>
      <w:rFonts w:ascii="Courier New" w:hAnsi="Courier New"/>
    </w:rPr>
  </w:style>
  <w:style w:type="paragraph" w:customStyle="1" w:styleId="NoteBullet">
    <w:name w:val="Note Bullet"/>
    <w:basedOn w:val="Note"/>
    <w:rsid w:val="00D823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23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23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23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23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23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23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23F2"/>
    <w:rPr>
      <w:b/>
      <w:smallCaps/>
    </w:rPr>
  </w:style>
  <w:style w:type="paragraph" w:customStyle="1" w:styleId="TableListNumber">
    <w:name w:val="Table List Number"/>
    <w:basedOn w:val="ListNumber"/>
    <w:rsid w:val="00D823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23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23F2"/>
    <w:pPr>
      <w:numPr>
        <w:numId w:val="8"/>
      </w:numPr>
    </w:pPr>
  </w:style>
  <w:style w:type="paragraph" w:customStyle="1" w:styleId="ListAlpha2">
    <w:name w:val="List Alpha 2"/>
    <w:basedOn w:val="List2"/>
    <w:rsid w:val="00D823F2"/>
    <w:pPr>
      <w:numPr>
        <w:numId w:val="7"/>
      </w:numPr>
    </w:pPr>
  </w:style>
  <w:style w:type="paragraph" w:styleId="List2">
    <w:name w:val="List 2"/>
    <w:basedOn w:val="BodyText"/>
    <w:rsid w:val="00D823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23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23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23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23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23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23F2"/>
    <w:pPr>
      <w:numPr>
        <w:numId w:val="3"/>
      </w:numPr>
    </w:pPr>
  </w:style>
  <w:style w:type="paragraph" w:styleId="ListContinue2">
    <w:name w:val="List Continue 2"/>
    <w:basedOn w:val="List2"/>
    <w:rsid w:val="00D823F2"/>
    <w:pPr>
      <w:ind w:firstLine="0"/>
    </w:pPr>
  </w:style>
  <w:style w:type="paragraph" w:styleId="ListContinue3">
    <w:name w:val="List Continue 3"/>
    <w:basedOn w:val="List3"/>
    <w:rsid w:val="00D823F2"/>
    <w:pPr>
      <w:ind w:left="1021" w:firstLine="0"/>
    </w:pPr>
  </w:style>
  <w:style w:type="paragraph" w:styleId="ListContinue4">
    <w:name w:val="List Continue 4"/>
    <w:basedOn w:val="List4"/>
    <w:rsid w:val="00D823F2"/>
    <w:pPr>
      <w:ind w:firstLine="0"/>
    </w:pPr>
  </w:style>
  <w:style w:type="paragraph" w:styleId="ListContinue5">
    <w:name w:val="List Continue 5"/>
    <w:basedOn w:val="List5"/>
    <w:rsid w:val="00D823F2"/>
    <w:pPr>
      <w:ind w:firstLine="0"/>
    </w:pPr>
  </w:style>
  <w:style w:type="paragraph" w:styleId="ListNumber3">
    <w:name w:val="List Number 3"/>
    <w:basedOn w:val="List3"/>
    <w:rsid w:val="00D823F2"/>
    <w:pPr>
      <w:numPr>
        <w:numId w:val="4"/>
      </w:numPr>
    </w:pPr>
  </w:style>
  <w:style w:type="paragraph" w:styleId="ListNumber4">
    <w:name w:val="List Number 4"/>
    <w:basedOn w:val="List4"/>
    <w:rsid w:val="00D823F2"/>
    <w:pPr>
      <w:numPr>
        <w:numId w:val="5"/>
      </w:numPr>
    </w:pPr>
  </w:style>
  <w:style w:type="paragraph" w:styleId="ListNumber5">
    <w:name w:val="List Number 5"/>
    <w:basedOn w:val="List5"/>
    <w:rsid w:val="00D823F2"/>
    <w:pPr>
      <w:numPr>
        <w:numId w:val="6"/>
      </w:numPr>
    </w:pPr>
  </w:style>
  <w:style w:type="paragraph" w:styleId="BlockText">
    <w:name w:val="Block Text"/>
    <w:basedOn w:val="Normal"/>
    <w:rsid w:val="00D823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23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23F2"/>
    <w:rPr>
      <w:sz w:val="16"/>
      <w:vertAlign w:val="superscript"/>
    </w:rPr>
  </w:style>
  <w:style w:type="character" w:customStyle="1" w:styleId="Symbols">
    <w:name w:val="Symbols"/>
    <w:basedOn w:val="DefaultParagraphFont"/>
    <w:rsid w:val="00D823F2"/>
    <w:rPr>
      <w:rFonts w:ascii="Symbol" w:hAnsi="Symbol"/>
    </w:rPr>
  </w:style>
  <w:style w:type="character" w:customStyle="1" w:styleId="MenuOptions">
    <w:name w:val="Menu Options"/>
    <w:basedOn w:val="DefaultParagraphFont"/>
    <w:rsid w:val="00D823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23F2"/>
    <w:rPr>
      <w:b/>
    </w:rPr>
  </w:style>
  <w:style w:type="character" w:customStyle="1" w:styleId="Underlined">
    <w:name w:val="Underlined"/>
    <w:basedOn w:val="DefaultParagraphFont"/>
    <w:rsid w:val="00D823F2"/>
    <w:rPr>
      <w:u w:val="single"/>
    </w:rPr>
  </w:style>
  <w:style w:type="paragraph" w:customStyle="1" w:styleId="TableBodyTextRight">
    <w:name w:val="Table Body Text Right"/>
    <w:basedOn w:val="TableBodyText"/>
    <w:rsid w:val="00D823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23F2"/>
    <w:rPr>
      <w:sz w:val="18"/>
    </w:rPr>
  </w:style>
  <w:style w:type="paragraph" w:customStyle="1" w:styleId="BodySmallRight">
    <w:name w:val="Body Small Right"/>
    <w:basedOn w:val="BodyTextRight"/>
    <w:rsid w:val="00D823F2"/>
    <w:rPr>
      <w:sz w:val="18"/>
      <w:szCs w:val="18"/>
    </w:rPr>
  </w:style>
  <w:style w:type="paragraph" w:customStyle="1" w:styleId="MarginEdition">
    <w:name w:val="Margin Edition"/>
    <w:basedOn w:val="MarginNote"/>
    <w:rsid w:val="00D823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23F2"/>
    <w:rPr>
      <w:sz w:val="2"/>
      <w:szCs w:val="2"/>
    </w:rPr>
  </w:style>
  <w:style w:type="character" w:customStyle="1" w:styleId="Small">
    <w:name w:val="Small"/>
    <w:basedOn w:val="DefaultParagraphFont"/>
    <w:rsid w:val="00D823F2"/>
    <w:rPr>
      <w:sz w:val="16"/>
    </w:rPr>
  </w:style>
  <w:style w:type="paragraph" w:customStyle="1" w:styleId="WideTable">
    <w:name w:val="Wide Table"/>
    <w:basedOn w:val="Normal"/>
    <w:rsid w:val="00D823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23F2"/>
  </w:style>
  <w:style w:type="paragraph" w:styleId="Quote">
    <w:name w:val="Quote"/>
    <w:basedOn w:val="Heading1"/>
    <w:link w:val="QuoteChar"/>
    <w:qFormat/>
    <w:rsid w:val="00D823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23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23F2"/>
    <w:pPr>
      <w:pageBreakBefore/>
    </w:pPr>
  </w:style>
  <w:style w:type="paragraph" w:customStyle="1" w:styleId="Border">
    <w:name w:val="Border"/>
    <w:basedOn w:val="Normal"/>
    <w:qFormat/>
    <w:rsid w:val="00D823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23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3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3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23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23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23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23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23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23F2"/>
    <w:rPr>
      <w:u w:val="single"/>
    </w:rPr>
  </w:style>
  <w:style w:type="character" w:customStyle="1" w:styleId="BoldandItalics">
    <w:name w:val="Bold and Italics"/>
    <w:qFormat/>
    <w:rsid w:val="00D823F2"/>
    <w:rPr>
      <w:b/>
      <w:i/>
      <w:u w:val="none"/>
    </w:rPr>
  </w:style>
  <w:style w:type="paragraph" w:styleId="BalloonText">
    <w:name w:val="Balloon Text"/>
    <w:basedOn w:val="Normal"/>
    <w:link w:val="BalloonTextChar"/>
    <w:rsid w:val="00D823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23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23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23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23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23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23F2"/>
    <w:pPr>
      <w:spacing w:before="0" w:after="0"/>
    </w:pPr>
  </w:style>
  <w:style w:type="paragraph" w:customStyle="1" w:styleId="BodyTextBold">
    <w:name w:val="Body Text Bold"/>
    <w:basedOn w:val="BodyText"/>
    <w:qFormat/>
    <w:rsid w:val="00D823F2"/>
    <w:rPr>
      <w:b/>
    </w:rPr>
  </w:style>
  <w:style w:type="character" w:styleId="Hyperlink">
    <w:name w:val="Hyperlink"/>
    <w:basedOn w:val="DefaultParagraphFont"/>
    <w:uiPriority w:val="99"/>
    <w:unhideWhenUsed/>
    <w:rsid w:val="00E250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3505</Characters>
  <Application>Microsoft Office Word</Application>
  <DocSecurity>0</DocSecurity>
  <Lines>166</Lines>
  <Paragraphs>91</Paragraphs>
  <ScaleCrop>false</ScaleCrop>
  <Company>Author-it Software Corporation Ltd.</Company>
  <LinksUpToDate>false</LinksUpToDate>
  <CharactersWithSpaces>3944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MARC017 Operate 240 to 440 voltage alternating current electrical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2020-10-27T01:39:00Z</dcterms:created>
  <dcterms:modified xsi:type="dcterms:W3CDTF">2020-10-27T01:39:00Z</dcterms:modified>
</cp:coreProperties>
</file>