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224" w:rsidP="00200224">
      <w:pPr>
        <w:pStyle w:val="Title"/>
      </w:pPr>
      <w:r>
        <w:fldChar w:fldCharType="begin"/>
      </w:r>
      <w:r>
        <w:instrText xml:space="preserve"> TITLE   \* MERGEFORMAT </w:instrText>
      </w:r>
      <w:r>
        <w:fldChar w:fldCharType="separate"/>
      </w:r>
      <w:r>
        <w:t>MARC015 Operate marine internal combustion engines and associated systems up to 1500 kW</w:t>
      </w:r>
      <w:r>
        <w:fldChar w:fldCharType="end"/>
      </w:r>
    </w:p>
    <w:p w:rsidR="00200224" w:rsidP="00200224">
      <w:pPr>
        <w:pStyle w:val="Version"/>
        <w:sectPr w:rsidSect="00DA6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22C" w:rsidP="00DA622C">
      <w:pPr>
        <w:pStyle w:val="SuperHeading"/>
      </w:pPr>
      <w:r w:rsidRPr="00DA622C">
        <w:t>MARC015 Opera</w:t>
      </w:r>
      <w:r w:rsidRPr="00DA622C">
        <w:t>te marine internal combustion engines and associated systems up to 1500 kW</w:t>
      </w:r>
    </w:p>
    <w:p w:rsidR="00000000" w:rsidRPr="00DA622C" w:rsidP="00DA622C">
      <w:pPr>
        <w:pStyle w:val="Heading1"/>
      </w:pPr>
      <w:bookmarkStart w:id="1" w:name="O_597519"/>
      <w:bookmarkEnd w:id="1"/>
      <w:r w:rsidRPr="00DA622C">
        <w:t>Modification History</w:t>
      </w:r>
    </w:p>
    <w:p w:rsidR="00000000" w:rsidRPr="00DA622C" w:rsidP="00200224">
      <w:pPr>
        <w:pStyle w:val="BodyText"/>
      </w:pPr>
      <w:r w:rsidRPr="00DA622C">
        <w:t>Release 1. New unit of competency.</w:t>
      </w:r>
    </w:p>
    <w:p w:rsidR="00000000" w:rsidRPr="00DA622C" w:rsidP="00DA622C">
      <w:pPr>
        <w:pStyle w:val="Heading1"/>
      </w:pPr>
      <w:bookmarkStart w:id="2" w:name="O_597520"/>
      <w:bookmarkEnd w:id="2"/>
      <w:r w:rsidRPr="00DA622C">
        <w:t>Application</w:t>
      </w:r>
    </w:p>
    <w:p w:rsidR="00000000" w:rsidRPr="00DA622C" w:rsidP="00200224">
      <w:pPr>
        <w:pStyle w:val="BodyText"/>
      </w:pPr>
      <w:r w:rsidRPr="00DA622C">
        <w:t>This unit involves the skills and knowledge required to operate a marine internal combustion engine and associated systems up to 1500 kW according to technical specifications and safe operating limits.</w:t>
      </w:r>
    </w:p>
    <w:p w:rsidR="00000000" w:rsidRPr="00DA622C" w:rsidP="00200224">
      <w:pPr>
        <w:pStyle w:val="BodyText"/>
      </w:pPr>
      <w:r w:rsidRPr="00DA622C">
        <w:t>This unit applies to engine workers in the maritime i</w:t>
      </w:r>
      <w:r w:rsidRPr="00DA622C">
        <w:t>ndustry working as a Marine Engine Driver Grade 1 Near Coastal on vessels up to 1500 kW.</w:t>
      </w:r>
    </w:p>
    <w:p w:rsidR="00000000" w:rsidRPr="00DA622C" w:rsidP="00200224">
      <w:pPr>
        <w:pStyle w:val="BodyText"/>
      </w:pPr>
      <w:r w:rsidRPr="00DA622C">
        <w:t>This unit has links to legislative and certification requirements.</w:t>
      </w:r>
    </w:p>
    <w:p w:rsidR="00000000" w:rsidRPr="00DA622C" w:rsidP="00DA622C">
      <w:pPr>
        <w:pStyle w:val="Heading1"/>
      </w:pPr>
      <w:bookmarkStart w:id="3" w:name="O_597521"/>
      <w:bookmarkEnd w:id="3"/>
      <w:r w:rsidRPr="00DA622C">
        <w:t>Pre-requisite Unit</w:t>
      </w:r>
    </w:p>
    <w:p w:rsidR="00000000" w:rsidRPr="00DA622C" w:rsidP="00200224">
      <w:pPr>
        <w:pStyle w:val="BodyText"/>
      </w:pPr>
      <w:r w:rsidRPr="00DA622C">
        <w:t>Not applicable.</w:t>
      </w:r>
    </w:p>
    <w:p w:rsidR="00000000" w:rsidRPr="00DA622C" w:rsidP="00DA622C">
      <w:pPr>
        <w:pStyle w:val="Heading1"/>
      </w:pPr>
      <w:bookmarkStart w:id="4" w:name="O_597522"/>
      <w:bookmarkEnd w:id="4"/>
      <w:r w:rsidRPr="00DA622C">
        <w:t>Competency Field</w:t>
      </w:r>
    </w:p>
    <w:p w:rsidR="00000000" w:rsidRPr="00DA622C" w:rsidP="00200224">
      <w:pPr>
        <w:pStyle w:val="BodyText"/>
      </w:pPr>
      <w:r w:rsidRPr="00DA622C">
        <w:t>C - Equipment</w:t>
      </w:r>
      <w:r w:rsidRPr="00DA622C">
        <w:t xml:space="preserve"> Operations</w:t>
      </w:r>
    </w:p>
    <w:p w:rsidR="00000000" w:rsidRPr="00DA622C" w:rsidP="00DA622C">
      <w:pPr>
        <w:pStyle w:val="Heading1"/>
      </w:pPr>
      <w:bookmarkStart w:id="5" w:name="O_597523"/>
      <w:bookmarkEnd w:id="5"/>
      <w:r w:rsidRPr="00DA622C">
        <w:t>Unit Sector</w:t>
      </w:r>
    </w:p>
    <w:p w:rsidR="00000000" w:rsidRPr="00DA622C" w:rsidP="00200224">
      <w:pPr>
        <w:pStyle w:val="BodyText"/>
      </w:pPr>
      <w:r w:rsidRPr="00DA622C">
        <w:t>Not applicable.</w:t>
      </w:r>
    </w:p>
    <w:p w:rsidR="00000000" w:rsidRPr="00DA622C" w:rsidP="00DA622C">
      <w:pPr>
        <w:pStyle w:val="Heading1"/>
      </w:pPr>
      <w:bookmarkStart w:id="6" w:name="O_597524"/>
      <w:bookmarkEnd w:id="6"/>
      <w:r w:rsidRPr="00DA62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0022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Performance criteria describe the performance needed to demonstrate achievement of the element.</w:t>
            </w:r>
          </w:p>
        </w:tc>
      </w:tr>
      <w:tr w:rsidTr="002002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1.1</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Risks to self, others and the environment are identified according to organisational procedures</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1.2</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Routine pre-operational checks of marine internal combustion engines and associated systems are completed prior to use accordin</w:t>
            </w:r>
            <w:r w:rsidRPr="00DA622C">
              <w:t>g to manufacturer specifications and organisational procedures</w:t>
            </w:r>
          </w:p>
        </w:tc>
      </w:tr>
      <w:tr w:rsidTr="002002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rPr>
                <w:rStyle w:val="SpecialBold"/>
              </w:rPr>
              <w:t xml:space="preserve">Operate marine internal combustion engines and </w:t>
            </w:r>
            <w:r w:rsidRPr="00DA622C">
              <w:rPr>
                <w:rStyle w:val="SpecialBold"/>
              </w:rPr>
              <w:t>associated systems</w:t>
            </w: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2.1</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 xml:space="preserve">Suitable personal protective equipment is selected and used according to organisational procedures </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2.2</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 xml:space="preserve">Marine internal combustion engines and associated systems </w:t>
            </w:r>
            <w:r w:rsidRPr="00DA622C">
              <w:t xml:space="preserve">are operated in a safe and controlled manner </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2.3</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 xml:space="preserve">Performance of marine internal combustion engines and associated systems operations is monitored </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2.4</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Adverse sea and weather conditions that may impact on operating marine internal combustion engines and associated systems are identified and operational practices are adjusted to maintain safety of vessel and personnel</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2.5</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Faults or malfunctions are ide</w:t>
            </w:r>
            <w:r w:rsidRPr="00DA622C">
              <w:t>ntified and recorded according to organisational procedures</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2.6</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Faults or malfunctions are rectified where possible and corrective actions are taken and recorded according to organisational procedures</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2.7</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Restrictions are applied to operations if nec</w:t>
            </w:r>
            <w:r w:rsidRPr="00DA622C">
              <w:t>essary and are agreed to with the Master</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2.8</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Procedures to be undertaken in of emergencies are recognised and implemented</w:t>
            </w:r>
          </w:p>
        </w:tc>
      </w:tr>
      <w:tr w:rsidTr="0020022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3.1</w:t>
            </w:r>
          </w:p>
        </w:tc>
        <w:tc>
          <w:tcPr>
            <w:tcW w:w="604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Shut-down procedures are conducted according to manufacturer instructions and organisational procedures</w:t>
            </w:r>
          </w:p>
        </w:tc>
      </w:tr>
      <w:tr w:rsidTr="0020022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3.2</w:t>
            </w:r>
          </w:p>
        </w:tc>
        <w:tc>
          <w:tcPr>
            <w:tcW w:w="6045" w:type="dxa"/>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t>Operational records are completed according to organisational procedures</w:t>
            </w:r>
          </w:p>
        </w:tc>
      </w:tr>
    </w:tbl>
    <w:p w:rsidR="00000000" w:rsidRPr="00DA622C" w:rsidP="00DA622C">
      <w:pPr>
        <w:pStyle w:val="BodyText"/>
      </w:pPr>
    </w:p>
    <w:p w:rsidR="00000000" w:rsidRPr="00DA622C" w:rsidP="00DA622C">
      <w:pPr>
        <w:pStyle w:val="AllowPageBreak"/>
      </w:pPr>
    </w:p>
    <w:p w:rsidR="00000000" w:rsidRPr="00DA622C" w:rsidP="00DA622C">
      <w:pPr>
        <w:pStyle w:val="Heading1"/>
      </w:pPr>
      <w:bookmarkStart w:id="7" w:name="O_597525"/>
      <w:bookmarkEnd w:id="7"/>
      <w:r w:rsidRPr="00DA622C">
        <w:t>Foundation Skills</w:t>
      </w:r>
    </w:p>
    <w:tbl>
      <w:tblPr>
        <w:tblW w:w="9498" w:type="dxa"/>
        <w:tblLayout w:type="fixed"/>
        <w:tblCellMar>
          <w:left w:w="62" w:type="dxa"/>
          <w:right w:w="62" w:type="dxa"/>
        </w:tblCellMar>
        <w:tblLook w:val="0000"/>
      </w:tblPr>
      <w:tblGrid>
        <w:gridCol w:w="9498"/>
      </w:tblGrid>
      <w:tr w:rsidTr="00DA62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This section describes those language, literacy, numeracy and employment skills that are essential to performance.</w:t>
            </w:r>
          </w:p>
        </w:tc>
      </w:tr>
      <w:tr w:rsidTr="00DA62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t>Foundati</w:t>
            </w:r>
            <w:r w:rsidRPr="00DA622C">
              <w:t xml:space="preserve">on skills essential to performance are explicit in the performance criteria of this unit of competency. </w:t>
            </w:r>
          </w:p>
        </w:tc>
      </w:tr>
    </w:tbl>
    <w:p w:rsidR="00000000" w:rsidRPr="00DA622C" w:rsidP="00DA622C">
      <w:pPr>
        <w:pStyle w:val="BodyText"/>
      </w:pPr>
    </w:p>
    <w:p w:rsidR="00000000" w:rsidRPr="00DA622C" w:rsidP="00DA622C">
      <w:pPr>
        <w:pStyle w:val="AllowPageBreak"/>
      </w:pPr>
    </w:p>
    <w:p w:rsidR="00000000" w:rsidRPr="00DA622C" w:rsidP="00DA622C">
      <w:pPr>
        <w:pStyle w:val="Heading1"/>
      </w:pPr>
      <w:bookmarkStart w:id="8" w:name="O_597526"/>
      <w:bookmarkEnd w:id="8"/>
      <w:r w:rsidRPr="00DA622C">
        <w:t>Range of Conditions</w:t>
      </w:r>
    </w:p>
    <w:tbl>
      <w:tblPr>
        <w:tblW w:w="9498" w:type="dxa"/>
        <w:tblLayout w:type="fixed"/>
        <w:tblCellMar>
          <w:left w:w="62" w:type="dxa"/>
          <w:right w:w="62" w:type="dxa"/>
        </w:tblCellMar>
        <w:tblLook w:val="0000"/>
      </w:tblPr>
      <w:tblGrid>
        <w:gridCol w:w="2735"/>
        <w:gridCol w:w="6763"/>
      </w:tblGrid>
      <w:tr w:rsidTr="0020022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A622C" w:rsidP="00DA622C">
            <w:pPr>
              <w:pStyle w:val="BodyText"/>
            </w:pPr>
            <w:r w:rsidRPr="00DA622C">
              <w:t>Specifies different work environments and conditions that may affect performance. Essential operating conditions</w:t>
            </w:r>
            <w:r w:rsidRPr="00DA622C">
              <w:t xml:space="preserve"> that may be present (depending on the work situation, needs of the candidate, accessibility of the item, and local industry and regional contexts) are included.</w:t>
            </w:r>
          </w:p>
          <w:p w:rsidR="00000000" w:rsidRPr="00DA622C" w:rsidP="00DA622C">
            <w:pPr>
              <w:pStyle w:val="BodyText"/>
            </w:pPr>
          </w:p>
          <w:p w:rsidR="00000000" w:rsidP="00DA622C">
            <w:pPr>
              <w:pStyle w:val="BodyText"/>
              <w:rPr>
                <w:lang w:val="en-NZ"/>
              </w:rPr>
            </w:pPr>
            <w:r w:rsidRPr="00DA622C">
              <w:t>Range is restricted to essential operating conditions and any other variables essential to th</w:t>
            </w:r>
            <w:r w:rsidRPr="00DA622C">
              <w:t>e work environment.</w:t>
            </w: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Associated systems must include:</w:t>
            </w:r>
          </w:p>
        </w:tc>
        <w:tc>
          <w:tcPr>
            <w:tcW w:w="6763" w:type="dxa"/>
            <w:tcBorders>
              <w:top w:val="nil"/>
              <w:left w:val="nil"/>
              <w:bottom w:val="nil"/>
              <w:right w:val="nil"/>
            </w:tcBorders>
            <w:tcMar>
              <w:top w:w="0" w:type="dxa"/>
              <w:left w:w="62" w:type="dxa"/>
              <w:bottom w:w="0" w:type="dxa"/>
              <w:right w:w="62" w:type="dxa"/>
            </w:tcMar>
          </w:tcPr>
          <w:p w:rsidR="00000000" w:rsidRPr="00DA622C" w:rsidP="00DA622C">
            <w:pPr>
              <w:pStyle w:val="ListBullet"/>
            </w:pPr>
            <w:r w:rsidRPr="00DA622C">
              <w:t>air start</w:t>
            </w:r>
          </w:p>
          <w:p w:rsidR="00000000" w:rsidRPr="00DA622C" w:rsidP="00DA622C">
            <w:pPr>
              <w:pStyle w:val="ListBullet"/>
            </w:pPr>
            <w:r w:rsidRPr="00DA622C">
              <w:t>control systems</w:t>
            </w:r>
          </w:p>
          <w:p w:rsidR="00000000" w:rsidRPr="00DA622C" w:rsidP="00DA622C">
            <w:pPr>
              <w:pStyle w:val="ListBullet"/>
            </w:pPr>
            <w:r w:rsidRPr="00DA622C">
              <w:t>cooling system</w:t>
            </w:r>
          </w:p>
          <w:p w:rsidR="00000000" w:rsidRPr="00DA622C" w:rsidP="00DA622C">
            <w:pPr>
              <w:pStyle w:val="ListBullet"/>
            </w:pPr>
            <w:r w:rsidRPr="00DA622C">
              <w:t>duel fuel systems</w:t>
            </w:r>
          </w:p>
          <w:p w:rsidR="00000000" w:rsidRPr="00DA622C" w:rsidP="00DA622C">
            <w:pPr>
              <w:pStyle w:val="ListBullet"/>
            </w:pPr>
            <w:r w:rsidRPr="00DA622C">
              <w:t xml:space="preserve">exhaust systems </w:t>
            </w:r>
          </w:p>
          <w:p w:rsidR="00000000" w:rsidP="00DA622C">
            <w:pPr>
              <w:pStyle w:val="ListBullet"/>
              <w:rPr>
                <w:lang w:val="en-NZ"/>
              </w:rPr>
            </w:pPr>
            <w:r w:rsidRPr="00DA622C">
              <w:t>lubrication systems</w:t>
            </w: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Monitored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A622C" w:rsidP="00DA622C">
            <w:pPr>
              <w:pStyle w:val="ListBullet"/>
            </w:pPr>
            <w:r w:rsidRPr="00DA622C">
              <w:t>conducting performance tests</w:t>
            </w:r>
          </w:p>
          <w:p w:rsidR="00000000" w:rsidRPr="00DA622C" w:rsidP="00DA622C">
            <w:pPr>
              <w:pStyle w:val="ListBullet"/>
            </w:pPr>
            <w:r w:rsidRPr="00DA622C">
              <w:t>reading gauges and instruments</w:t>
            </w:r>
          </w:p>
          <w:p w:rsidR="00000000" w:rsidP="00DA622C">
            <w:pPr>
              <w:pStyle w:val="ListBullet"/>
              <w:rPr>
                <w:lang w:val="en-NZ"/>
              </w:rPr>
            </w:pPr>
            <w:r w:rsidRPr="00DA622C">
              <w:t>responding to alarms</w:t>
            </w: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Emergencies must include:</w:t>
            </w:r>
          </w:p>
        </w:tc>
        <w:tc>
          <w:tcPr>
            <w:tcW w:w="6763" w:type="dxa"/>
            <w:tcBorders>
              <w:top w:val="nil"/>
              <w:left w:val="nil"/>
              <w:bottom w:val="nil"/>
              <w:right w:val="nil"/>
            </w:tcBorders>
            <w:tcMar>
              <w:top w:w="0" w:type="dxa"/>
              <w:left w:w="62" w:type="dxa"/>
              <w:bottom w:w="0" w:type="dxa"/>
              <w:right w:w="62" w:type="dxa"/>
            </w:tcMar>
          </w:tcPr>
          <w:p w:rsidR="00000000" w:rsidRPr="00DA622C" w:rsidP="00DA622C">
            <w:pPr>
              <w:pStyle w:val="ListBullet"/>
            </w:pPr>
            <w:r w:rsidRPr="00DA622C">
              <w:t>explosion</w:t>
            </w:r>
          </w:p>
          <w:p w:rsidR="00000000" w:rsidRPr="00DA622C" w:rsidP="00DA622C">
            <w:pPr>
              <w:pStyle w:val="ListBullet"/>
            </w:pPr>
            <w:r w:rsidRPr="00DA622C">
              <w:t>failure or major fault in propulsion engines and associated control systems</w:t>
            </w:r>
          </w:p>
          <w:p w:rsidR="00000000" w:rsidRPr="00DA622C" w:rsidP="00DA622C">
            <w:pPr>
              <w:pStyle w:val="ListBullet"/>
            </w:pPr>
            <w:r w:rsidRPr="00DA622C">
              <w:t>fire</w:t>
            </w:r>
          </w:p>
          <w:p w:rsidR="00000000" w:rsidRPr="00DA622C" w:rsidP="00DA622C">
            <w:pPr>
              <w:pStyle w:val="ListBullet"/>
            </w:pPr>
            <w:r w:rsidRPr="00DA622C">
              <w:t>loss of:</w:t>
            </w:r>
          </w:p>
          <w:p w:rsidR="00000000" w:rsidRPr="00DA622C" w:rsidP="00DA622C">
            <w:pPr>
              <w:pStyle w:val="ListBullet"/>
            </w:pPr>
            <w:r w:rsidRPr="00DA622C">
              <w:t>bridge control</w:t>
            </w:r>
          </w:p>
          <w:p w:rsidR="00000000" w:rsidRPr="00DA622C" w:rsidP="00DA622C">
            <w:pPr>
              <w:pStyle w:val="ListBullet"/>
            </w:pPr>
            <w:r w:rsidRPr="00DA622C">
              <w:t>electrical supply</w:t>
            </w:r>
          </w:p>
          <w:p w:rsidR="00000000" w:rsidRPr="00DA622C" w:rsidP="00DA622C">
            <w:pPr>
              <w:pStyle w:val="ListBullet"/>
            </w:pPr>
            <w:r w:rsidRPr="00DA622C">
              <w:t>propulsion power</w:t>
            </w:r>
          </w:p>
          <w:p w:rsidR="00000000" w:rsidRPr="00DA622C" w:rsidP="00DA622C">
            <w:pPr>
              <w:pStyle w:val="ListBullet"/>
            </w:pPr>
            <w:r w:rsidRPr="00DA622C">
              <w:t>steering</w:t>
            </w:r>
          </w:p>
          <w:p w:rsidR="00000000" w:rsidP="00DA622C">
            <w:pPr>
              <w:pStyle w:val="ListBullet"/>
              <w:rPr>
                <w:lang w:val="en-NZ"/>
              </w:rPr>
            </w:pPr>
            <w:r w:rsidRPr="00DA622C">
              <w:t>major breakdowns</w:t>
            </w: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p>
        </w:tc>
      </w:tr>
      <w:tr w:rsidTr="0020022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622C">
            <w:pPr>
              <w:pStyle w:val="BodyText"/>
              <w:rPr>
                <w:lang w:val="en-NZ"/>
              </w:rPr>
            </w:pPr>
            <w:r w:rsidRPr="00DA622C">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DA622C" w:rsidP="00DA622C">
            <w:pPr>
              <w:pStyle w:val="ListBullet"/>
            </w:pPr>
            <w:r w:rsidRPr="00DA622C">
              <w:t>logbooks</w:t>
            </w:r>
          </w:p>
          <w:p w:rsidR="00000000" w:rsidRPr="00DA622C" w:rsidP="00DA622C">
            <w:pPr>
              <w:pStyle w:val="ListBullet"/>
            </w:pPr>
            <w:r w:rsidRPr="00DA622C">
              <w:t xml:space="preserve">maintenance records </w:t>
            </w:r>
          </w:p>
          <w:p w:rsidR="00000000" w:rsidRPr="00DA622C" w:rsidP="00DA622C">
            <w:pPr>
              <w:pStyle w:val="ListBullet"/>
            </w:pPr>
            <w:r w:rsidRPr="00DA622C">
              <w:t xml:space="preserve">operational orders from organisational safety management system </w:t>
            </w:r>
          </w:p>
          <w:p w:rsidR="00000000" w:rsidRPr="00DA622C" w:rsidP="00DA622C">
            <w:pPr>
              <w:pStyle w:val="ListBullet"/>
            </w:pPr>
            <w:r w:rsidRPr="00DA622C">
              <w:t>plant and equipment manufacturer instructions and recommended procedures</w:t>
            </w:r>
          </w:p>
          <w:p w:rsidR="00000000" w:rsidRPr="00DA622C" w:rsidP="00DA622C">
            <w:pPr>
              <w:pStyle w:val="ListBullet"/>
            </w:pPr>
            <w:r w:rsidRPr="00DA622C">
              <w:t>relevant maritime authorities documentation relating to operating marine internal combustion engines and associated systems</w:t>
            </w:r>
          </w:p>
        </w:tc>
      </w:tr>
    </w:tbl>
    <w:p w:rsidR="00000000" w:rsidRPr="00DA622C" w:rsidP="00DA622C">
      <w:pPr>
        <w:pStyle w:val="BodyText"/>
      </w:pPr>
    </w:p>
    <w:p w:rsidR="00000000" w:rsidRPr="00DA622C" w:rsidP="00DA622C">
      <w:pPr>
        <w:pStyle w:val="AllowPageBreak"/>
      </w:pPr>
    </w:p>
    <w:p w:rsidR="00000000" w:rsidRPr="00DA622C" w:rsidP="00DA622C">
      <w:pPr>
        <w:pStyle w:val="Heading1"/>
      </w:pPr>
      <w:bookmarkStart w:id="9" w:name="O_597527"/>
      <w:bookmarkEnd w:id="9"/>
      <w:r w:rsidRPr="00DA622C">
        <w:t>Unit Mapping Information</w:t>
      </w:r>
    </w:p>
    <w:p w:rsidR="00000000" w:rsidRPr="00DA622C" w:rsidP="00200224">
      <w:pPr>
        <w:pStyle w:val="BodyText"/>
      </w:pPr>
      <w:r w:rsidRPr="00DA622C">
        <w:t>This is a new unit. This unit is equivalent to MARC4005A Operate marine internal combust</w:t>
      </w:r>
      <w:r w:rsidRPr="00DA622C">
        <w:t>ion engines and associated systems up to 1500 kW.</w:t>
      </w:r>
    </w:p>
    <w:p w:rsidR="00000000" w:rsidRPr="00DA622C" w:rsidP="00DA622C">
      <w:pPr>
        <w:pStyle w:val="Heading1"/>
      </w:pPr>
      <w:bookmarkStart w:id="10" w:name="O_597534"/>
      <w:bookmarkEnd w:id="10"/>
      <w:r w:rsidRPr="00DA622C">
        <w:t>Links</w:t>
      </w:r>
    </w:p>
    <w:p w:rsidR="00000000" w:rsidRPr="00DA622C" w:rsidP="00200224">
      <w:pPr>
        <w:pStyle w:val="BodyText"/>
      </w:pPr>
      <w:r w:rsidRPr="00DA622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C4A24">
        <w:rPr>
          <w:rStyle w:val="Hyperlink"/>
        </w:rPr>
        <w:t>https://vetnet.gov.au/Pages/TrainingDocs.aspx?q=772efb7b-4cce-47fe-9bbd-ee3b1d1eb4c2</w:t>
      </w:r>
      <w:r>
        <w:fldChar w:fldCharType="end"/>
      </w:r>
    </w:p>
    <w:p w:rsidR="00000000" w:rsidRPr="00DA622C" w:rsidP="00DA622C"/>
    <w:sectPr w:rsidSect="00DA6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C" w:rsidRPr="00200224" w:rsidP="00200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24" w:rsidP="00DA6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224" w:rsidP="00DA62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0224" w:rsidP="00DA6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22C" w:rsidRPr="00200224" w:rsidP="00200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224" w:rsidRPr="002D2AF8" w:rsidP="00DA622C">
    <w:pPr>
      <w:pStyle w:val="Header"/>
      <w:framePr w:wrap="around"/>
    </w:pPr>
    <w:r>
      <w:fldChar w:fldCharType="begin"/>
    </w:r>
    <w:r>
      <w:instrText xml:space="preserve"> TITLE   \* MERGEFORMAT </w:instrText>
    </w:r>
    <w:r>
      <w:fldChar w:fldCharType="separate"/>
    </w:r>
    <w:r>
      <w:t>MARC015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00224" w:rsidP="00DA6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0C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626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22C"/>
    <w:pPr>
      <w:spacing w:before="360" w:after="60"/>
      <w:outlineLvl w:val="0"/>
    </w:pPr>
    <w:rPr>
      <w:sz w:val="32"/>
    </w:rPr>
  </w:style>
  <w:style w:type="paragraph" w:styleId="Heading2">
    <w:name w:val="heading 2"/>
    <w:basedOn w:val="HeadingBase"/>
    <w:next w:val="BodyText"/>
    <w:link w:val="Heading2Char"/>
    <w:qFormat/>
    <w:rsid w:val="00DA622C"/>
    <w:pPr>
      <w:keepLines/>
      <w:spacing w:before="240" w:after="120"/>
      <w:outlineLvl w:val="1"/>
    </w:pPr>
    <w:rPr>
      <w:sz w:val="28"/>
      <w:szCs w:val="40"/>
    </w:rPr>
  </w:style>
  <w:style w:type="paragraph" w:styleId="Heading3">
    <w:name w:val="heading 3"/>
    <w:basedOn w:val="HeadingBase"/>
    <w:next w:val="BodyText"/>
    <w:link w:val="Heading3Char"/>
    <w:qFormat/>
    <w:rsid w:val="00DA622C"/>
    <w:pPr>
      <w:spacing w:before="180" w:after="120"/>
      <w:outlineLvl w:val="2"/>
    </w:pPr>
    <w:rPr>
      <w:spacing w:val="-10"/>
      <w:kern w:val="32"/>
    </w:rPr>
  </w:style>
  <w:style w:type="paragraph" w:styleId="Heading4">
    <w:name w:val="heading 4"/>
    <w:basedOn w:val="HeadingBase"/>
    <w:next w:val="BodyText"/>
    <w:link w:val="Heading4Char"/>
    <w:qFormat/>
    <w:rsid w:val="00DA622C"/>
    <w:pPr>
      <w:spacing w:before="160" w:after="120"/>
      <w:outlineLvl w:val="3"/>
    </w:pPr>
    <w:rPr>
      <w:sz w:val="22"/>
    </w:rPr>
  </w:style>
  <w:style w:type="paragraph" w:styleId="Heading5">
    <w:name w:val="heading 5"/>
    <w:basedOn w:val="HeadingBase"/>
    <w:next w:val="Normal"/>
    <w:link w:val="Heading5Char"/>
    <w:qFormat/>
    <w:rsid w:val="00DA622C"/>
    <w:pPr>
      <w:spacing w:before="80"/>
      <w:outlineLvl w:val="4"/>
    </w:pPr>
    <w:rPr>
      <w:color w:val="918585"/>
      <w:sz w:val="20"/>
    </w:rPr>
  </w:style>
  <w:style w:type="paragraph" w:styleId="Heading6">
    <w:name w:val="heading 6"/>
    <w:basedOn w:val="HeadingBase"/>
    <w:next w:val="Normal"/>
    <w:link w:val="Heading6Char"/>
    <w:qFormat/>
    <w:rsid w:val="00DA622C"/>
    <w:pPr>
      <w:spacing w:before="60"/>
      <w:outlineLvl w:val="5"/>
    </w:pPr>
    <w:rPr>
      <w:color w:val="918585"/>
      <w:sz w:val="20"/>
    </w:rPr>
  </w:style>
  <w:style w:type="paragraph" w:styleId="Heading7">
    <w:name w:val="heading 7"/>
    <w:basedOn w:val="Normal"/>
    <w:next w:val="Normal"/>
    <w:link w:val="Heading7Char"/>
    <w:qFormat/>
    <w:rsid w:val="00DA622C"/>
    <w:pPr>
      <w:ind w:left="720"/>
      <w:outlineLvl w:val="6"/>
    </w:pPr>
    <w:rPr>
      <w:i/>
    </w:rPr>
  </w:style>
  <w:style w:type="paragraph" w:styleId="Heading8">
    <w:name w:val="heading 8"/>
    <w:basedOn w:val="Normal"/>
    <w:next w:val="Normal"/>
    <w:link w:val="Heading8Char"/>
    <w:qFormat/>
    <w:rsid w:val="00DA622C"/>
    <w:pPr>
      <w:ind w:left="720"/>
      <w:outlineLvl w:val="7"/>
    </w:pPr>
    <w:rPr>
      <w:i/>
    </w:rPr>
  </w:style>
  <w:style w:type="paragraph" w:styleId="Heading9">
    <w:name w:val="heading 9"/>
    <w:basedOn w:val="Normal"/>
    <w:next w:val="Normal"/>
    <w:link w:val="Heading9Char"/>
    <w:qFormat/>
    <w:rsid w:val="00DA622C"/>
    <w:pPr>
      <w:ind w:left="720"/>
      <w:outlineLvl w:val="8"/>
    </w:pPr>
    <w:rPr>
      <w:i/>
    </w:rPr>
  </w:style>
  <w:style w:type="character" w:default="1" w:styleId="DefaultParagraphFont">
    <w:name w:val="Default Paragraph Font"/>
    <w:uiPriority w:val="1"/>
    <w:unhideWhenUsed/>
    <w:rsid w:val="00DA6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22C"/>
  </w:style>
  <w:style w:type="character" w:customStyle="1" w:styleId="Heading1Char">
    <w:name w:val="Heading 1 Char"/>
    <w:basedOn w:val="DefaultParagraphFont"/>
    <w:link w:val="Heading1"/>
    <w:rsid w:val="00DA622C"/>
    <w:rPr>
      <w:rFonts w:ascii="Times New Roman" w:eastAsia="Times New Roman" w:hAnsi="Times New Roman" w:cs="Times New Roman"/>
      <w:b/>
      <w:sz w:val="32"/>
      <w:szCs w:val="20"/>
      <w:lang w:eastAsia="en-US"/>
    </w:rPr>
  </w:style>
  <w:style w:type="paragraph" w:styleId="BodyText">
    <w:name w:val="Body Text"/>
    <w:basedOn w:val="Normal"/>
    <w:link w:val="BodyTextChar"/>
    <w:rsid w:val="00DA6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22C"/>
    <w:rPr>
      <w:rFonts w:ascii="Times New Roman" w:eastAsia="Times New Roman" w:hAnsi="Times New Roman" w:cs="Times New Roman"/>
      <w:sz w:val="24"/>
      <w:lang w:eastAsia="en-US"/>
    </w:rPr>
  </w:style>
  <w:style w:type="paragraph" w:styleId="ListBullet">
    <w:name w:val="List Bullet"/>
    <w:basedOn w:val="List"/>
    <w:rsid w:val="00DA622C"/>
    <w:pPr>
      <w:numPr>
        <w:numId w:val="11"/>
      </w:numPr>
      <w:tabs>
        <w:tab w:val="clear" w:pos="340"/>
      </w:tabs>
      <w:spacing w:before="40" w:after="40"/>
    </w:pPr>
  </w:style>
  <w:style w:type="character" w:customStyle="1" w:styleId="SpecialBold">
    <w:name w:val="Special Bold"/>
    <w:basedOn w:val="DefaultParagraphFont"/>
    <w:rsid w:val="00DA622C"/>
    <w:rPr>
      <w:b/>
      <w:spacing w:val="0"/>
    </w:rPr>
  </w:style>
  <w:style w:type="paragraph" w:customStyle="1" w:styleId="SuperHeading">
    <w:name w:val="SuperHeading"/>
    <w:basedOn w:val="Normal"/>
    <w:rsid w:val="00DA622C"/>
    <w:pPr>
      <w:spacing w:before="240" w:after="120"/>
      <w:outlineLvl w:val="0"/>
    </w:pPr>
    <w:rPr>
      <w:rFonts w:ascii="Times New Roman" w:hAnsi="Times New Roman"/>
      <w:b/>
      <w:sz w:val="32"/>
    </w:rPr>
  </w:style>
  <w:style w:type="paragraph" w:customStyle="1" w:styleId="AllowPageBreak">
    <w:name w:val="AllowPageBreak"/>
    <w:rsid w:val="00DA6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22C"/>
    <w:rPr>
      <w:rFonts w:ascii="Courier New" w:eastAsia="Times New Roman" w:hAnsi="Courier New" w:cs="Times New Roman"/>
      <w:i/>
      <w:szCs w:val="20"/>
      <w:lang w:eastAsia="en-US"/>
    </w:rPr>
  </w:style>
  <w:style w:type="paragraph" w:customStyle="1" w:styleId="HeadingBase">
    <w:name w:val="Heading Base"/>
    <w:rsid w:val="00DA6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22C"/>
    <w:pPr>
      <w:tabs>
        <w:tab w:val="right" w:leader="dot" w:pos="9072"/>
      </w:tabs>
      <w:ind w:left="567"/>
    </w:pPr>
    <w:rPr>
      <w:szCs w:val="22"/>
    </w:rPr>
  </w:style>
  <w:style w:type="paragraph" w:customStyle="1" w:styleId="TOCBase">
    <w:name w:val="TOC Base"/>
    <w:rsid w:val="00DA6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22C"/>
    <w:pPr>
      <w:tabs>
        <w:tab w:val="right" w:leader="dot" w:pos="9072"/>
      </w:tabs>
      <w:spacing w:before="40" w:after="40"/>
      <w:ind w:left="284"/>
    </w:pPr>
    <w:rPr>
      <w:rFonts w:ascii="Times New Roman" w:hAnsi="Times New Roman"/>
    </w:rPr>
  </w:style>
  <w:style w:type="paragraph" w:styleId="TOC1">
    <w:name w:val="toc 1"/>
    <w:basedOn w:val="TOCBase"/>
    <w:next w:val="Normal"/>
    <w:rsid w:val="00DA6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22C"/>
    <w:rPr>
      <w:rFonts w:ascii="Times New Roman" w:eastAsia="Times New Roman" w:hAnsi="Times New Roman" w:cs="Times New Roman"/>
      <w:sz w:val="16"/>
      <w:lang w:eastAsia="en-US"/>
    </w:rPr>
  </w:style>
  <w:style w:type="paragraph" w:styleId="Title">
    <w:name w:val="Title"/>
    <w:basedOn w:val="HeadingBase"/>
    <w:link w:val="TitleChar"/>
    <w:qFormat/>
    <w:rsid w:val="00DA622C"/>
    <w:pPr>
      <w:spacing w:before="5040"/>
      <w:jc w:val="center"/>
    </w:pPr>
    <w:rPr>
      <w:sz w:val="48"/>
      <w:szCs w:val="72"/>
      <w:lang w:val="en-US"/>
    </w:rPr>
  </w:style>
  <w:style w:type="character" w:customStyle="1" w:styleId="TitleChar">
    <w:name w:val="Title Char"/>
    <w:basedOn w:val="DefaultParagraphFont"/>
    <w:link w:val="Title"/>
    <w:rsid w:val="00DA6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22C"/>
    <w:pPr>
      <w:tabs>
        <w:tab w:val="left" w:pos="3600"/>
        <w:tab w:val="left" w:pos="3958"/>
      </w:tabs>
    </w:pPr>
  </w:style>
  <w:style w:type="paragraph" w:styleId="List">
    <w:name w:val="List"/>
    <w:basedOn w:val="BodyText"/>
    <w:next w:val="BodyText"/>
    <w:rsid w:val="00DA622C"/>
    <w:pPr>
      <w:tabs>
        <w:tab w:val="left" w:pos="340"/>
      </w:tabs>
      <w:spacing w:before="60" w:after="60"/>
      <w:ind w:left="340" w:hanging="340"/>
    </w:pPr>
  </w:style>
  <w:style w:type="paragraph" w:customStyle="1" w:styleId="Note">
    <w:name w:val="Note"/>
    <w:basedOn w:val="BodyText"/>
    <w:rsid w:val="00DA6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22C"/>
    <w:pPr>
      <w:framePr w:wrap="auto" w:hAnchor="text" w:y="6049"/>
    </w:pPr>
    <w:rPr>
      <w:color w:val="000000"/>
      <w:sz w:val="40"/>
    </w:rPr>
  </w:style>
  <w:style w:type="paragraph" w:customStyle="1" w:styleId="TOCTitle">
    <w:name w:val="TOCTitle"/>
    <w:basedOn w:val="Heading1"/>
    <w:rsid w:val="00DA622C"/>
    <w:pPr>
      <w:spacing w:after="240"/>
      <w:jc w:val="center"/>
      <w:outlineLvl w:val="9"/>
    </w:pPr>
    <w:rPr>
      <w:caps/>
    </w:rPr>
  </w:style>
  <w:style w:type="paragraph" w:customStyle="1" w:styleId="Version">
    <w:name w:val="Version"/>
    <w:rsid w:val="00DA6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22C"/>
    <w:pPr>
      <w:numPr>
        <w:numId w:val="12"/>
      </w:numPr>
      <w:tabs>
        <w:tab w:val="clear" w:pos="680"/>
      </w:tabs>
    </w:pPr>
  </w:style>
  <w:style w:type="paragraph" w:styleId="Index1">
    <w:name w:val="index 1"/>
    <w:basedOn w:val="Normal"/>
    <w:next w:val="Normal"/>
    <w:semiHidden/>
    <w:rsid w:val="00DA622C"/>
    <w:pPr>
      <w:keepNext w:val="0"/>
      <w:tabs>
        <w:tab w:val="right" w:pos="4176"/>
      </w:tabs>
      <w:ind w:left="198" w:hanging="198"/>
    </w:pPr>
    <w:rPr>
      <w:rFonts w:ascii="Garamond" w:hAnsi="Garamond"/>
    </w:rPr>
  </w:style>
  <w:style w:type="paragraph" w:styleId="IndexHeading">
    <w:name w:val="index heading"/>
    <w:basedOn w:val="Normal"/>
    <w:next w:val="Index1"/>
    <w:semiHidden/>
    <w:rsid w:val="00DA622C"/>
    <w:pPr>
      <w:spacing w:before="120" w:after="120"/>
    </w:pPr>
    <w:rPr>
      <w:rFonts w:ascii="Arial" w:hAnsi="Arial"/>
      <w:b/>
      <w:color w:val="918585"/>
      <w:sz w:val="24"/>
    </w:rPr>
  </w:style>
  <w:style w:type="paragraph" w:styleId="Header">
    <w:name w:val="header"/>
    <w:basedOn w:val="Normal"/>
    <w:link w:val="HeaderChar"/>
    <w:rsid w:val="00DA6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22C"/>
    <w:rPr>
      <w:rFonts w:ascii="Times New Roman" w:eastAsia="Times New Roman" w:hAnsi="Times New Roman" w:cs="Times New Roman"/>
      <w:sz w:val="16"/>
      <w:szCs w:val="20"/>
      <w:lang w:val="en-GB" w:eastAsia="en-US"/>
    </w:rPr>
  </w:style>
  <w:style w:type="paragraph" w:customStyle="1" w:styleId="Chapter">
    <w:name w:val="Chapter"/>
    <w:basedOn w:val="Normal"/>
    <w:rsid w:val="00DA622C"/>
    <w:pPr>
      <w:spacing w:before="240"/>
    </w:pPr>
    <w:rPr>
      <w:rFonts w:ascii="Times New Roman" w:hAnsi="Times New Roman"/>
      <w:smallCaps/>
      <w:spacing w:val="80"/>
      <w:sz w:val="28"/>
    </w:rPr>
  </w:style>
  <w:style w:type="paragraph" w:customStyle="1" w:styleId="InChapter">
    <w:name w:val="InChapter"/>
    <w:basedOn w:val="Heading3"/>
    <w:rsid w:val="00DA622C"/>
    <w:pPr>
      <w:spacing w:after="240"/>
      <w:outlineLvl w:val="9"/>
    </w:pPr>
    <w:rPr>
      <w:noProof/>
    </w:rPr>
  </w:style>
  <w:style w:type="paragraph" w:styleId="Index2">
    <w:name w:val="index 2"/>
    <w:basedOn w:val="Normal"/>
    <w:next w:val="Normal"/>
    <w:semiHidden/>
    <w:rsid w:val="00DA622C"/>
    <w:pPr>
      <w:tabs>
        <w:tab w:val="right" w:pos="4176"/>
      </w:tabs>
      <w:ind w:left="568" w:hanging="284"/>
    </w:pPr>
    <w:rPr>
      <w:rFonts w:ascii="Garamond" w:hAnsi="Garamond"/>
    </w:rPr>
  </w:style>
  <w:style w:type="paragraph" w:customStyle="1" w:styleId="Byline">
    <w:name w:val="Byline"/>
    <w:rsid w:val="00DA6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22C"/>
    <w:pPr>
      <w:tabs>
        <w:tab w:val="clear" w:pos="3600"/>
        <w:tab w:val="clear" w:pos="3958"/>
      </w:tabs>
      <w:jc w:val="right"/>
    </w:pPr>
  </w:style>
  <w:style w:type="character" w:styleId="Emphasis">
    <w:name w:val="Emphasis"/>
    <w:basedOn w:val="DefaultParagraphFont"/>
    <w:qFormat/>
    <w:rsid w:val="00DA622C"/>
    <w:rPr>
      <w:i/>
    </w:rPr>
  </w:style>
  <w:style w:type="paragraph" w:styleId="Caption">
    <w:name w:val="caption"/>
    <w:basedOn w:val="BodyText"/>
    <w:next w:val="Normal"/>
    <w:qFormat/>
    <w:rsid w:val="00DA622C"/>
    <w:pPr>
      <w:framePr w:w="2268" w:hSpace="181" w:vSpace="181" w:wrap="around" w:vAnchor="text" w:hAnchor="page" w:x="1135" w:y="285" w:anchorLock="1"/>
    </w:pPr>
    <w:rPr>
      <w:i/>
    </w:rPr>
  </w:style>
  <w:style w:type="paragraph" w:customStyle="1" w:styleId="MiniTOCTitle">
    <w:name w:val="MiniTOCTitle"/>
    <w:basedOn w:val="Heading4"/>
    <w:rsid w:val="00DA622C"/>
    <w:pPr>
      <w:spacing w:before="240"/>
      <w:outlineLvl w:val="9"/>
    </w:pPr>
    <w:rPr>
      <w:noProof/>
      <w:sz w:val="24"/>
    </w:rPr>
  </w:style>
  <w:style w:type="paragraph" w:customStyle="1" w:styleId="MiniTOCItem">
    <w:name w:val="MiniTOCItem"/>
    <w:basedOn w:val="ListBullet"/>
    <w:rsid w:val="00DA622C"/>
    <w:pPr>
      <w:numPr>
        <w:numId w:val="0"/>
      </w:numPr>
      <w:tabs>
        <w:tab w:val="right" w:leader="dot" w:pos="6521"/>
      </w:tabs>
      <w:spacing w:before="0" w:after="0"/>
    </w:pPr>
  </w:style>
  <w:style w:type="paragraph" w:customStyle="1" w:styleId="TOFTitle">
    <w:name w:val="TOFTitle"/>
    <w:basedOn w:val="TOCTitle"/>
    <w:rsid w:val="00DA622C"/>
  </w:style>
  <w:style w:type="paragraph" w:styleId="TableofFigures">
    <w:name w:val="table of figures"/>
    <w:basedOn w:val="Normal"/>
    <w:next w:val="Normal"/>
    <w:semiHidden/>
    <w:rsid w:val="00DA622C"/>
    <w:pPr>
      <w:tabs>
        <w:tab w:val="right" w:leader="dot" w:pos="9072"/>
      </w:tabs>
      <w:ind w:left="970" w:hanging="403"/>
    </w:pPr>
    <w:rPr>
      <w:rFonts w:ascii="Times New Roman" w:hAnsi="Times New Roman"/>
      <w:b/>
    </w:rPr>
  </w:style>
  <w:style w:type="paragraph" w:styleId="ListNumber">
    <w:name w:val="List Number"/>
    <w:basedOn w:val="List"/>
    <w:rsid w:val="00DA622C"/>
    <w:pPr>
      <w:numPr>
        <w:numId w:val="14"/>
      </w:numPr>
      <w:tabs>
        <w:tab w:val="clear" w:pos="340"/>
      </w:tabs>
    </w:pPr>
  </w:style>
  <w:style w:type="character" w:customStyle="1" w:styleId="WingdingSymbols">
    <w:name w:val="Wingding Symbols"/>
    <w:rsid w:val="00DA622C"/>
    <w:rPr>
      <w:rFonts w:ascii="Wingdings" w:hAnsi="Wingdings"/>
    </w:rPr>
  </w:style>
  <w:style w:type="paragraph" w:customStyle="1" w:styleId="TableHeading">
    <w:name w:val="Table Heading"/>
    <w:basedOn w:val="HeadingBase"/>
    <w:rsid w:val="00DA622C"/>
    <w:pPr>
      <w:keepLines/>
      <w:pBdr>
        <w:bottom w:val="single" w:sz="6" w:space="1" w:color="918585"/>
      </w:pBdr>
      <w:spacing w:before="240"/>
    </w:pPr>
  </w:style>
  <w:style w:type="character" w:customStyle="1" w:styleId="HotSpot">
    <w:name w:val="HotSpot"/>
    <w:rsid w:val="00DA622C"/>
    <w:rPr>
      <w:color w:val="0033CC"/>
      <w:u w:val="none"/>
    </w:rPr>
  </w:style>
  <w:style w:type="paragraph" w:customStyle="1" w:styleId="BodyTextRight">
    <w:name w:val="Body Text Right"/>
    <w:basedOn w:val="BodyText"/>
    <w:rsid w:val="00DA622C"/>
    <w:pPr>
      <w:spacing w:before="0" w:after="0"/>
      <w:jc w:val="right"/>
    </w:pPr>
  </w:style>
  <w:style w:type="paragraph" w:styleId="Index3">
    <w:name w:val="index 3"/>
    <w:basedOn w:val="ListNumber2"/>
    <w:next w:val="Normal"/>
    <w:semiHidden/>
    <w:rsid w:val="00DA622C"/>
    <w:pPr>
      <w:numPr>
        <w:numId w:val="0"/>
      </w:numPr>
      <w:tabs>
        <w:tab w:val="right" w:leader="dot" w:pos="4176"/>
      </w:tabs>
    </w:pPr>
  </w:style>
  <w:style w:type="paragraph" w:styleId="ListNumber2">
    <w:name w:val="List Number 2"/>
    <w:basedOn w:val="List2"/>
    <w:rsid w:val="00DA622C"/>
    <w:pPr>
      <w:numPr>
        <w:numId w:val="9"/>
      </w:numPr>
      <w:tabs>
        <w:tab w:val="clear" w:pos="1060"/>
      </w:tabs>
    </w:pPr>
  </w:style>
  <w:style w:type="paragraph" w:customStyle="1" w:styleId="MarginNote">
    <w:name w:val="Margin Note"/>
    <w:basedOn w:val="BodyText"/>
    <w:rsid w:val="00DA6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22C"/>
    <w:rPr>
      <w:sz w:val="32"/>
    </w:rPr>
  </w:style>
  <w:style w:type="paragraph" w:customStyle="1" w:styleId="HeadingProcedure">
    <w:name w:val="Heading Procedure"/>
    <w:basedOn w:val="HeadingBase"/>
    <w:next w:val="Normal"/>
    <w:rsid w:val="00DA622C"/>
    <w:pPr>
      <w:tabs>
        <w:tab w:val="left" w:pos="0"/>
      </w:tabs>
      <w:spacing w:before="120" w:after="60"/>
    </w:pPr>
    <w:rPr>
      <w:i/>
      <w:color w:val="918585"/>
      <w:sz w:val="22"/>
    </w:rPr>
  </w:style>
  <w:style w:type="paragraph" w:customStyle="1" w:styleId="TableBodyText">
    <w:name w:val="Table Body Text"/>
    <w:basedOn w:val="BodyText"/>
    <w:rsid w:val="00DA622C"/>
    <w:pPr>
      <w:spacing w:before="60" w:after="60"/>
    </w:pPr>
  </w:style>
  <w:style w:type="paragraph" w:styleId="ListContinue">
    <w:name w:val="List Continue"/>
    <w:basedOn w:val="List"/>
    <w:rsid w:val="00DA622C"/>
    <w:pPr>
      <w:ind w:firstLine="0"/>
    </w:pPr>
  </w:style>
  <w:style w:type="paragraph" w:customStyle="1" w:styleId="ListNote">
    <w:name w:val="List Note"/>
    <w:basedOn w:val="List"/>
    <w:rsid w:val="00DA622C"/>
    <w:pPr>
      <w:pBdr>
        <w:top w:val="single" w:sz="6" w:space="2" w:color="918585"/>
        <w:bottom w:val="single" w:sz="6" w:space="2" w:color="918585"/>
      </w:pBdr>
      <w:tabs>
        <w:tab w:val="left" w:pos="1021"/>
      </w:tabs>
      <w:ind w:firstLine="0"/>
    </w:pPr>
  </w:style>
  <w:style w:type="paragraph" w:customStyle="1" w:styleId="Warning">
    <w:name w:val="Warning"/>
    <w:basedOn w:val="BodyText"/>
    <w:rsid w:val="00DA622C"/>
    <w:pPr>
      <w:shd w:val="clear" w:color="auto" w:fill="D9D9D9"/>
      <w:tabs>
        <w:tab w:val="left" w:pos="992"/>
      </w:tabs>
      <w:ind w:left="119" w:right="119"/>
    </w:pPr>
    <w:rPr>
      <w:sz w:val="20"/>
    </w:rPr>
  </w:style>
  <w:style w:type="paragraph" w:customStyle="1" w:styleId="MarginIcons">
    <w:name w:val="Margin Icons"/>
    <w:basedOn w:val="BodyText"/>
    <w:rsid w:val="00DA6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22C"/>
    <w:rPr>
      <w:rFonts w:ascii="Courier New" w:hAnsi="Courier New"/>
    </w:rPr>
  </w:style>
  <w:style w:type="paragraph" w:customStyle="1" w:styleId="NoteBullet">
    <w:name w:val="Note Bullet"/>
    <w:basedOn w:val="Note"/>
    <w:rsid w:val="00DA622C"/>
    <w:pPr>
      <w:tabs>
        <w:tab w:val="clear" w:pos="680"/>
      </w:tabs>
      <w:spacing w:before="60" w:after="60"/>
    </w:pPr>
  </w:style>
  <w:style w:type="paragraph" w:customStyle="1" w:styleId="SubHeading2">
    <w:name w:val="SubHeading2"/>
    <w:basedOn w:val="HeadingBase"/>
    <w:rsid w:val="00DA622C"/>
    <w:pPr>
      <w:spacing w:before="240" w:after="60"/>
    </w:pPr>
    <w:rPr>
      <w:sz w:val="20"/>
    </w:rPr>
  </w:style>
  <w:style w:type="paragraph" w:customStyle="1" w:styleId="SubHeading1">
    <w:name w:val="SubHeading1"/>
    <w:basedOn w:val="HeadingBase"/>
    <w:rsid w:val="00DA622C"/>
    <w:pPr>
      <w:spacing w:before="240" w:after="60"/>
    </w:pPr>
    <w:rPr>
      <w:color w:val="918585"/>
      <w:sz w:val="22"/>
    </w:rPr>
  </w:style>
  <w:style w:type="paragraph" w:customStyle="1" w:styleId="SideHeading">
    <w:name w:val="Side Heading"/>
    <w:basedOn w:val="HeadingBase"/>
    <w:rsid w:val="00DA6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22C"/>
    <w:pPr>
      <w:numPr>
        <w:numId w:val="10"/>
      </w:numPr>
    </w:pPr>
  </w:style>
  <w:style w:type="paragraph" w:styleId="PlainText">
    <w:name w:val="Plain Text"/>
    <w:basedOn w:val="Normal"/>
    <w:link w:val="PlainTextChar"/>
    <w:rsid w:val="00DA622C"/>
    <w:rPr>
      <w:sz w:val="20"/>
    </w:rPr>
  </w:style>
  <w:style w:type="character" w:customStyle="1" w:styleId="PlainTextChar">
    <w:name w:val="Plain Text Char"/>
    <w:basedOn w:val="DefaultParagraphFont"/>
    <w:link w:val="PlainText"/>
    <w:rsid w:val="00DA622C"/>
    <w:rPr>
      <w:rFonts w:ascii="Courier New" w:eastAsia="Times New Roman" w:hAnsi="Courier New" w:cs="Times New Roman"/>
      <w:sz w:val="20"/>
      <w:szCs w:val="20"/>
      <w:lang w:eastAsia="en-US"/>
    </w:rPr>
  </w:style>
  <w:style w:type="character" w:customStyle="1" w:styleId="MenuOption">
    <w:name w:val="Menu Option"/>
    <w:basedOn w:val="DefaultParagraphFont"/>
    <w:rsid w:val="00DA622C"/>
    <w:rPr>
      <w:b/>
      <w:smallCaps/>
    </w:rPr>
  </w:style>
  <w:style w:type="paragraph" w:customStyle="1" w:styleId="TableListNumber">
    <w:name w:val="Table List Number"/>
    <w:basedOn w:val="ListNumber"/>
    <w:rsid w:val="00DA622C"/>
    <w:pPr>
      <w:numPr>
        <w:numId w:val="0"/>
      </w:numPr>
    </w:pPr>
  </w:style>
  <w:style w:type="paragraph" w:styleId="TOC4">
    <w:name w:val="toc 4"/>
    <w:basedOn w:val="TOCBase"/>
    <w:next w:val="Normal"/>
    <w:semiHidden/>
    <w:rsid w:val="00DA622C"/>
    <w:pPr>
      <w:tabs>
        <w:tab w:val="right" w:leader="dot" w:pos="9071"/>
      </w:tabs>
      <w:ind w:left="1701"/>
    </w:pPr>
  </w:style>
  <w:style w:type="paragraph" w:customStyle="1" w:styleId="ListAlpha">
    <w:name w:val="List Alpha"/>
    <w:basedOn w:val="List"/>
    <w:rsid w:val="00DA622C"/>
    <w:pPr>
      <w:numPr>
        <w:numId w:val="8"/>
      </w:numPr>
    </w:pPr>
  </w:style>
  <w:style w:type="paragraph" w:customStyle="1" w:styleId="ListAlpha2">
    <w:name w:val="List Alpha 2"/>
    <w:basedOn w:val="List2"/>
    <w:rsid w:val="00DA622C"/>
    <w:pPr>
      <w:numPr>
        <w:numId w:val="7"/>
      </w:numPr>
    </w:pPr>
  </w:style>
  <w:style w:type="paragraph" w:styleId="List2">
    <w:name w:val="List 2"/>
    <w:basedOn w:val="BodyText"/>
    <w:rsid w:val="00DA622C"/>
    <w:pPr>
      <w:tabs>
        <w:tab w:val="left" w:pos="680"/>
      </w:tabs>
      <w:spacing w:before="60" w:after="60"/>
      <w:ind w:left="680" w:hanging="340"/>
    </w:pPr>
  </w:style>
  <w:style w:type="paragraph" w:styleId="List3">
    <w:name w:val="List 3"/>
    <w:basedOn w:val="BodyText"/>
    <w:rsid w:val="00DA622C"/>
    <w:pPr>
      <w:tabs>
        <w:tab w:val="left" w:pos="1021"/>
      </w:tabs>
      <w:spacing w:before="60" w:after="60"/>
      <w:ind w:left="1020" w:hanging="340"/>
    </w:pPr>
  </w:style>
  <w:style w:type="paragraph" w:styleId="List4">
    <w:name w:val="List 4"/>
    <w:basedOn w:val="BodyText"/>
    <w:rsid w:val="00DA622C"/>
    <w:pPr>
      <w:tabs>
        <w:tab w:val="left" w:pos="1361"/>
      </w:tabs>
      <w:spacing w:before="60" w:after="60"/>
      <w:ind w:left="1361" w:hanging="340"/>
    </w:pPr>
  </w:style>
  <w:style w:type="paragraph" w:styleId="List5">
    <w:name w:val="List 5"/>
    <w:basedOn w:val="BodyText"/>
    <w:rsid w:val="00DA622C"/>
    <w:pPr>
      <w:tabs>
        <w:tab w:val="left" w:pos="1701"/>
      </w:tabs>
      <w:spacing w:before="60" w:after="60"/>
      <w:ind w:left="1701" w:hanging="340"/>
    </w:pPr>
  </w:style>
  <w:style w:type="paragraph" w:styleId="ListBullet3">
    <w:name w:val="List Bullet 3"/>
    <w:basedOn w:val="List3"/>
    <w:rsid w:val="00DA622C"/>
    <w:pPr>
      <w:numPr>
        <w:numId w:val="13"/>
      </w:numPr>
      <w:tabs>
        <w:tab w:val="clear" w:pos="1021"/>
      </w:tabs>
      <w:ind w:left="1037" w:hanging="357"/>
    </w:pPr>
  </w:style>
  <w:style w:type="paragraph" w:styleId="ListBullet4">
    <w:name w:val="List Bullet 4"/>
    <w:basedOn w:val="List4"/>
    <w:rsid w:val="00DA622C"/>
    <w:pPr>
      <w:numPr>
        <w:numId w:val="2"/>
      </w:numPr>
      <w:tabs>
        <w:tab w:val="clear" w:pos="1361"/>
      </w:tabs>
    </w:pPr>
  </w:style>
  <w:style w:type="paragraph" w:styleId="ListBullet5">
    <w:name w:val="List Bullet 5"/>
    <w:basedOn w:val="List5"/>
    <w:rsid w:val="00DA622C"/>
    <w:pPr>
      <w:numPr>
        <w:numId w:val="3"/>
      </w:numPr>
    </w:pPr>
  </w:style>
  <w:style w:type="paragraph" w:styleId="ListContinue2">
    <w:name w:val="List Continue 2"/>
    <w:basedOn w:val="List2"/>
    <w:rsid w:val="00DA622C"/>
    <w:pPr>
      <w:ind w:firstLine="0"/>
    </w:pPr>
  </w:style>
  <w:style w:type="paragraph" w:styleId="ListContinue3">
    <w:name w:val="List Continue 3"/>
    <w:basedOn w:val="List3"/>
    <w:rsid w:val="00DA622C"/>
    <w:pPr>
      <w:ind w:left="1021" w:firstLine="0"/>
    </w:pPr>
  </w:style>
  <w:style w:type="paragraph" w:styleId="ListContinue4">
    <w:name w:val="List Continue 4"/>
    <w:basedOn w:val="List4"/>
    <w:rsid w:val="00DA622C"/>
    <w:pPr>
      <w:ind w:firstLine="0"/>
    </w:pPr>
  </w:style>
  <w:style w:type="paragraph" w:styleId="ListContinue5">
    <w:name w:val="List Continue 5"/>
    <w:basedOn w:val="List5"/>
    <w:rsid w:val="00DA622C"/>
    <w:pPr>
      <w:ind w:firstLine="0"/>
    </w:pPr>
  </w:style>
  <w:style w:type="paragraph" w:styleId="ListNumber3">
    <w:name w:val="List Number 3"/>
    <w:basedOn w:val="List3"/>
    <w:rsid w:val="00DA622C"/>
    <w:pPr>
      <w:numPr>
        <w:numId w:val="4"/>
      </w:numPr>
    </w:pPr>
  </w:style>
  <w:style w:type="paragraph" w:styleId="ListNumber4">
    <w:name w:val="List Number 4"/>
    <w:basedOn w:val="List4"/>
    <w:rsid w:val="00DA622C"/>
    <w:pPr>
      <w:numPr>
        <w:numId w:val="5"/>
      </w:numPr>
    </w:pPr>
  </w:style>
  <w:style w:type="paragraph" w:styleId="ListNumber5">
    <w:name w:val="List Number 5"/>
    <w:basedOn w:val="List5"/>
    <w:rsid w:val="00DA622C"/>
    <w:pPr>
      <w:numPr>
        <w:numId w:val="6"/>
      </w:numPr>
    </w:pPr>
  </w:style>
  <w:style w:type="paragraph" w:styleId="BlockText">
    <w:name w:val="Block Text"/>
    <w:basedOn w:val="Normal"/>
    <w:rsid w:val="00DA622C"/>
    <w:pPr>
      <w:spacing w:after="120"/>
      <w:ind w:left="1440" w:right="1440"/>
    </w:pPr>
  </w:style>
  <w:style w:type="character" w:customStyle="1" w:styleId="Subscript">
    <w:name w:val="Subscript"/>
    <w:basedOn w:val="DefaultParagraphFont"/>
    <w:rsid w:val="00DA622C"/>
    <w:rPr>
      <w:sz w:val="16"/>
      <w:vertAlign w:val="subscript"/>
    </w:rPr>
  </w:style>
  <w:style w:type="character" w:customStyle="1" w:styleId="Superscript">
    <w:name w:val="Superscript"/>
    <w:basedOn w:val="DefaultParagraphFont"/>
    <w:rsid w:val="00DA622C"/>
    <w:rPr>
      <w:sz w:val="16"/>
      <w:vertAlign w:val="superscript"/>
    </w:rPr>
  </w:style>
  <w:style w:type="character" w:customStyle="1" w:styleId="Symbols">
    <w:name w:val="Symbols"/>
    <w:basedOn w:val="DefaultParagraphFont"/>
    <w:rsid w:val="00DA622C"/>
    <w:rPr>
      <w:rFonts w:ascii="Symbol" w:hAnsi="Symbol"/>
    </w:rPr>
  </w:style>
  <w:style w:type="character" w:customStyle="1" w:styleId="MenuOptions">
    <w:name w:val="Menu Options"/>
    <w:basedOn w:val="DefaultParagraphFont"/>
    <w:rsid w:val="00DA622C"/>
    <w:rPr>
      <w:rFonts w:ascii="Arial Narrow" w:hAnsi="Arial Narrow"/>
      <w:smallCaps/>
    </w:rPr>
  </w:style>
  <w:style w:type="character" w:customStyle="1" w:styleId="Buttons">
    <w:name w:val="Buttons"/>
    <w:basedOn w:val="DefaultParagraphFont"/>
    <w:rsid w:val="00DA622C"/>
    <w:rPr>
      <w:b/>
    </w:rPr>
  </w:style>
  <w:style w:type="character" w:customStyle="1" w:styleId="Underlined">
    <w:name w:val="Underlined"/>
    <w:basedOn w:val="DefaultParagraphFont"/>
    <w:rsid w:val="00DA622C"/>
    <w:rPr>
      <w:u w:val="single"/>
    </w:rPr>
  </w:style>
  <w:style w:type="paragraph" w:customStyle="1" w:styleId="TableBodyTextRight">
    <w:name w:val="Table Body Text Right"/>
    <w:basedOn w:val="TableBodyText"/>
    <w:rsid w:val="00DA622C"/>
    <w:pPr>
      <w:widowControl w:val="0"/>
      <w:autoSpaceDE w:val="0"/>
      <w:autoSpaceDN w:val="0"/>
      <w:adjustRightInd w:val="0"/>
      <w:jc w:val="right"/>
    </w:pPr>
    <w:rPr>
      <w:rFonts w:cs="Arial"/>
      <w:szCs w:val="18"/>
    </w:rPr>
  </w:style>
  <w:style w:type="paragraph" w:customStyle="1" w:styleId="CopyrightText">
    <w:name w:val="Copyright Text"/>
    <w:basedOn w:val="BodyText"/>
    <w:rsid w:val="00DA622C"/>
    <w:rPr>
      <w:sz w:val="18"/>
    </w:rPr>
  </w:style>
  <w:style w:type="paragraph" w:customStyle="1" w:styleId="BodySmallRight">
    <w:name w:val="Body Small Right"/>
    <w:basedOn w:val="BodyTextRight"/>
    <w:rsid w:val="00DA622C"/>
    <w:rPr>
      <w:sz w:val="18"/>
      <w:szCs w:val="18"/>
    </w:rPr>
  </w:style>
  <w:style w:type="paragraph" w:customStyle="1" w:styleId="MarginEdition">
    <w:name w:val="Margin Edition"/>
    <w:basedOn w:val="MarginNote"/>
    <w:rsid w:val="00DA622C"/>
    <w:pPr>
      <w:spacing w:before="0" w:after="0"/>
    </w:pPr>
    <w:rPr>
      <w:rFonts w:ascii="Times New Roman" w:hAnsi="Times New Roman"/>
      <w:color w:val="999999"/>
    </w:rPr>
  </w:style>
  <w:style w:type="paragraph" w:customStyle="1" w:styleId="Spacer">
    <w:name w:val="Spacer"/>
    <w:basedOn w:val="Normal"/>
    <w:rsid w:val="00DA622C"/>
    <w:rPr>
      <w:sz w:val="2"/>
      <w:szCs w:val="2"/>
    </w:rPr>
  </w:style>
  <w:style w:type="character" w:customStyle="1" w:styleId="Small">
    <w:name w:val="Small"/>
    <w:basedOn w:val="DefaultParagraphFont"/>
    <w:rsid w:val="00DA622C"/>
    <w:rPr>
      <w:sz w:val="16"/>
    </w:rPr>
  </w:style>
  <w:style w:type="paragraph" w:customStyle="1" w:styleId="WideTable">
    <w:name w:val="Wide Table"/>
    <w:basedOn w:val="Normal"/>
    <w:rsid w:val="00DA622C"/>
    <w:pPr>
      <w:ind w:left="-1418"/>
    </w:pPr>
    <w:rPr>
      <w:sz w:val="2"/>
      <w:szCs w:val="2"/>
    </w:rPr>
  </w:style>
  <w:style w:type="character" w:styleId="PageNumber">
    <w:name w:val="page number"/>
    <w:basedOn w:val="DefaultParagraphFont"/>
    <w:rsid w:val="00DA622C"/>
  </w:style>
  <w:style w:type="paragraph" w:styleId="Quote">
    <w:name w:val="Quote"/>
    <w:basedOn w:val="Heading1"/>
    <w:link w:val="QuoteChar"/>
    <w:qFormat/>
    <w:rsid w:val="00DA622C"/>
    <w:rPr>
      <w:b w:val="0"/>
      <w:sz w:val="72"/>
      <w:szCs w:val="72"/>
      <w:lang w:val="en-NZ"/>
    </w:rPr>
  </w:style>
  <w:style w:type="character" w:customStyle="1" w:styleId="QuoteChar">
    <w:name w:val="Quote Char"/>
    <w:basedOn w:val="DefaultParagraphFont"/>
    <w:link w:val="Quote"/>
    <w:rsid w:val="00DA6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22C"/>
    <w:pPr>
      <w:pageBreakBefore/>
    </w:pPr>
  </w:style>
  <w:style w:type="paragraph" w:customStyle="1" w:styleId="Border">
    <w:name w:val="Border"/>
    <w:basedOn w:val="Normal"/>
    <w:qFormat/>
    <w:rsid w:val="00DA6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22C"/>
    <w:rPr>
      <w:b/>
      <w:bCs/>
      <w:i/>
      <w:iCs/>
      <w:color w:val="auto"/>
    </w:rPr>
  </w:style>
  <w:style w:type="paragraph" w:styleId="IntenseQuote">
    <w:name w:val="Intense Quote"/>
    <w:basedOn w:val="Normal"/>
    <w:next w:val="Normal"/>
    <w:link w:val="IntenseQuoteChar"/>
    <w:uiPriority w:val="30"/>
    <w:qFormat/>
    <w:rsid w:val="00DA6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22C"/>
    <w:rPr>
      <w:smallCaps/>
      <w:color w:val="auto"/>
      <w:u w:val="single"/>
    </w:rPr>
  </w:style>
  <w:style w:type="character" w:styleId="IntenseReference">
    <w:name w:val="Intense Reference"/>
    <w:basedOn w:val="DefaultParagraphFont"/>
    <w:uiPriority w:val="32"/>
    <w:qFormat/>
    <w:rsid w:val="00DA622C"/>
    <w:rPr>
      <w:b/>
      <w:bCs/>
      <w:smallCaps/>
      <w:color w:val="auto"/>
      <w:spacing w:val="5"/>
      <w:u w:val="single"/>
    </w:rPr>
  </w:style>
  <w:style w:type="paragraph" w:customStyle="1" w:styleId="2ColumnHeading">
    <w:name w:val="2Column Heading"/>
    <w:basedOn w:val="BodyText"/>
    <w:qFormat/>
    <w:rsid w:val="00DA622C"/>
    <w:pPr>
      <w:spacing w:after="60"/>
      <w:ind w:left="-2268"/>
    </w:pPr>
    <w:rPr>
      <w:b/>
    </w:rPr>
  </w:style>
  <w:style w:type="paragraph" w:customStyle="1" w:styleId="Heading1TOC">
    <w:name w:val="Heading1 TOC"/>
    <w:basedOn w:val="Normal"/>
    <w:qFormat/>
    <w:rsid w:val="00DA622C"/>
    <w:pPr>
      <w:spacing w:before="240" w:after="120"/>
    </w:pPr>
    <w:rPr>
      <w:rFonts w:ascii="Times New Roman" w:hAnsi="Times New Roman"/>
      <w:b/>
      <w:sz w:val="32"/>
    </w:rPr>
  </w:style>
  <w:style w:type="paragraph" w:customStyle="1" w:styleId="Heading2TOC">
    <w:name w:val="Heading2 TOC"/>
    <w:basedOn w:val="Normal"/>
    <w:qFormat/>
    <w:rsid w:val="00DA622C"/>
    <w:pPr>
      <w:spacing w:before="240" w:after="60"/>
    </w:pPr>
    <w:rPr>
      <w:rFonts w:ascii="Times New Roman" w:hAnsi="Times New Roman"/>
      <w:b/>
      <w:sz w:val="28"/>
    </w:rPr>
  </w:style>
  <w:style w:type="character" w:customStyle="1" w:styleId="Underline">
    <w:name w:val="Underline"/>
    <w:basedOn w:val="DefaultParagraphFont"/>
    <w:qFormat/>
    <w:rsid w:val="00DA622C"/>
    <w:rPr>
      <w:u w:val="single"/>
    </w:rPr>
  </w:style>
  <w:style w:type="character" w:customStyle="1" w:styleId="BoldandItalics">
    <w:name w:val="Bold and Italics"/>
    <w:qFormat/>
    <w:rsid w:val="00DA622C"/>
    <w:rPr>
      <w:b/>
      <w:i/>
      <w:u w:val="none"/>
    </w:rPr>
  </w:style>
  <w:style w:type="paragraph" w:styleId="BalloonText">
    <w:name w:val="Balloon Text"/>
    <w:basedOn w:val="Normal"/>
    <w:link w:val="BalloonTextChar"/>
    <w:rsid w:val="00DA622C"/>
    <w:rPr>
      <w:rFonts w:ascii="Tahoma" w:hAnsi="Tahoma" w:cs="Tahoma"/>
      <w:sz w:val="16"/>
      <w:szCs w:val="16"/>
    </w:rPr>
  </w:style>
  <w:style w:type="character" w:customStyle="1" w:styleId="BalloonTextChar">
    <w:name w:val="Balloon Text Char"/>
    <w:basedOn w:val="DefaultParagraphFont"/>
    <w:link w:val="BalloonText"/>
    <w:rsid w:val="00DA6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22C"/>
    <w:rPr>
      <w:b/>
      <w:color w:val="660033"/>
      <w:spacing w:val="0"/>
    </w:rPr>
  </w:style>
  <w:style w:type="paragraph" w:customStyle="1" w:styleId="Nameditemlist">
    <w:name w:val="Named item list"/>
    <w:basedOn w:val="BodyText"/>
    <w:qFormat/>
    <w:rsid w:val="00DA622C"/>
    <w:pPr>
      <w:tabs>
        <w:tab w:val="left" w:pos="2835"/>
      </w:tabs>
      <w:ind w:left="2835" w:hanging="2835"/>
    </w:pPr>
  </w:style>
  <w:style w:type="paragraph" w:customStyle="1" w:styleId="BodyTextnopadding">
    <w:name w:val="Body Text no padding"/>
    <w:basedOn w:val="BodyText"/>
    <w:qFormat/>
    <w:rsid w:val="00DA622C"/>
    <w:pPr>
      <w:spacing w:before="0" w:after="0"/>
    </w:pPr>
  </w:style>
  <w:style w:type="paragraph" w:customStyle="1" w:styleId="BodyTextBold">
    <w:name w:val="Body Text Bold"/>
    <w:basedOn w:val="BodyText"/>
    <w:qFormat/>
    <w:rsid w:val="00DA622C"/>
    <w:rPr>
      <w:b/>
    </w:rPr>
  </w:style>
  <w:style w:type="character" w:styleId="Hyperlink">
    <w:name w:val="Hyperlink"/>
    <w:basedOn w:val="DefaultParagraphFont"/>
    <w:uiPriority w:val="99"/>
    <w:unhideWhenUsed/>
    <w:rsid w:val="00200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3862</Characters>
  <Application>Microsoft Office Word</Application>
  <DocSecurity>0</DocSecurity>
  <Lines>183</Lines>
  <Paragraphs>101</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MARC015 Operate marine internal combustion engines and associated systems up to 1500 kW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2020-10-27T01:16:00Z</dcterms:created>
  <dcterms:modified xsi:type="dcterms:W3CDTF">2020-10-27T01:16:00Z</dcterms:modified>
</cp:coreProperties>
</file>