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35CC" w:rsidP="001035CC">
      <w:pPr>
        <w:pStyle w:val="Title"/>
      </w:pPr>
      <w:r>
        <w:fldChar w:fldCharType="begin"/>
      </w:r>
      <w:r>
        <w:instrText xml:space="preserve"> TITLE   \* MERGEFORMAT </w:instrText>
      </w:r>
      <w:r>
        <w:fldChar w:fldCharType="separate"/>
      </w:r>
      <w:r>
        <w:t>MARC013 Operate auxiliary machinery systems up to 1500 kW</w:t>
      </w:r>
      <w:r>
        <w:fldChar w:fldCharType="end"/>
      </w:r>
    </w:p>
    <w:p w:rsidR="001035CC" w:rsidP="001035CC">
      <w:pPr>
        <w:pStyle w:val="Version"/>
        <w:sectPr w:rsidSect="005C51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51A5" w:rsidP="005C51A5">
      <w:pPr>
        <w:pStyle w:val="SuperHeading"/>
      </w:pPr>
      <w:r w:rsidRPr="005C51A5">
        <w:t>MARC013 Operate auxiliary machinery systems up to 1500 kW</w:t>
      </w:r>
    </w:p>
    <w:p w:rsidR="00000000" w:rsidRPr="005C51A5" w:rsidP="005C51A5">
      <w:pPr>
        <w:pStyle w:val="Heading1"/>
      </w:pPr>
      <w:bookmarkStart w:id="1" w:name="O_597462"/>
      <w:bookmarkEnd w:id="1"/>
      <w:r w:rsidRPr="005C51A5">
        <w:t>Modification History</w:t>
      </w:r>
    </w:p>
    <w:p w:rsidR="00000000" w:rsidRPr="005C51A5" w:rsidP="001035CC">
      <w:pPr>
        <w:pStyle w:val="BodyText"/>
      </w:pPr>
      <w:r w:rsidRPr="005C51A5">
        <w:t>Release 1. New unit of competency.</w:t>
      </w:r>
    </w:p>
    <w:p w:rsidR="00000000" w:rsidRPr="005C51A5" w:rsidP="005C51A5">
      <w:pPr>
        <w:pStyle w:val="Heading1"/>
      </w:pPr>
      <w:bookmarkStart w:id="2" w:name="O_597463"/>
      <w:bookmarkEnd w:id="2"/>
      <w:r w:rsidRPr="005C51A5">
        <w:t>Application</w:t>
      </w:r>
    </w:p>
    <w:p w:rsidR="00000000" w:rsidRPr="005C51A5" w:rsidP="001035CC">
      <w:pPr>
        <w:pStyle w:val="BodyText"/>
      </w:pPr>
      <w:r w:rsidRPr="005C51A5">
        <w:t>This unit involves the skills and knowledge required to operate auxiliary machinery systems up to 1500 kW according to technical specifications and safe op</w:t>
      </w:r>
      <w:r w:rsidRPr="005C51A5">
        <w:t>erating limit.</w:t>
      </w:r>
    </w:p>
    <w:p w:rsidR="00000000" w:rsidRPr="005C51A5" w:rsidP="001035CC">
      <w:pPr>
        <w:pStyle w:val="BodyText"/>
      </w:pPr>
      <w:r w:rsidRPr="005C51A5">
        <w:t>This unit applies to engine workers in the maritime industry working as a Marine Engine Driver Grade 1 Near Coastal on vessels up to 1500 kW.</w:t>
      </w:r>
    </w:p>
    <w:p w:rsidR="00000000" w:rsidRPr="005C51A5" w:rsidP="001035CC">
      <w:pPr>
        <w:pStyle w:val="BodyText"/>
      </w:pPr>
      <w:r w:rsidRPr="005C51A5">
        <w:t>This unit has links to legislative and certification requirements.</w:t>
      </w:r>
    </w:p>
    <w:p w:rsidR="00000000" w:rsidRPr="005C51A5" w:rsidP="005C51A5">
      <w:pPr>
        <w:pStyle w:val="Heading1"/>
      </w:pPr>
      <w:bookmarkStart w:id="3" w:name="O_597464"/>
      <w:bookmarkEnd w:id="3"/>
      <w:r w:rsidRPr="005C51A5">
        <w:t>Pre-requisite</w:t>
      </w:r>
      <w:r w:rsidRPr="005C51A5">
        <w:t xml:space="preserve"> Unit</w:t>
      </w:r>
    </w:p>
    <w:p w:rsidR="00000000" w:rsidRPr="005C51A5" w:rsidP="001035CC">
      <w:pPr>
        <w:pStyle w:val="BodyText"/>
      </w:pPr>
      <w:r w:rsidRPr="005C51A5">
        <w:t>Not applicable.</w:t>
      </w:r>
    </w:p>
    <w:p w:rsidR="00000000" w:rsidRPr="005C51A5" w:rsidP="005C51A5">
      <w:pPr>
        <w:pStyle w:val="Heading1"/>
      </w:pPr>
      <w:bookmarkStart w:id="4" w:name="O_597465"/>
      <w:bookmarkEnd w:id="4"/>
      <w:r w:rsidRPr="005C51A5">
        <w:t>Competency Field</w:t>
      </w:r>
    </w:p>
    <w:p w:rsidR="00000000" w:rsidRPr="005C51A5" w:rsidP="001035CC">
      <w:pPr>
        <w:pStyle w:val="BodyText"/>
      </w:pPr>
      <w:r w:rsidRPr="005C51A5">
        <w:t>C - Equipment Operations</w:t>
      </w:r>
    </w:p>
    <w:p w:rsidR="00000000" w:rsidRPr="005C51A5" w:rsidP="005C51A5">
      <w:pPr>
        <w:pStyle w:val="Heading1"/>
      </w:pPr>
      <w:bookmarkStart w:id="5" w:name="O_597466"/>
      <w:bookmarkEnd w:id="5"/>
      <w:r w:rsidRPr="005C51A5">
        <w:t>Unit Sector</w:t>
      </w:r>
    </w:p>
    <w:p w:rsidR="00000000" w:rsidRPr="005C51A5" w:rsidP="001035CC">
      <w:pPr>
        <w:pStyle w:val="BodyText"/>
      </w:pPr>
      <w:r w:rsidRPr="005C51A5">
        <w:t>Not applicable.</w:t>
      </w:r>
    </w:p>
    <w:p w:rsidR="00000000" w:rsidRPr="005C51A5" w:rsidP="005C51A5">
      <w:pPr>
        <w:pStyle w:val="Heading1"/>
      </w:pPr>
      <w:bookmarkStart w:id="6" w:name="O_597467"/>
      <w:bookmarkEnd w:id="6"/>
      <w:r w:rsidRPr="005C51A5">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1035C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5C51A5">
            <w:pPr>
              <w:pStyle w:val="BodyText"/>
              <w:rPr>
                <w:lang w:val="en-NZ"/>
              </w:rPr>
            </w:pPr>
            <w:r w:rsidRPr="005C51A5">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5C51A5">
            <w:pPr>
              <w:pStyle w:val="BodyText"/>
              <w:rPr>
                <w:lang w:val="en-NZ"/>
              </w:rPr>
            </w:pPr>
            <w:r w:rsidRPr="005C51A5">
              <w:t>Performance criteria describe the pe</w:t>
            </w:r>
            <w:r w:rsidRPr="005C51A5">
              <w:t>rformance needed to demonstrate achievement of the element.</w:t>
            </w:r>
          </w:p>
        </w:tc>
      </w:tr>
      <w:tr w:rsidTr="001035C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C51A5" w:rsidP="005C51A5">
            <w:pPr>
              <w:pStyle w:val="BodyText"/>
            </w:pPr>
            <w:r w:rsidRPr="005C51A5">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5C51A5">
            <w:pPr>
              <w:pStyle w:val="BodyText"/>
              <w:rPr>
                <w:lang w:val="en-NZ"/>
              </w:rPr>
            </w:pPr>
            <w:r w:rsidRPr="005C51A5">
              <w:rPr>
                <w:rStyle w:val="SpecialBold"/>
              </w:rPr>
              <w:t>Prepare for operation</w:t>
            </w:r>
          </w:p>
        </w:tc>
        <w:tc>
          <w:tcPr>
            <w:tcW w:w="719" w:type="dxa"/>
            <w:tcBorders>
              <w:top w:val="nil"/>
              <w:left w:val="nil"/>
              <w:bottom w:val="nil"/>
              <w:right w:val="nil"/>
            </w:tcBorders>
            <w:tcMar>
              <w:top w:w="0" w:type="dxa"/>
              <w:left w:w="62" w:type="dxa"/>
              <w:bottom w:w="0" w:type="dxa"/>
              <w:right w:w="62" w:type="dxa"/>
            </w:tcMar>
          </w:tcPr>
          <w:p w:rsidR="00000000" w:rsidP="005C51A5">
            <w:pPr>
              <w:pStyle w:val="BodyText"/>
              <w:rPr>
                <w:lang w:val="en-NZ"/>
              </w:rPr>
            </w:pPr>
            <w:r w:rsidRPr="005C51A5">
              <w:t>1.1</w:t>
            </w:r>
          </w:p>
        </w:tc>
        <w:tc>
          <w:tcPr>
            <w:tcW w:w="6045" w:type="dxa"/>
            <w:tcBorders>
              <w:top w:val="nil"/>
              <w:left w:val="nil"/>
              <w:bottom w:val="nil"/>
              <w:right w:val="nil"/>
            </w:tcBorders>
            <w:tcMar>
              <w:top w:w="0" w:type="dxa"/>
              <w:left w:w="62" w:type="dxa"/>
              <w:bottom w:w="0" w:type="dxa"/>
              <w:right w:w="62" w:type="dxa"/>
            </w:tcMar>
          </w:tcPr>
          <w:p w:rsidR="00000000" w:rsidP="005C51A5">
            <w:pPr>
              <w:pStyle w:val="BodyText"/>
              <w:rPr>
                <w:lang w:val="en-NZ"/>
              </w:rPr>
            </w:pPr>
            <w:r w:rsidRPr="005C51A5">
              <w:t>Risks to self, others and the environment are identified according to organisational procedures</w:t>
            </w:r>
          </w:p>
        </w:tc>
      </w:tr>
      <w:tr w:rsidTr="001035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C51A5">
            <w:pPr>
              <w:pStyle w:val="BodyText"/>
              <w:rPr>
                <w:lang w:val="en-NZ"/>
              </w:rPr>
            </w:pPr>
            <w:r w:rsidRPr="005C51A5">
              <w:t>1.2</w:t>
            </w:r>
          </w:p>
        </w:tc>
        <w:tc>
          <w:tcPr>
            <w:tcW w:w="6045" w:type="dxa"/>
            <w:tcBorders>
              <w:top w:val="nil"/>
              <w:left w:val="nil"/>
              <w:bottom w:val="nil"/>
              <w:right w:val="nil"/>
            </w:tcBorders>
            <w:tcMar>
              <w:top w:w="0" w:type="dxa"/>
              <w:left w:w="62" w:type="dxa"/>
              <w:bottom w:w="0" w:type="dxa"/>
              <w:right w:w="62" w:type="dxa"/>
            </w:tcMar>
          </w:tcPr>
          <w:p w:rsidR="00000000" w:rsidP="005C51A5">
            <w:pPr>
              <w:pStyle w:val="BodyText"/>
              <w:rPr>
                <w:lang w:val="en-NZ"/>
              </w:rPr>
            </w:pPr>
            <w:r w:rsidRPr="005C51A5">
              <w:t>Routine pre-operational checks of auxiliary machinery systems are completed prior to use according to manufacturer specifications and organisational procedures</w:t>
            </w:r>
          </w:p>
        </w:tc>
      </w:tr>
      <w:tr w:rsidTr="001035C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C51A5" w:rsidP="005C51A5">
            <w:pPr>
              <w:pStyle w:val="BodyText"/>
            </w:pPr>
            <w:r w:rsidRPr="005C51A5">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5C51A5">
            <w:pPr>
              <w:pStyle w:val="BodyText"/>
              <w:rPr>
                <w:lang w:val="en-NZ"/>
              </w:rPr>
            </w:pPr>
            <w:r w:rsidRPr="005C51A5">
              <w:rPr>
                <w:rStyle w:val="SpecialBold"/>
              </w:rPr>
              <w:t>Operate auxiliary machinery systems</w:t>
            </w:r>
          </w:p>
        </w:tc>
        <w:tc>
          <w:tcPr>
            <w:tcW w:w="719" w:type="dxa"/>
            <w:tcBorders>
              <w:top w:val="nil"/>
              <w:left w:val="nil"/>
              <w:bottom w:val="nil"/>
              <w:right w:val="nil"/>
            </w:tcBorders>
            <w:tcMar>
              <w:top w:w="0" w:type="dxa"/>
              <w:left w:w="62" w:type="dxa"/>
              <w:bottom w:w="0" w:type="dxa"/>
              <w:right w:w="62" w:type="dxa"/>
            </w:tcMar>
          </w:tcPr>
          <w:p w:rsidR="00000000" w:rsidP="005C51A5">
            <w:pPr>
              <w:pStyle w:val="BodyText"/>
              <w:rPr>
                <w:lang w:val="en-NZ"/>
              </w:rPr>
            </w:pPr>
            <w:r w:rsidRPr="005C51A5">
              <w:t>2.1</w:t>
            </w:r>
          </w:p>
        </w:tc>
        <w:tc>
          <w:tcPr>
            <w:tcW w:w="6045" w:type="dxa"/>
            <w:tcBorders>
              <w:top w:val="nil"/>
              <w:left w:val="nil"/>
              <w:bottom w:val="nil"/>
              <w:right w:val="nil"/>
            </w:tcBorders>
            <w:tcMar>
              <w:top w:w="0" w:type="dxa"/>
              <w:left w:w="62" w:type="dxa"/>
              <w:bottom w:w="0" w:type="dxa"/>
              <w:right w:w="62" w:type="dxa"/>
            </w:tcMar>
          </w:tcPr>
          <w:p w:rsidR="00000000" w:rsidP="005C51A5">
            <w:pPr>
              <w:pStyle w:val="BodyText"/>
              <w:rPr>
                <w:lang w:val="en-NZ"/>
              </w:rPr>
            </w:pPr>
            <w:r w:rsidRPr="005C51A5">
              <w:t>Suitable personal protective equipment is selected and used according to organisational procedures</w:t>
            </w:r>
          </w:p>
        </w:tc>
      </w:tr>
      <w:tr w:rsidTr="001035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C51A5">
            <w:pPr>
              <w:pStyle w:val="BodyText"/>
              <w:rPr>
                <w:lang w:val="en-NZ"/>
              </w:rPr>
            </w:pPr>
            <w:r w:rsidRPr="005C51A5">
              <w:t>2.2</w:t>
            </w:r>
          </w:p>
        </w:tc>
        <w:tc>
          <w:tcPr>
            <w:tcW w:w="6045" w:type="dxa"/>
            <w:tcBorders>
              <w:top w:val="nil"/>
              <w:left w:val="nil"/>
              <w:bottom w:val="nil"/>
              <w:right w:val="nil"/>
            </w:tcBorders>
            <w:tcMar>
              <w:top w:w="0" w:type="dxa"/>
              <w:left w:w="62" w:type="dxa"/>
              <w:bottom w:w="0" w:type="dxa"/>
              <w:right w:w="62" w:type="dxa"/>
            </w:tcMar>
          </w:tcPr>
          <w:p w:rsidR="00000000" w:rsidP="005C51A5">
            <w:pPr>
              <w:pStyle w:val="BodyText"/>
              <w:rPr>
                <w:lang w:val="en-NZ"/>
              </w:rPr>
            </w:pPr>
            <w:r w:rsidRPr="005C51A5">
              <w:t>Auxiliary machinery systems are operated in a safe and controlled manner</w:t>
            </w:r>
          </w:p>
        </w:tc>
      </w:tr>
      <w:tr w:rsidTr="001035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C51A5">
            <w:pPr>
              <w:pStyle w:val="BodyText"/>
              <w:rPr>
                <w:lang w:val="en-NZ"/>
              </w:rPr>
            </w:pPr>
            <w:r w:rsidRPr="005C51A5">
              <w:t>2.3</w:t>
            </w:r>
          </w:p>
        </w:tc>
        <w:tc>
          <w:tcPr>
            <w:tcW w:w="6045" w:type="dxa"/>
            <w:tcBorders>
              <w:top w:val="nil"/>
              <w:left w:val="nil"/>
              <w:bottom w:val="nil"/>
              <w:right w:val="nil"/>
            </w:tcBorders>
            <w:tcMar>
              <w:top w:w="0" w:type="dxa"/>
              <w:left w:w="62" w:type="dxa"/>
              <w:bottom w:w="0" w:type="dxa"/>
              <w:right w:w="62" w:type="dxa"/>
            </w:tcMar>
          </w:tcPr>
          <w:p w:rsidR="00000000" w:rsidP="005C51A5">
            <w:pPr>
              <w:pStyle w:val="BodyText"/>
              <w:rPr>
                <w:lang w:val="en-NZ"/>
              </w:rPr>
            </w:pPr>
            <w:r w:rsidRPr="005C51A5">
              <w:t>Performance of auxiliary machinery system operations are monitored</w:t>
            </w:r>
          </w:p>
        </w:tc>
      </w:tr>
      <w:tr w:rsidTr="001035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C51A5">
            <w:pPr>
              <w:pStyle w:val="BodyText"/>
              <w:rPr>
                <w:lang w:val="en-NZ"/>
              </w:rPr>
            </w:pPr>
            <w:r w:rsidRPr="005C51A5">
              <w:t>2.4</w:t>
            </w:r>
          </w:p>
        </w:tc>
        <w:tc>
          <w:tcPr>
            <w:tcW w:w="6045" w:type="dxa"/>
            <w:tcBorders>
              <w:top w:val="nil"/>
              <w:left w:val="nil"/>
              <w:bottom w:val="nil"/>
              <w:right w:val="nil"/>
            </w:tcBorders>
            <w:tcMar>
              <w:top w:w="0" w:type="dxa"/>
              <w:left w:w="62" w:type="dxa"/>
              <w:bottom w:w="0" w:type="dxa"/>
              <w:right w:w="62" w:type="dxa"/>
            </w:tcMar>
          </w:tcPr>
          <w:p w:rsidR="00000000" w:rsidP="005C51A5">
            <w:pPr>
              <w:pStyle w:val="BodyText"/>
              <w:rPr>
                <w:lang w:val="en-NZ"/>
              </w:rPr>
            </w:pPr>
            <w:r w:rsidRPr="005C51A5">
              <w:t>Adverse sea and weather conditions that may impact on operation of auxiliary machinery systems are identified and operational practices are adjusted to maintain safety of vessel and personnel</w:t>
            </w:r>
          </w:p>
        </w:tc>
      </w:tr>
      <w:tr w:rsidTr="001035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C51A5">
            <w:pPr>
              <w:pStyle w:val="BodyText"/>
              <w:rPr>
                <w:lang w:val="en-NZ"/>
              </w:rPr>
            </w:pPr>
            <w:r w:rsidRPr="005C51A5">
              <w:t>2.5</w:t>
            </w:r>
          </w:p>
        </w:tc>
        <w:tc>
          <w:tcPr>
            <w:tcW w:w="6045" w:type="dxa"/>
            <w:tcBorders>
              <w:top w:val="nil"/>
              <w:left w:val="nil"/>
              <w:bottom w:val="nil"/>
              <w:right w:val="nil"/>
            </w:tcBorders>
            <w:tcMar>
              <w:top w:w="0" w:type="dxa"/>
              <w:left w:w="62" w:type="dxa"/>
              <w:bottom w:w="0" w:type="dxa"/>
              <w:right w:w="62" w:type="dxa"/>
            </w:tcMar>
          </w:tcPr>
          <w:p w:rsidR="00000000" w:rsidP="005C51A5">
            <w:pPr>
              <w:pStyle w:val="BodyText"/>
              <w:rPr>
                <w:lang w:val="en-NZ"/>
              </w:rPr>
            </w:pPr>
            <w:r w:rsidRPr="005C51A5">
              <w:t>Faults or malfunctions are identified and recorded ac</w:t>
            </w:r>
            <w:r w:rsidRPr="005C51A5">
              <w:t>cording to organisational procedures</w:t>
            </w:r>
          </w:p>
        </w:tc>
      </w:tr>
      <w:tr w:rsidTr="001035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C51A5">
            <w:pPr>
              <w:pStyle w:val="BodyText"/>
              <w:rPr>
                <w:lang w:val="en-NZ"/>
              </w:rPr>
            </w:pPr>
            <w:r w:rsidRPr="005C51A5">
              <w:t>2.6</w:t>
            </w:r>
          </w:p>
        </w:tc>
        <w:tc>
          <w:tcPr>
            <w:tcW w:w="6045" w:type="dxa"/>
            <w:tcBorders>
              <w:top w:val="nil"/>
              <w:left w:val="nil"/>
              <w:bottom w:val="nil"/>
              <w:right w:val="nil"/>
            </w:tcBorders>
            <w:tcMar>
              <w:top w:w="0" w:type="dxa"/>
              <w:left w:w="62" w:type="dxa"/>
              <w:bottom w:w="0" w:type="dxa"/>
              <w:right w:w="62" w:type="dxa"/>
            </w:tcMar>
          </w:tcPr>
          <w:p w:rsidR="00000000" w:rsidP="005C51A5">
            <w:pPr>
              <w:pStyle w:val="BodyText"/>
              <w:rPr>
                <w:lang w:val="en-NZ"/>
              </w:rPr>
            </w:pPr>
            <w:r w:rsidRPr="005C51A5">
              <w:t>Faults or malfunctions are rectified and corrective actions are taken and recorded according to organisational procedures</w:t>
            </w:r>
          </w:p>
        </w:tc>
      </w:tr>
      <w:tr w:rsidTr="001035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C51A5">
            <w:pPr>
              <w:pStyle w:val="BodyText"/>
              <w:rPr>
                <w:lang w:val="en-NZ"/>
              </w:rPr>
            </w:pPr>
            <w:r w:rsidRPr="005C51A5">
              <w:t>2.7</w:t>
            </w:r>
          </w:p>
        </w:tc>
        <w:tc>
          <w:tcPr>
            <w:tcW w:w="6045" w:type="dxa"/>
            <w:tcBorders>
              <w:top w:val="nil"/>
              <w:left w:val="nil"/>
              <w:bottom w:val="nil"/>
              <w:right w:val="nil"/>
            </w:tcBorders>
            <w:tcMar>
              <w:top w:w="0" w:type="dxa"/>
              <w:left w:w="62" w:type="dxa"/>
              <w:bottom w:w="0" w:type="dxa"/>
              <w:right w:w="62" w:type="dxa"/>
            </w:tcMar>
          </w:tcPr>
          <w:p w:rsidR="00000000" w:rsidP="005C51A5">
            <w:pPr>
              <w:pStyle w:val="BodyText"/>
              <w:rPr>
                <w:lang w:val="en-NZ"/>
              </w:rPr>
            </w:pPr>
            <w:r w:rsidRPr="005C51A5">
              <w:t>Procedures to be undertaken in emergencies are recognised and implemented</w:t>
            </w:r>
          </w:p>
        </w:tc>
      </w:tr>
      <w:tr w:rsidTr="001035C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C51A5" w:rsidP="005C51A5">
            <w:pPr>
              <w:pStyle w:val="BodyText"/>
            </w:pPr>
            <w:r w:rsidRPr="005C51A5">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5C51A5">
            <w:pPr>
              <w:pStyle w:val="BodyText"/>
              <w:rPr>
                <w:lang w:val="en-NZ"/>
              </w:rPr>
            </w:pPr>
            <w:r w:rsidRPr="005C51A5">
              <w:rPr>
                <w:rStyle w:val="SpecialBold"/>
              </w:rPr>
              <w:t>Comple</w:t>
            </w:r>
            <w:r w:rsidRPr="005C51A5">
              <w:rPr>
                <w:rStyle w:val="SpecialBold"/>
              </w:rPr>
              <w:t>te operations and check auxiliary machinery systems</w:t>
            </w:r>
          </w:p>
        </w:tc>
        <w:tc>
          <w:tcPr>
            <w:tcW w:w="719" w:type="dxa"/>
            <w:tcBorders>
              <w:top w:val="nil"/>
              <w:left w:val="nil"/>
              <w:bottom w:val="nil"/>
              <w:right w:val="nil"/>
            </w:tcBorders>
            <w:tcMar>
              <w:top w:w="0" w:type="dxa"/>
              <w:left w:w="62" w:type="dxa"/>
              <w:bottom w:w="0" w:type="dxa"/>
              <w:right w:w="62" w:type="dxa"/>
            </w:tcMar>
          </w:tcPr>
          <w:p w:rsidR="00000000" w:rsidP="005C51A5">
            <w:pPr>
              <w:pStyle w:val="BodyText"/>
              <w:rPr>
                <w:lang w:val="en-NZ"/>
              </w:rPr>
            </w:pPr>
            <w:r w:rsidRPr="005C51A5">
              <w:t>3.1</w:t>
            </w:r>
          </w:p>
        </w:tc>
        <w:tc>
          <w:tcPr>
            <w:tcW w:w="6045" w:type="dxa"/>
            <w:tcBorders>
              <w:top w:val="nil"/>
              <w:left w:val="nil"/>
              <w:bottom w:val="nil"/>
              <w:right w:val="nil"/>
            </w:tcBorders>
            <w:tcMar>
              <w:top w:w="0" w:type="dxa"/>
              <w:left w:w="62" w:type="dxa"/>
              <w:bottom w:w="0" w:type="dxa"/>
              <w:right w:w="62" w:type="dxa"/>
            </w:tcMar>
          </w:tcPr>
          <w:p w:rsidR="00000000" w:rsidP="005C51A5">
            <w:pPr>
              <w:pStyle w:val="BodyText"/>
              <w:rPr>
                <w:lang w:val="en-NZ"/>
              </w:rPr>
            </w:pPr>
            <w:r w:rsidRPr="005C51A5">
              <w:t>Shut-down procedures are conducted according to manufacturer instructions and organisational procedures</w:t>
            </w:r>
          </w:p>
        </w:tc>
      </w:tr>
      <w:tr w:rsidTr="001035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C51A5">
            <w:pPr>
              <w:pStyle w:val="BodyText"/>
              <w:rPr>
                <w:lang w:val="en-NZ"/>
              </w:rPr>
            </w:pPr>
            <w:r w:rsidRPr="005C51A5">
              <w:t>3.2</w:t>
            </w:r>
          </w:p>
        </w:tc>
        <w:tc>
          <w:tcPr>
            <w:tcW w:w="6045" w:type="dxa"/>
            <w:tcBorders>
              <w:top w:val="nil"/>
              <w:left w:val="nil"/>
              <w:bottom w:val="nil"/>
              <w:right w:val="nil"/>
            </w:tcBorders>
            <w:tcMar>
              <w:top w:w="0" w:type="dxa"/>
              <w:left w:w="62" w:type="dxa"/>
              <w:bottom w:w="0" w:type="dxa"/>
              <w:right w:w="62" w:type="dxa"/>
            </w:tcMar>
          </w:tcPr>
          <w:p w:rsidR="00000000" w:rsidRPr="005C51A5" w:rsidP="005C51A5">
            <w:pPr>
              <w:pStyle w:val="BodyText"/>
            </w:pPr>
            <w:r w:rsidRPr="005C51A5">
              <w:t>Operational records are completed as required according to organisational procedures and regulatory requirements</w:t>
            </w:r>
          </w:p>
        </w:tc>
      </w:tr>
    </w:tbl>
    <w:p w:rsidR="00000000" w:rsidRPr="005C51A5" w:rsidP="005C51A5">
      <w:pPr>
        <w:pStyle w:val="BodyText"/>
      </w:pPr>
    </w:p>
    <w:p w:rsidR="00000000" w:rsidRPr="005C51A5" w:rsidP="005C51A5">
      <w:pPr>
        <w:pStyle w:val="AllowPageBreak"/>
      </w:pPr>
    </w:p>
    <w:p w:rsidR="00000000" w:rsidRPr="005C51A5" w:rsidP="005C51A5">
      <w:pPr>
        <w:pStyle w:val="Heading1"/>
      </w:pPr>
      <w:bookmarkStart w:id="7" w:name="O_597468"/>
      <w:bookmarkEnd w:id="7"/>
      <w:r w:rsidRPr="005C51A5">
        <w:t>Foundation Skills</w:t>
      </w:r>
    </w:p>
    <w:tbl>
      <w:tblPr>
        <w:tblW w:w="9498" w:type="dxa"/>
        <w:tblLayout w:type="fixed"/>
        <w:tblCellMar>
          <w:left w:w="62" w:type="dxa"/>
          <w:right w:w="62" w:type="dxa"/>
        </w:tblCellMar>
        <w:tblLook w:val="0000"/>
      </w:tblPr>
      <w:tblGrid>
        <w:gridCol w:w="9498"/>
      </w:tblGrid>
      <w:tr w:rsidTr="005C51A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5C51A5">
            <w:pPr>
              <w:pStyle w:val="BodyText"/>
              <w:rPr>
                <w:lang w:val="en-NZ"/>
              </w:rPr>
            </w:pPr>
            <w:r w:rsidRPr="005C51A5">
              <w:t>This section describes those language, literacy, numeracy and employment skills that are essential to perf</w:t>
            </w:r>
            <w:r w:rsidRPr="005C51A5">
              <w:t>ormance.</w:t>
            </w:r>
          </w:p>
        </w:tc>
      </w:tr>
      <w:tr w:rsidTr="005C51A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C51A5" w:rsidP="005C51A5">
            <w:pPr>
              <w:pStyle w:val="BodyText"/>
            </w:pPr>
            <w:r w:rsidRPr="005C51A5">
              <w:t>Foundation skills essential to performance are explicit in the performance criteria of this unit of competency.</w:t>
            </w:r>
          </w:p>
        </w:tc>
      </w:tr>
    </w:tbl>
    <w:p w:rsidR="00000000" w:rsidRPr="005C51A5" w:rsidP="005C51A5">
      <w:pPr>
        <w:pStyle w:val="BodyText"/>
      </w:pPr>
    </w:p>
    <w:p w:rsidR="00000000" w:rsidRPr="005C51A5" w:rsidP="005C51A5">
      <w:pPr>
        <w:pStyle w:val="AllowPageBreak"/>
      </w:pPr>
    </w:p>
    <w:p w:rsidR="00000000" w:rsidRPr="005C51A5" w:rsidP="005C51A5">
      <w:pPr>
        <w:pStyle w:val="Heading1"/>
      </w:pPr>
      <w:bookmarkStart w:id="8" w:name="O_597469"/>
      <w:bookmarkEnd w:id="8"/>
      <w:r w:rsidRPr="005C51A5">
        <w:t>Range of Conditions</w:t>
      </w:r>
    </w:p>
    <w:tbl>
      <w:tblPr>
        <w:tblW w:w="9498" w:type="dxa"/>
        <w:tblLayout w:type="fixed"/>
        <w:tblCellMar>
          <w:left w:w="62" w:type="dxa"/>
          <w:right w:w="62" w:type="dxa"/>
        </w:tblCellMar>
        <w:tblLook w:val="0000"/>
      </w:tblPr>
      <w:tblGrid>
        <w:gridCol w:w="2735"/>
        <w:gridCol w:w="6763"/>
      </w:tblGrid>
      <w:tr w:rsidTr="001035CC">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5C51A5" w:rsidP="005C51A5">
            <w:pPr>
              <w:pStyle w:val="BodyText"/>
            </w:pPr>
            <w:r w:rsidRPr="005C51A5">
              <w:t>Specifies different work environments and conditions that may affect performance. Essential operating conditions that may be present (depending on the work situation, needs of the candidate, accessibility of the item, and local industry and regional contex</w:t>
            </w:r>
            <w:r w:rsidRPr="005C51A5">
              <w:t>ts) are included.</w:t>
            </w:r>
          </w:p>
          <w:p w:rsidR="00000000" w:rsidRPr="005C51A5" w:rsidP="005C51A5">
            <w:pPr>
              <w:pStyle w:val="BodyText"/>
            </w:pPr>
          </w:p>
          <w:p w:rsidR="00000000" w:rsidP="005C51A5">
            <w:pPr>
              <w:pStyle w:val="BodyText"/>
              <w:rPr>
                <w:lang w:val="en-NZ"/>
              </w:rPr>
            </w:pPr>
            <w:r w:rsidRPr="005C51A5">
              <w:t>Range is restricted to essential operating conditions and any other variables essential to the work environment.</w:t>
            </w:r>
          </w:p>
        </w:tc>
      </w:tr>
      <w:tr w:rsidTr="001035C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C51A5">
            <w:pPr>
              <w:pStyle w:val="BodyText"/>
              <w:rPr>
                <w:lang w:val="en-NZ"/>
              </w:rPr>
            </w:pPr>
            <w:r w:rsidRPr="005C51A5">
              <w:t>Auxiliary machinery systems must include:</w:t>
            </w:r>
          </w:p>
        </w:tc>
        <w:tc>
          <w:tcPr>
            <w:tcW w:w="6763" w:type="dxa"/>
            <w:tcBorders>
              <w:top w:val="nil"/>
              <w:left w:val="nil"/>
              <w:bottom w:val="nil"/>
              <w:right w:val="nil"/>
            </w:tcBorders>
            <w:tcMar>
              <w:top w:w="0" w:type="dxa"/>
              <w:left w:w="62" w:type="dxa"/>
              <w:bottom w:w="0" w:type="dxa"/>
              <w:right w:w="62" w:type="dxa"/>
            </w:tcMar>
          </w:tcPr>
          <w:p w:rsidR="00000000" w:rsidRPr="005C51A5" w:rsidP="005C51A5">
            <w:pPr>
              <w:pStyle w:val="ListBullet"/>
            </w:pPr>
            <w:r w:rsidRPr="005C51A5">
              <w:t>cargo discharging or loading systems</w:t>
            </w:r>
          </w:p>
          <w:p w:rsidR="00000000" w:rsidRPr="005C51A5" w:rsidP="005C51A5">
            <w:pPr>
              <w:pStyle w:val="ListBullet"/>
            </w:pPr>
            <w:r w:rsidRPr="005C51A5">
              <w:t>commercial refrigeration and freezer plants</w:t>
            </w:r>
          </w:p>
          <w:p w:rsidR="00000000" w:rsidRPr="005C51A5" w:rsidP="005C51A5">
            <w:pPr>
              <w:pStyle w:val="ListBullet"/>
            </w:pPr>
            <w:r w:rsidRPr="005C51A5">
              <w:t>compressed air</w:t>
            </w:r>
          </w:p>
          <w:p w:rsidR="00000000" w:rsidRPr="005C51A5" w:rsidP="005C51A5">
            <w:pPr>
              <w:pStyle w:val="ListBullet"/>
            </w:pPr>
            <w:r w:rsidRPr="005C51A5">
              <w:t>control air systems</w:t>
            </w:r>
          </w:p>
          <w:p w:rsidR="00000000" w:rsidRPr="005C51A5" w:rsidP="005C51A5">
            <w:pPr>
              <w:pStyle w:val="ListBullet"/>
            </w:pPr>
            <w:r w:rsidRPr="005C51A5">
              <w:t>deck machinery</w:t>
            </w:r>
          </w:p>
          <w:p w:rsidR="00000000" w:rsidRPr="005C51A5" w:rsidP="005C51A5">
            <w:pPr>
              <w:pStyle w:val="ListBullet"/>
            </w:pPr>
            <w:r w:rsidRPr="005C51A5">
              <w:t>hydraulics</w:t>
            </w:r>
          </w:p>
          <w:p w:rsidR="00000000" w:rsidRPr="005C51A5" w:rsidP="005C51A5">
            <w:pPr>
              <w:pStyle w:val="ListBullet"/>
            </w:pPr>
            <w:r w:rsidRPr="005C51A5">
              <w:t>fire, bilge and ballast pumping systems</w:t>
            </w:r>
          </w:p>
          <w:p w:rsidR="00000000" w:rsidRPr="005C51A5" w:rsidP="005C51A5">
            <w:pPr>
              <w:pStyle w:val="ListBullet"/>
            </w:pPr>
            <w:r w:rsidRPr="005C51A5">
              <w:t>fixed gas and foam firefighting systems</w:t>
            </w:r>
          </w:p>
          <w:p w:rsidR="00000000" w:rsidRPr="005C51A5" w:rsidP="005C51A5">
            <w:pPr>
              <w:pStyle w:val="ListBullet"/>
            </w:pPr>
            <w:r w:rsidRPr="005C51A5">
              <w:t>fresh water generation</w:t>
            </w:r>
          </w:p>
          <w:p w:rsidR="00000000" w:rsidRPr="005C51A5" w:rsidP="005C51A5">
            <w:pPr>
              <w:pStyle w:val="ListBullet"/>
            </w:pPr>
            <w:r w:rsidRPr="005C51A5">
              <w:t>fuel and lubricating oil purification systems</w:t>
            </w:r>
          </w:p>
          <w:p w:rsidR="00000000" w:rsidRPr="005C51A5" w:rsidP="005C51A5">
            <w:pPr>
              <w:pStyle w:val="ListBullet"/>
            </w:pPr>
            <w:r w:rsidRPr="005C51A5">
              <w:t>se</w:t>
            </w:r>
            <w:r w:rsidRPr="005C51A5">
              <w:t>wage treatment</w:t>
            </w:r>
          </w:p>
          <w:p w:rsidR="00000000" w:rsidP="005C51A5">
            <w:pPr>
              <w:pStyle w:val="ListBullet"/>
              <w:rPr>
                <w:lang w:val="en-NZ"/>
              </w:rPr>
            </w:pPr>
            <w:r w:rsidRPr="005C51A5">
              <w:t>steering system including rudder</w:t>
            </w:r>
          </w:p>
        </w:tc>
      </w:tr>
      <w:tr w:rsidTr="001035C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5C51A5">
            <w:pPr>
              <w:pStyle w:val="BodyText"/>
              <w:rPr>
                <w:lang w:val="en-NZ"/>
              </w:rPr>
            </w:pPr>
          </w:p>
        </w:tc>
      </w:tr>
      <w:tr w:rsidTr="001035C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C51A5">
            <w:pPr>
              <w:pStyle w:val="BodyText"/>
              <w:rPr>
                <w:lang w:val="en-NZ"/>
              </w:rPr>
            </w:pPr>
            <w:r w:rsidRPr="005C51A5">
              <w:t>Emergencies must include:</w:t>
            </w:r>
          </w:p>
        </w:tc>
        <w:tc>
          <w:tcPr>
            <w:tcW w:w="6763" w:type="dxa"/>
            <w:tcBorders>
              <w:top w:val="nil"/>
              <w:left w:val="nil"/>
              <w:bottom w:val="nil"/>
              <w:right w:val="nil"/>
            </w:tcBorders>
            <w:tcMar>
              <w:top w:w="0" w:type="dxa"/>
              <w:left w:w="62" w:type="dxa"/>
              <w:bottom w:w="0" w:type="dxa"/>
              <w:right w:w="62" w:type="dxa"/>
            </w:tcMar>
          </w:tcPr>
          <w:p w:rsidR="00000000" w:rsidRPr="005C51A5" w:rsidP="005C51A5">
            <w:pPr>
              <w:pStyle w:val="ListBullet"/>
            </w:pPr>
            <w:r w:rsidRPr="005C51A5">
              <w:t>loss of:</w:t>
            </w:r>
          </w:p>
          <w:p w:rsidR="00000000" w:rsidRPr="005C51A5" w:rsidP="005C51A5">
            <w:pPr>
              <w:pStyle w:val="ListBullet2"/>
            </w:pPr>
            <w:r w:rsidRPr="005C51A5">
              <w:t>control air pressure</w:t>
            </w:r>
          </w:p>
          <w:p w:rsidR="00000000" w:rsidRPr="005C51A5" w:rsidP="005C51A5">
            <w:pPr>
              <w:pStyle w:val="ListBullet2"/>
            </w:pPr>
            <w:r w:rsidRPr="005C51A5">
              <w:t>electrical power</w:t>
            </w:r>
          </w:p>
          <w:p w:rsidR="00000000" w:rsidRPr="005C51A5" w:rsidP="005C51A5">
            <w:pPr>
              <w:pStyle w:val="ListBullet"/>
            </w:pPr>
            <w:r w:rsidRPr="005C51A5">
              <w:t>failure of steering system</w:t>
            </w:r>
          </w:p>
          <w:p w:rsidR="00000000" w:rsidP="005C51A5">
            <w:pPr>
              <w:pStyle w:val="ListBullet"/>
              <w:rPr>
                <w:lang w:val="en-NZ"/>
              </w:rPr>
            </w:pPr>
            <w:r w:rsidRPr="005C51A5">
              <w:t>hydraulic failure</w:t>
            </w:r>
          </w:p>
        </w:tc>
      </w:tr>
      <w:tr w:rsidTr="001035C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5C51A5">
            <w:pPr>
              <w:pStyle w:val="BodyText"/>
              <w:rPr>
                <w:lang w:val="en-NZ"/>
              </w:rPr>
            </w:pPr>
          </w:p>
        </w:tc>
      </w:tr>
      <w:tr w:rsidTr="001035C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C51A5">
            <w:pPr>
              <w:pStyle w:val="BodyText"/>
              <w:rPr>
                <w:lang w:val="en-NZ"/>
              </w:rPr>
            </w:pPr>
            <w:r w:rsidRPr="005C51A5">
              <w:t>Operational records must include:</w:t>
            </w:r>
          </w:p>
        </w:tc>
        <w:tc>
          <w:tcPr>
            <w:tcW w:w="6763" w:type="dxa"/>
            <w:tcBorders>
              <w:top w:val="nil"/>
              <w:left w:val="nil"/>
              <w:bottom w:val="nil"/>
              <w:right w:val="nil"/>
            </w:tcBorders>
            <w:tcMar>
              <w:top w:w="0" w:type="dxa"/>
              <w:left w:w="62" w:type="dxa"/>
              <w:bottom w:w="0" w:type="dxa"/>
              <w:right w:w="62" w:type="dxa"/>
            </w:tcMar>
          </w:tcPr>
          <w:p w:rsidR="00000000" w:rsidRPr="005C51A5" w:rsidP="005C51A5">
            <w:pPr>
              <w:pStyle w:val="ListBullet"/>
            </w:pPr>
            <w:r w:rsidRPr="005C51A5">
              <w:t>logbooks</w:t>
            </w:r>
          </w:p>
          <w:p w:rsidR="00000000" w:rsidRPr="005C51A5" w:rsidP="005C51A5">
            <w:pPr>
              <w:pStyle w:val="ListBullet"/>
            </w:pPr>
            <w:r w:rsidRPr="005C51A5">
              <w:t>maintenance records</w:t>
            </w:r>
          </w:p>
          <w:p w:rsidR="00000000" w:rsidRPr="005C51A5" w:rsidP="005C51A5">
            <w:pPr>
              <w:pStyle w:val="ListBullet"/>
            </w:pPr>
            <w:r w:rsidRPr="005C51A5">
              <w:t>plant and equipment manufacturer instructions and recommended procedures</w:t>
            </w:r>
          </w:p>
          <w:p w:rsidR="00000000" w:rsidRPr="005C51A5" w:rsidP="005C51A5">
            <w:pPr>
              <w:pStyle w:val="ListBullet"/>
            </w:pPr>
            <w:r w:rsidRPr="005C51A5">
              <w:t>relevant maritime authority documentation relating to operating auxiliary machinery systems</w:t>
            </w:r>
          </w:p>
          <w:p w:rsidR="00000000" w:rsidRPr="005C51A5" w:rsidP="005C51A5">
            <w:pPr>
              <w:pStyle w:val="ListBullet"/>
            </w:pPr>
            <w:r w:rsidRPr="005C51A5">
              <w:t>standard operating procedures from the organisation’s safety management system</w:t>
            </w:r>
          </w:p>
        </w:tc>
      </w:tr>
    </w:tbl>
    <w:p w:rsidR="00000000" w:rsidRPr="005C51A5" w:rsidP="005C51A5">
      <w:pPr>
        <w:pStyle w:val="BodyText"/>
      </w:pPr>
    </w:p>
    <w:p w:rsidR="00000000" w:rsidRPr="005C51A5" w:rsidP="005C51A5">
      <w:pPr>
        <w:pStyle w:val="AllowPageBreak"/>
      </w:pPr>
    </w:p>
    <w:p w:rsidR="00000000" w:rsidRPr="005C51A5" w:rsidP="005C51A5">
      <w:pPr>
        <w:pStyle w:val="Heading1"/>
      </w:pPr>
      <w:bookmarkStart w:id="9" w:name="O_597470"/>
      <w:bookmarkEnd w:id="9"/>
      <w:r w:rsidRPr="005C51A5">
        <w:t>Unit Mapping Information</w:t>
      </w:r>
    </w:p>
    <w:p w:rsidR="00000000" w:rsidRPr="005C51A5" w:rsidP="001035CC">
      <w:pPr>
        <w:pStyle w:val="BodyText"/>
      </w:pPr>
      <w:r w:rsidRPr="005C51A5">
        <w:t>This is a new unit. This unit is equivalent to MARC4003A Operate auxiliary machinery systems up to 1500 kW.</w:t>
      </w:r>
    </w:p>
    <w:p w:rsidR="00000000" w:rsidRPr="005C51A5" w:rsidP="005C51A5">
      <w:pPr>
        <w:pStyle w:val="Heading1"/>
      </w:pPr>
      <w:bookmarkStart w:id="10" w:name="O_597477"/>
      <w:bookmarkEnd w:id="10"/>
      <w:r w:rsidRPr="005C51A5">
        <w:t>Links</w:t>
      </w:r>
    </w:p>
    <w:p w:rsidR="00000000" w:rsidRPr="005C51A5" w:rsidP="001035CC">
      <w:pPr>
        <w:pStyle w:val="BodyText"/>
      </w:pPr>
      <w:r w:rsidRPr="005C51A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7364B">
        <w:rPr>
          <w:rStyle w:val="Hyperlink"/>
        </w:rPr>
        <w:t>https://vetnet.gov.au/Pages/TrainingDocs.aspx?q=772efb7b-4cce-47fe-9bbd-ee3b1d1eb4c2</w:t>
      </w:r>
      <w:r>
        <w:fldChar w:fldCharType="end"/>
      </w:r>
    </w:p>
    <w:p w:rsidR="00000000" w:rsidRPr="005C51A5" w:rsidP="005C51A5"/>
    <w:sectPr w:rsidSect="005C51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5" w:rsidRPr="001035CC" w:rsidP="001035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5CC" w:rsidP="005C51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35CC" w:rsidP="005C51A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035CC" w:rsidP="005C51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5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51A5" w:rsidRPr="001035CC" w:rsidP="001035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5CC" w:rsidRPr="002D2AF8" w:rsidP="005C51A5">
    <w:pPr>
      <w:pStyle w:val="Header"/>
      <w:framePr w:wrap="around"/>
    </w:pPr>
    <w:r>
      <w:fldChar w:fldCharType="begin"/>
    </w:r>
    <w:r>
      <w:instrText xml:space="preserve"> TITLE   \* MERGEFORMAT </w:instrText>
    </w:r>
    <w:r>
      <w:fldChar w:fldCharType="separate"/>
    </w:r>
    <w:r>
      <w:t>MARC013 Operate auxiliary machinery systems up to 1500 kW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1035CC" w:rsidP="005C51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B0C0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9E15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7C06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1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51A5"/>
    <w:pPr>
      <w:spacing w:before="360" w:after="60"/>
      <w:outlineLvl w:val="0"/>
    </w:pPr>
    <w:rPr>
      <w:sz w:val="32"/>
    </w:rPr>
  </w:style>
  <w:style w:type="paragraph" w:styleId="Heading2">
    <w:name w:val="heading 2"/>
    <w:basedOn w:val="HeadingBase"/>
    <w:next w:val="BodyText"/>
    <w:link w:val="Heading2Char"/>
    <w:qFormat/>
    <w:rsid w:val="005C51A5"/>
    <w:pPr>
      <w:keepLines/>
      <w:spacing w:before="240" w:after="120"/>
      <w:outlineLvl w:val="1"/>
    </w:pPr>
    <w:rPr>
      <w:sz w:val="28"/>
      <w:szCs w:val="40"/>
    </w:rPr>
  </w:style>
  <w:style w:type="paragraph" w:styleId="Heading3">
    <w:name w:val="heading 3"/>
    <w:basedOn w:val="HeadingBase"/>
    <w:next w:val="BodyText"/>
    <w:link w:val="Heading3Char"/>
    <w:qFormat/>
    <w:rsid w:val="005C51A5"/>
    <w:pPr>
      <w:spacing w:before="180" w:after="120"/>
      <w:outlineLvl w:val="2"/>
    </w:pPr>
    <w:rPr>
      <w:spacing w:val="-10"/>
      <w:kern w:val="32"/>
    </w:rPr>
  </w:style>
  <w:style w:type="paragraph" w:styleId="Heading4">
    <w:name w:val="heading 4"/>
    <w:basedOn w:val="HeadingBase"/>
    <w:next w:val="BodyText"/>
    <w:link w:val="Heading4Char"/>
    <w:qFormat/>
    <w:rsid w:val="005C51A5"/>
    <w:pPr>
      <w:spacing w:before="160" w:after="120"/>
      <w:outlineLvl w:val="3"/>
    </w:pPr>
    <w:rPr>
      <w:sz w:val="22"/>
    </w:rPr>
  </w:style>
  <w:style w:type="paragraph" w:styleId="Heading5">
    <w:name w:val="heading 5"/>
    <w:basedOn w:val="HeadingBase"/>
    <w:next w:val="Normal"/>
    <w:link w:val="Heading5Char"/>
    <w:qFormat/>
    <w:rsid w:val="005C51A5"/>
    <w:pPr>
      <w:spacing w:before="80"/>
      <w:outlineLvl w:val="4"/>
    </w:pPr>
    <w:rPr>
      <w:color w:val="918585"/>
      <w:sz w:val="20"/>
    </w:rPr>
  </w:style>
  <w:style w:type="paragraph" w:styleId="Heading6">
    <w:name w:val="heading 6"/>
    <w:basedOn w:val="HeadingBase"/>
    <w:next w:val="Normal"/>
    <w:link w:val="Heading6Char"/>
    <w:qFormat/>
    <w:rsid w:val="005C51A5"/>
    <w:pPr>
      <w:spacing w:before="60"/>
      <w:outlineLvl w:val="5"/>
    </w:pPr>
    <w:rPr>
      <w:color w:val="918585"/>
      <w:sz w:val="20"/>
    </w:rPr>
  </w:style>
  <w:style w:type="paragraph" w:styleId="Heading7">
    <w:name w:val="heading 7"/>
    <w:basedOn w:val="Normal"/>
    <w:next w:val="Normal"/>
    <w:link w:val="Heading7Char"/>
    <w:qFormat/>
    <w:rsid w:val="005C51A5"/>
    <w:pPr>
      <w:ind w:left="720"/>
      <w:outlineLvl w:val="6"/>
    </w:pPr>
    <w:rPr>
      <w:i/>
    </w:rPr>
  </w:style>
  <w:style w:type="paragraph" w:styleId="Heading8">
    <w:name w:val="heading 8"/>
    <w:basedOn w:val="Normal"/>
    <w:next w:val="Normal"/>
    <w:link w:val="Heading8Char"/>
    <w:qFormat/>
    <w:rsid w:val="005C51A5"/>
    <w:pPr>
      <w:ind w:left="720"/>
      <w:outlineLvl w:val="7"/>
    </w:pPr>
    <w:rPr>
      <w:i/>
    </w:rPr>
  </w:style>
  <w:style w:type="paragraph" w:styleId="Heading9">
    <w:name w:val="heading 9"/>
    <w:basedOn w:val="Normal"/>
    <w:next w:val="Normal"/>
    <w:link w:val="Heading9Char"/>
    <w:qFormat/>
    <w:rsid w:val="005C51A5"/>
    <w:pPr>
      <w:ind w:left="720"/>
      <w:outlineLvl w:val="8"/>
    </w:pPr>
    <w:rPr>
      <w:i/>
    </w:rPr>
  </w:style>
  <w:style w:type="character" w:default="1" w:styleId="DefaultParagraphFont">
    <w:name w:val="Default Paragraph Font"/>
    <w:uiPriority w:val="1"/>
    <w:unhideWhenUsed/>
    <w:rsid w:val="005C51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51A5"/>
  </w:style>
  <w:style w:type="character" w:customStyle="1" w:styleId="Heading1Char">
    <w:name w:val="Heading 1 Char"/>
    <w:basedOn w:val="DefaultParagraphFont"/>
    <w:link w:val="Heading1"/>
    <w:rsid w:val="005C51A5"/>
    <w:rPr>
      <w:rFonts w:ascii="Times New Roman" w:eastAsia="Times New Roman" w:hAnsi="Times New Roman" w:cs="Times New Roman"/>
      <w:b/>
      <w:sz w:val="32"/>
      <w:szCs w:val="20"/>
      <w:lang w:eastAsia="en-US"/>
    </w:rPr>
  </w:style>
  <w:style w:type="paragraph" w:styleId="BodyText">
    <w:name w:val="Body Text"/>
    <w:basedOn w:val="Normal"/>
    <w:link w:val="BodyTextChar"/>
    <w:rsid w:val="005C51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51A5"/>
    <w:rPr>
      <w:rFonts w:ascii="Times New Roman" w:eastAsia="Times New Roman" w:hAnsi="Times New Roman" w:cs="Times New Roman"/>
      <w:sz w:val="24"/>
      <w:lang w:eastAsia="en-US"/>
    </w:rPr>
  </w:style>
  <w:style w:type="paragraph" w:styleId="ListBullet">
    <w:name w:val="List Bullet"/>
    <w:basedOn w:val="List"/>
    <w:rsid w:val="005C51A5"/>
    <w:pPr>
      <w:numPr>
        <w:numId w:val="12"/>
      </w:numPr>
      <w:tabs>
        <w:tab w:val="clear" w:pos="340"/>
      </w:tabs>
      <w:spacing w:before="40" w:after="40"/>
    </w:pPr>
  </w:style>
  <w:style w:type="character" w:customStyle="1" w:styleId="SpecialBold">
    <w:name w:val="Special Bold"/>
    <w:basedOn w:val="DefaultParagraphFont"/>
    <w:rsid w:val="005C51A5"/>
    <w:rPr>
      <w:b/>
      <w:spacing w:val="0"/>
    </w:rPr>
  </w:style>
  <w:style w:type="paragraph" w:styleId="ListBullet2">
    <w:name w:val="List Bullet 2"/>
    <w:basedOn w:val="List2"/>
    <w:rsid w:val="005C51A5"/>
    <w:pPr>
      <w:numPr>
        <w:numId w:val="13"/>
      </w:numPr>
      <w:tabs>
        <w:tab w:val="clear" w:pos="680"/>
      </w:tabs>
    </w:pPr>
  </w:style>
  <w:style w:type="paragraph" w:customStyle="1" w:styleId="SuperHeading">
    <w:name w:val="SuperHeading"/>
    <w:basedOn w:val="Normal"/>
    <w:rsid w:val="005C51A5"/>
    <w:pPr>
      <w:spacing w:before="240" w:after="120"/>
      <w:outlineLvl w:val="0"/>
    </w:pPr>
    <w:rPr>
      <w:rFonts w:ascii="Times New Roman" w:hAnsi="Times New Roman"/>
      <w:b/>
      <w:sz w:val="32"/>
    </w:rPr>
  </w:style>
  <w:style w:type="paragraph" w:customStyle="1" w:styleId="AllowPageBreak">
    <w:name w:val="AllowPageBreak"/>
    <w:rsid w:val="005C51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51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51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51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51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51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51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51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51A5"/>
    <w:rPr>
      <w:rFonts w:ascii="Courier New" w:eastAsia="Times New Roman" w:hAnsi="Courier New" w:cs="Times New Roman"/>
      <w:i/>
      <w:szCs w:val="20"/>
      <w:lang w:eastAsia="en-US"/>
    </w:rPr>
  </w:style>
  <w:style w:type="paragraph" w:customStyle="1" w:styleId="HeadingBase">
    <w:name w:val="Heading Base"/>
    <w:rsid w:val="005C51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51A5"/>
    <w:pPr>
      <w:tabs>
        <w:tab w:val="right" w:leader="dot" w:pos="9072"/>
      </w:tabs>
      <w:ind w:left="567"/>
    </w:pPr>
    <w:rPr>
      <w:szCs w:val="22"/>
    </w:rPr>
  </w:style>
  <w:style w:type="paragraph" w:customStyle="1" w:styleId="TOCBase">
    <w:name w:val="TOC Base"/>
    <w:rsid w:val="005C51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51A5"/>
    <w:pPr>
      <w:tabs>
        <w:tab w:val="right" w:leader="dot" w:pos="9072"/>
      </w:tabs>
      <w:spacing w:before="40" w:after="40"/>
      <w:ind w:left="284"/>
    </w:pPr>
    <w:rPr>
      <w:rFonts w:ascii="Times New Roman" w:hAnsi="Times New Roman"/>
    </w:rPr>
  </w:style>
  <w:style w:type="paragraph" w:styleId="TOC1">
    <w:name w:val="toc 1"/>
    <w:basedOn w:val="TOCBase"/>
    <w:next w:val="Normal"/>
    <w:rsid w:val="005C51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51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51A5"/>
    <w:rPr>
      <w:rFonts w:ascii="Times New Roman" w:eastAsia="Times New Roman" w:hAnsi="Times New Roman" w:cs="Times New Roman"/>
      <w:sz w:val="16"/>
      <w:lang w:eastAsia="en-US"/>
    </w:rPr>
  </w:style>
  <w:style w:type="paragraph" w:styleId="Title">
    <w:name w:val="Title"/>
    <w:basedOn w:val="HeadingBase"/>
    <w:link w:val="TitleChar"/>
    <w:qFormat/>
    <w:rsid w:val="005C51A5"/>
    <w:pPr>
      <w:spacing w:before="5040"/>
      <w:jc w:val="center"/>
    </w:pPr>
    <w:rPr>
      <w:sz w:val="48"/>
      <w:szCs w:val="72"/>
      <w:lang w:val="en-US"/>
    </w:rPr>
  </w:style>
  <w:style w:type="character" w:customStyle="1" w:styleId="TitleChar">
    <w:name w:val="Title Char"/>
    <w:basedOn w:val="DefaultParagraphFont"/>
    <w:link w:val="Title"/>
    <w:rsid w:val="005C51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51A5"/>
    <w:pPr>
      <w:tabs>
        <w:tab w:val="left" w:pos="3600"/>
        <w:tab w:val="left" w:pos="3958"/>
      </w:tabs>
    </w:pPr>
  </w:style>
  <w:style w:type="paragraph" w:styleId="List">
    <w:name w:val="List"/>
    <w:basedOn w:val="BodyText"/>
    <w:next w:val="BodyText"/>
    <w:rsid w:val="005C51A5"/>
    <w:pPr>
      <w:tabs>
        <w:tab w:val="left" w:pos="340"/>
      </w:tabs>
      <w:spacing w:before="60" w:after="60"/>
      <w:ind w:left="340" w:hanging="340"/>
    </w:pPr>
  </w:style>
  <w:style w:type="paragraph" w:customStyle="1" w:styleId="Note">
    <w:name w:val="Note"/>
    <w:basedOn w:val="BodyText"/>
    <w:rsid w:val="005C51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51A5"/>
    <w:pPr>
      <w:framePr w:wrap="auto" w:hAnchor="text" w:y="6049"/>
    </w:pPr>
    <w:rPr>
      <w:color w:val="000000"/>
      <w:sz w:val="40"/>
    </w:rPr>
  </w:style>
  <w:style w:type="paragraph" w:customStyle="1" w:styleId="TOCTitle">
    <w:name w:val="TOCTitle"/>
    <w:basedOn w:val="Heading1"/>
    <w:rsid w:val="005C51A5"/>
    <w:pPr>
      <w:spacing w:after="240"/>
      <w:jc w:val="center"/>
      <w:outlineLvl w:val="9"/>
    </w:pPr>
    <w:rPr>
      <w:caps/>
    </w:rPr>
  </w:style>
  <w:style w:type="paragraph" w:customStyle="1" w:styleId="Version">
    <w:name w:val="Version"/>
    <w:rsid w:val="005C51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51A5"/>
    <w:pPr>
      <w:keepNext w:val="0"/>
      <w:tabs>
        <w:tab w:val="right" w:pos="4176"/>
      </w:tabs>
      <w:ind w:left="198" w:hanging="198"/>
    </w:pPr>
    <w:rPr>
      <w:rFonts w:ascii="Garamond" w:hAnsi="Garamond"/>
    </w:rPr>
  </w:style>
  <w:style w:type="paragraph" w:styleId="IndexHeading">
    <w:name w:val="index heading"/>
    <w:basedOn w:val="Normal"/>
    <w:next w:val="Index1"/>
    <w:semiHidden/>
    <w:rsid w:val="005C51A5"/>
    <w:pPr>
      <w:spacing w:before="120" w:after="120"/>
    </w:pPr>
    <w:rPr>
      <w:rFonts w:ascii="Arial" w:hAnsi="Arial"/>
      <w:b/>
      <w:color w:val="918585"/>
      <w:sz w:val="24"/>
    </w:rPr>
  </w:style>
  <w:style w:type="paragraph" w:styleId="Header">
    <w:name w:val="header"/>
    <w:basedOn w:val="Normal"/>
    <w:link w:val="HeaderChar"/>
    <w:rsid w:val="005C51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51A5"/>
    <w:rPr>
      <w:rFonts w:ascii="Times New Roman" w:eastAsia="Times New Roman" w:hAnsi="Times New Roman" w:cs="Times New Roman"/>
      <w:sz w:val="16"/>
      <w:szCs w:val="20"/>
      <w:lang w:val="en-GB" w:eastAsia="en-US"/>
    </w:rPr>
  </w:style>
  <w:style w:type="paragraph" w:customStyle="1" w:styleId="Chapter">
    <w:name w:val="Chapter"/>
    <w:basedOn w:val="Normal"/>
    <w:rsid w:val="005C51A5"/>
    <w:pPr>
      <w:spacing w:before="240"/>
    </w:pPr>
    <w:rPr>
      <w:rFonts w:ascii="Times New Roman" w:hAnsi="Times New Roman"/>
      <w:smallCaps/>
      <w:spacing w:val="80"/>
      <w:sz w:val="28"/>
    </w:rPr>
  </w:style>
  <w:style w:type="paragraph" w:customStyle="1" w:styleId="InChapter">
    <w:name w:val="InChapter"/>
    <w:basedOn w:val="Heading3"/>
    <w:rsid w:val="005C51A5"/>
    <w:pPr>
      <w:spacing w:after="240"/>
      <w:outlineLvl w:val="9"/>
    </w:pPr>
    <w:rPr>
      <w:noProof/>
    </w:rPr>
  </w:style>
  <w:style w:type="paragraph" w:styleId="Index2">
    <w:name w:val="index 2"/>
    <w:basedOn w:val="Normal"/>
    <w:next w:val="Normal"/>
    <w:semiHidden/>
    <w:rsid w:val="005C51A5"/>
    <w:pPr>
      <w:tabs>
        <w:tab w:val="right" w:pos="4176"/>
      </w:tabs>
      <w:ind w:left="568" w:hanging="284"/>
    </w:pPr>
    <w:rPr>
      <w:rFonts w:ascii="Garamond" w:hAnsi="Garamond"/>
    </w:rPr>
  </w:style>
  <w:style w:type="paragraph" w:customStyle="1" w:styleId="Byline">
    <w:name w:val="Byline"/>
    <w:rsid w:val="005C51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51A5"/>
    <w:pPr>
      <w:tabs>
        <w:tab w:val="clear" w:pos="3600"/>
        <w:tab w:val="clear" w:pos="3958"/>
      </w:tabs>
      <w:jc w:val="right"/>
    </w:pPr>
  </w:style>
  <w:style w:type="character" w:styleId="Emphasis">
    <w:name w:val="Emphasis"/>
    <w:basedOn w:val="DefaultParagraphFont"/>
    <w:qFormat/>
    <w:rsid w:val="005C51A5"/>
    <w:rPr>
      <w:i/>
    </w:rPr>
  </w:style>
  <w:style w:type="paragraph" w:styleId="Caption">
    <w:name w:val="caption"/>
    <w:basedOn w:val="BodyText"/>
    <w:next w:val="Normal"/>
    <w:qFormat/>
    <w:rsid w:val="005C51A5"/>
    <w:pPr>
      <w:framePr w:w="2268" w:hSpace="181" w:vSpace="181" w:wrap="around" w:vAnchor="text" w:hAnchor="page" w:x="1135" w:y="285" w:anchorLock="1"/>
    </w:pPr>
    <w:rPr>
      <w:i/>
    </w:rPr>
  </w:style>
  <w:style w:type="paragraph" w:customStyle="1" w:styleId="MiniTOCTitle">
    <w:name w:val="MiniTOCTitle"/>
    <w:basedOn w:val="Heading4"/>
    <w:rsid w:val="005C51A5"/>
    <w:pPr>
      <w:spacing w:before="240"/>
      <w:outlineLvl w:val="9"/>
    </w:pPr>
    <w:rPr>
      <w:noProof/>
      <w:sz w:val="24"/>
    </w:rPr>
  </w:style>
  <w:style w:type="paragraph" w:customStyle="1" w:styleId="MiniTOCItem">
    <w:name w:val="MiniTOCItem"/>
    <w:basedOn w:val="ListBullet"/>
    <w:rsid w:val="005C51A5"/>
    <w:pPr>
      <w:numPr>
        <w:numId w:val="0"/>
      </w:numPr>
      <w:tabs>
        <w:tab w:val="right" w:leader="dot" w:pos="6521"/>
      </w:tabs>
      <w:spacing w:before="0" w:after="0"/>
    </w:pPr>
  </w:style>
  <w:style w:type="paragraph" w:customStyle="1" w:styleId="TOFTitle">
    <w:name w:val="TOFTitle"/>
    <w:basedOn w:val="TOCTitle"/>
    <w:rsid w:val="005C51A5"/>
  </w:style>
  <w:style w:type="paragraph" w:styleId="TableofFigures">
    <w:name w:val="table of figures"/>
    <w:basedOn w:val="Normal"/>
    <w:next w:val="Normal"/>
    <w:semiHidden/>
    <w:rsid w:val="005C51A5"/>
    <w:pPr>
      <w:tabs>
        <w:tab w:val="right" w:leader="dot" w:pos="9072"/>
      </w:tabs>
      <w:ind w:left="970" w:hanging="403"/>
    </w:pPr>
    <w:rPr>
      <w:rFonts w:ascii="Times New Roman" w:hAnsi="Times New Roman"/>
      <w:b/>
    </w:rPr>
  </w:style>
  <w:style w:type="paragraph" w:styleId="ListNumber">
    <w:name w:val="List Number"/>
    <w:basedOn w:val="List"/>
    <w:rsid w:val="005C51A5"/>
    <w:pPr>
      <w:numPr>
        <w:numId w:val="15"/>
      </w:numPr>
      <w:tabs>
        <w:tab w:val="clear" w:pos="340"/>
      </w:tabs>
    </w:pPr>
  </w:style>
  <w:style w:type="character" w:customStyle="1" w:styleId="WingdingSymbols">
    <w:name w:val="Wingding Symbols"/>
    <w:rsid w:val="005C51A5"/>
    <w:rPr>
      <w:rFonts w:ascii="Wingdings" w:hAnsi="Wingdings"/>
    </w:rPr>
  </w:style>
  <w:style w:type="paragraph" w:customStyle="1" w:styleId="TableHeading">
    <w:name w:val="Table Heading"/>
    <w:basedOn w:val="HeadingBase"/>
    <w:rsid w:val="005C51A5"/>
    <w:pPr>
      <w:keepLines/>
      <w:pBdr>
        <w:bottom w:val="single" w:sz="6" w:space="1" w:color="918585"/>
      </w:pBdr>
      <w:spacing w:before="240"/>
    </w:pPr>
  </w:style>
  <w:style w:type="character" w:customStyle="1" w:styleId="HotSpot">
    <w:name w:val="HotSpot"/>
    <w:rsid w:val="005C51A5"/>
    <w:rPr>
      <w:color w:val="0033CC"/>
      <w:u w:val="none"/>
    </w:rPr>
  </w:style>
  <w:style w:type="paragraph" w:customStyle="1" w:styleId="BodyTextRight">
    <w:name w:val="Body Text Right"/>
    <w:basedOn w:val="BodyText"/>
    <w:rsid w:val="005C51A5"/>
    <w:pPr>
      <w:spacing w:before="0" w:after="0"/>
      <w:jc w:val="right"/>
    </w:pPr>
  </w:style>
  <w:style w:type="paragraph" w:styleId="Index3">
    <w:name w:val="index 3"/>
    <w:basedOn w:val="ListNumber2"/>
    <w:next w:val="Normal"/>
    <w:semiHidden/>
    <w:rsid w:val="005C51A5"/>
    <w:pPr>
      <w:numPr>
        <w:numId w:val="0"/>
      </w:numPr>
      <w:tabs>
        <w:tab w:val="right" w:leader="dot" w:pos="4176"/>
      </w:tabs>
    </w:pPr>
  </w:style>
  <w:style w:type="paragraph" w:styleId="ListNumber2">
    <w:name w:val="List Number 2"/>
    <w:basedOn w:val="List2"/>
    <w:rsid w:val="005C51A5"/>
    <w:pPr>
      <w:numPr>
        <w:numId w:val="10"/>
      </w:numPr>
      <w:tabs>
        <w:tab w:val="clear" w:pos="1060"/>
      </w:tabs>
    </w:pPr>
  </w:style>
  <w:style w:type="paragraph" w:customStyle="1" w:styleId="MarginNote">
    <w:name w:val="Margin Note"/>
    <w:basedOn w:val="BodyText"/>
    <w:rsid w:val="005C51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51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51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51A5"/>
    <w:rPr>
      <w:sz w:val="32"/>
    </w:rPr>
  </w:style>
  <w:style w:type="paragraph" w:customStyle="1" w:styleId="HeadingProcedure">
    <w:name w:val="Heading Procedure"/>
    <w:basedOn w:val="HeadingBase"/>
    <w:next w:val="Normal"/>
    <w:rsid w:val="005C51A5"/>
    <w:pPr>
      <w:tabs>
        <w:tab w:val="left" w:pos="0"/>
      </w:tabs>
      <w:spacing w:before="120" w:after="60"/>
    </w:pPr>
    <w:rPr>
      <w:i/>
      <w:color w:val="918585"/>
      <w:sz w:val="22"/>
    </w:rPr>
  </w:style>
  <w:style w:type="paragraph" w:customStyle="1" w:styleId="TableBodyText">
    <w:name w:val="Table Body Text"/>
    <w:basedOn w:val="BodyText"/>
    <w:rsid w:val="005C51A5"/>
    <w:pPr>
      <w:spacing w:before="60" w:after="60"/>
    </w:pPr>
  </w:style>
  <w:style w:type="paragraph" w:styleId="ListContinue">
    <w:name w:val="List Continue"/>
    <w:basedOn w:val="List"/>
    <w:rsid w:val="005C51A5"/>
    <w:pPr>
      <w:ind w:firstLine="0"/>
    </w:pPr>
  </w:style>
  <w:style w:type="paragraph" w:customStyle="1" w:styleId="ListNote">
    <w:name w:val="List Note"/>
    <w:basedOn w:val="List"/>
    <w:rsid w:val="005C51A5"/>
    <w:pPr>
      <w:pBdr>
        <w:top w:val="single" w:sz="6" w:space="2" w:color="918585"/>
        <w:bottom w:val="single" w:sz="6" w:space="2" w:color="918585"/>
      </w:pBdr>
      <w:tabs>
        <w:tab w:val="left" w:pos="1021"/>
      </w:tabs>
      <w:ind w:firstLine="0"/>
    </w:pPr>
  </w:style>
  <w:style w:type="paragraph" w:customStyle="1" w:styleId="Warning">
    <w:name w:val="Warning"/>
    <w:basedOn w:val="BodyText"/>
    <w:rsid w:val="005C51A5"/>
    <w:pPr>
      <w:shd w:val="clear" w:color="auto" w:fill="D9D9D9"/>
      <w:tabs>
        <w:tab w:val="left" w:pos="992"/>
      </w:tabs>
      <w:ind w:left="119" w:right="119"/>
    </w:pPr>
    <w:rPr>
      <w:sz w:val="20"/>
    </w:rPr>
  </w:style>
  <w:style w:type="paragraph" w:customStyle="1" w:styleId="MarginIcons">
    <w:name w:val="Margin Icons"/>
    <w:basedOn w:val="BodyText"/>
    <w:rsid w:val="005C51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51A5"/>
    <w:rPr>
      <w:rFonts w:ascii="Courier New" w:hAnsi="Courier New"/>
    </w:rPr>
  </w:style>
  <w:style w:type="paragraph" w:customStyle="1" w:styleId="NoteBullet">
    <w:name w:val="Note Bullet"/>
    <w:basedOn w:val="Note"/>
    <w:rsid w:val="005C51A5"/>
    <w:pPr>
      <w:tabs>
        <w:tab w:val="clear" w:pos="680"/>
      </w:tabs>
      <w:spacing w:before="60" w:after="60"/>
    </w:pPr>
  </w:style>
  <w:style w:type="paragraph" w:customStyle="1" w:styleId="SubHeading2">
    <w:name w:val="SubHeading2"/>
    <w:basedOn w:val="HeadingBase"/>
    <w:rsid w:val="005C51A5"/>
    <w:pPr>
      <w:spacing w:before="240" w:after="60"/>
    </w:pPr>
    <w:rPr>
      <w:sz w:val="20"/>
    </w:rPr>
  </w:style>
  <w:style w:type="paragraph" w:customStyle="1" w:styleId="SubHeading1">
    <w:name w:val="SubHeading1"/>
    <w:basedOn w:val="HeadingBase"/>
    <w:rsid w:val="005C51A5"/>
    <w:pPr>
      <w:spacing w:before="240" w:after="60"/>
    </w:pPr>
    <w:rPr>
      <w:color w:val="918585"/>
      <w:sz w:val="22"/>
    </w:rPr>
  </w:style>
  <w:style w:type="paragraph" w:customStyle="1" w:styleId="SideHeading">
    <w:name w:val="Side Heading"/>
    <w:basedOn w:val="HeadingBase"/>
    <w:rsid w:val="005C51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51A5"/>
    <w:pPr>
      <w:tabs>
        <w:tab w:val="num" w:pos="360"/>
      </w:tabs>
    </w:pPr>
  </w:style>
  <w:style w:type="paragraph" w:styleId="PlainText">
    <w:name w:val="Plain Text"/>
    <w:basedOn w:val="Normal"/>
    <w:link w:val="PlainTextChar"/>
    <w:rsid w:val="005C51A5"/>
    <w:rPr>
      <w:sz w:val="20"/>
    </w:rPr>
  </w:style>
  <w:style w:type="character" w:customStyle="1" w:styleId="PlainTextChar">
    <w:name w:val="Plain Text Char"/>
    <w:basedOn w:val="DefaultParagraphFont"/>
    <w:link w:val="PlainText"/>
    <w:rsid w:val="005C51A5"/>
    <w:rPr>
      <w:rFonts w:ascii="Courier New" w:eastAsia="Times New Roman" w:hAnsi="Courier New" w:cs="Times New Roman"/>
      <w:sz w:val="20"/>
      <w:szCs w:val="20"/>
      <w:lang w:eastAsia="en-US"/>
    </w:rPr>
  </w:style>
  <w:style w:type="character" w:customStyle="1" w:styleId="MenuOption">
    <w:name w:val="Menu Option"/>
    <w:basedOn w:val="DefaultParagraphFont"/>
    <w:rsid w:val="005C51A5"/>
    <w:rPr>
      <w:b/>
      <w:smallCaps/>
    </w:rPr>
  </w:style>
  <w:style w:type="paragraph" w:customStyle="1" w:styleId="TableListNumber">
    <w:name w:val="Table List Number"/>
    <w:basedOn w:val="ListNumber"/>
    <w:rsid w:val="005C51A5"/>
    <w:pPr>
      <w:numPr>
        <w:numId w:val="0"/>
      </w:numPr>
    </w:pPr>
  </w:style>
  <w:style w:type="paragraph" w:styleId="TOC4">
    <w:name w:val="toc 4"/>
    <w:basedOn w:val="TOCBase"/>
    <w:next w:val="Normal"/>
    <w:semiHidden/>
    <w:rsid w:val="005C51A5"/>
    <w:pPr>
      <w:tabs>
        <w:tab w:val="right" w:leader="dot" w:pos="9071"/>
      </w:tabs>
      <w:ind w:left="1701"/>
    </w:pPr>
  </w:style>
  <w:style w:type="paragraph" w:customStyle="1" w:styleId="ListAlpha">
    <w:name w:val="List Alpha"/>
    <w:basedOn w:val="List"/>
    <w:rsid w:val="005C51A5"/>
    <w:pPr>
      <w:numPr>
        <w:numId w:val="9"/>
      </w:numPr>
    </w:pPr>
  </w:style>
  <w:style w:type="paragraph" w:customStyle="1" w:styleId="ListAlpha2">
    <w:name w:val="List Alpha 2"/>
    <w:basedOn w:val="List2"/>
    <w:rsid w:val="005C51A5"/>
    <w:pPr>
      <w:numPr>
        <w:numId w:val="8"/>
      </w:numPr>
    </w:pPr>
  </w:style>
  <w:style w:type="paragraph" w:styleId="List2">
    <w:name w:val="List 2"/>
    <w:basedOn w:val="BodyText"/>
    <w:rsid w:val="005C51A5"/>
    <w:pPr>
      <w:tabs>
        <w:tab w:val="left" w:pos="680"/>
      </w:tabs>
      <w:spacing w:before="60" w:after="60"/>
      <w:ind w:left="680" w:hanging="340"/>
    </w:pPr>
  </w:style>
  <w:style w:type="paragraph" w:styleId="List3">
    <w:name w:val="List 3"/>
    <w:basedOn w:val="BodyText"/>
    <w:rsid w:val="005C51A5"/>
    <w:pPr>
      <w:tabs>
        <w:tab w:val="left" w:pos="1021"/>
      </w:tabs>
      <w:spacing w:before="60" w:after="60"/>
      <w:ind w:left="1020" w:hanging="340"/>
    </w:pPr>
  </w:style>
  <w:style w:type="paragraph" w:styleId="List4">
    <w:name w:val="List 4"/>
    <w:basedOn w:val="BodyText"/>
    <w:rsid w:val="005C51A5"/>
    <w:pPr>
      <w:tabs>
        <w:tab w:val="left" w:pos="1361"/>
      </w:tabs>
      <w:spacing w:before="60" w:after="60"/>
      <w:ind w:left="1361" w:hanging="340"/>
    </w:pPr>
  </w:style>
  <w:style w:type="paragraph" w:styleId="List5">
    <w:name w:val="List 5"/>
    <w:basedOn w:val="BodyText"/>
    <w:rsid w:val="005C51A5"/>
    <w:pPr>
      <w:tabs>
        <w:tab w:val="left" w:pos="1701"/>
      </w:tabs>
      <w:spacing w:before="60" w:after="60"/>
      <w:ind w:left="1701" w:hanging="340"/>
    </w:pPr>
  </w:style>
  <w:style w:type="paragraph" w:styleId="ListBullet3">
    <w:name w:val="List Bullet 3"/>
    <w:basedOn w:val="List3"/>
    <w:rsid w:val="005C51A5"/>
    <w:pPr>
      <w:numPr>
        <w:numId w:val="14"/>
      </w:numPr>
      <w:tabs>
        <w:tab w:val="clear" w:pos="1021"/>
      </w:tabs>
      <w:ind w:left="1037" w:hanging="357"/>
    </w:pPr>
  </w:style>
  <w:style w:type="paragraph" w:styleId="ListBullet4">
    <w:name w:val="List Bullet 4"/>
    <w:basedOn w:val="List4"/>
    <w:rsid w:val="005C51A5"/>
    <w:pPr>
      <w:numPr>
        <w:numId w:val="3"/>
      </w:numPr>
      <w:tabs>
        <w:tab w:val="clear" w:pos="1361"/>
      </w:tabs>
    </w:pPr>
  </w:style>
  <w:style w:type="paragraph" w:styleId="ListBullet5">
    <w:name w:val="List Bullet 5"/>
    <w:basedOn w:val="List5"/>
    <w:rsid w:val="005C51A5"/>
    <w:pPr>
      <w:numPr>
        <w:numId w:val="4"/>
      </w:numPr>
    </w:pPr>
  </w:style>
  <w:style w:type="paragraph" w:styleId="ListContinue2">
    <w:name w:val="List Continue 2"/>
    <w:basedOn w:val="List2"/>
    <w:rsid w:val="005C51A5"/>
    <w:pPr>
      <w:ind w:firstLine="0"/>
    </w:pPr>
  </w:style>
  <w:style w:type="paragraph" w:styleId="ListContinue3">
    <w:name w:val="List Continue 3"/>
    <w:basedOn w:val="List3"/>
    <w:rsid w:val="005C51A5"/>
    <w:pPr>
      <w:ind w:left="1021" w:firstLine="0"/>
    </w:pPr>
  </w:style>
  <w:style w:type="paragraph" w:styleId="ListContinue4">
    <w:name w:val="List Continue 4"/>
    <w:basedOn w:val="List4"/>
    <w:rsid w:val="005C51A5"/>
    <w:pPr>
      <w:ind w:firstLine="0"/>
    </w:pPr>
  </w:style>
  <w:style w:type="paragraph" w:styleId="ListContinue5">
    <w:name w:val="List Continue 5"/>
    <w:basedOn w:val="List5"/>
    <w:rsid w:val="005C51A5"/>
    <w:pPr>
      <w:ind w:firstLine="0"/>
    </w:pPr>
  </w:style>
  <w:style w:type="paragraph" w:styleId="ListNumber3">
    <w:name w:val="List Number 3"/>
    <w:basedOn w:val="List3"/>
    <w:rsid w:val="005C51A5"/>
    <w:pPr>
      <w:numPr>
        <w:numId w:val="5"/>
      </w:numPr>
    </w:pPr>
  </w:style>
  <w:style w:type="paragraph" w:styleId="ListNumber4">
    <w:name w:val="List Number 4"/>
    <w:basedOn w:val="List4"/>
    <w:rsid w:val="005C51A5"/>
    <w:pPr>
      <w:numPr>
        <w:numId w:val="6"/>
      </w:numPr>
    </w:pPr>
  </w:style>
  <w:style w:type="paragraph" w:styleId="ListNumber5">
    <w:name w:val="List Number 5"/>
    <w:basedOn w:val="List5"/>
    <w:rsid w:val="005C51A5"/>
    <w:pPr>
      <w:numPr>
        <w:numId w:val="7"/>
      </w:numPr>
    </w:pPr>
  </w:style>
  <w:style w:type="paragraph" w:styleId="BlockText">
    <w:name w:val="Block Text"/>
    <w:basedOn w:val="Normal"/>
    <w:rsid w:val="005C51A5"/>
    <w:pPr>
      <w:spacing w:after="120"/>
      <w:ind w:left="1440" w:right="1440"/>
    </w:pPr>
  </w:style>
  <w:style w:type="character" w:customStyle="1" w:styleId="Subscript">
    <w:name w:val="Subscript"/>
    <w:basedOn w:val="DefaultParagraphFont"/>
    <w:rsid w:val="005C51A5"/>
    <w:rPr>
      <w:sz w:val="16"/>
      <w:vertAlign w:val="subscript"/>
    </w:rPr>
  </w:style>
  <w:style w:type="character" w:customStyle="1" w:styleId="Superscript">
    <w:name w:val="Superscript"/>
    <w:basedOn w:val="DefaultParagraphFont"/>
    <w:rsid w:val="005C51A5"/>
    <w:rPr>
      <w:sz w:val="16"/>
      <w:vertAlign w:val="superscript"/>
    </w:rPr>
  </w:style>
  <w:style w:type="character" w:customStyle="1" w:styleId="Symbols">
    <w:name w:val="Symbols"/>
    <w:basedOn w:val="DefaultParagraphFont"/>
    <w:rsid w:val="005C51A5"/>
    <w:rPr>
      <w:rFonts w:ascii="Symbol" w:hAnsi="Symbol"/>
    </w:rPr>
  </w:style>
  <w:style w:type="character" w:customStyle="1" w:styleId="MenuOptions">
    <w:name w:val="Menu Options"/>
    <w:basedOn w:val="DefaultParagraphFont"/>
    <w:rsid w:val="005C51A5"/>
    <w:rPr>
      <w:rFonts w:ascii="Arial Narrow" w:hAnsi="Arial Narrow"/>
      <w:smallCaps/>
    </w:rPr>
  </w:style>
  <w:style w:type="character" w:customStyle="1" w:styleId="Buttons">
    <w:name w:val="Buttons"/>
    <w:basedOn w:val="DefaultParagraphFont"/>
    <w:rsid w:val="005C51A5"/>
    <w:rPr>
      <w:b/>
    </w:rPr>
  </w:style>
  <w:style w:type="character" w:customStyle="1" w:styleId="Underlined">
    <w:name w:val="Underlined"/>
    <w:basedOn w:val="DefaultParagraphFont"/>
    <w:rsid w:val="005C51A5"/>
    <w:rPr>
      <w:u w:val="single"/>
    </w:rPr>
  </w:style>
  <w:style w:type="paragraph" w:customStyle="1" w:styleId="TableBodyTextRight">
    <w:name w:val="Table Body Text Right"/>
    <w:basedOn w:val="TableBodyText"/>
    <w:rsid w:val="005C51A5"/>
    <w:pPr>
      <w:widowControl w:val="0"/>
      <w:autoSpaceDE w:val="0"/>
      <w:autoSpaceDN w:val="0"/>
      <w:adjustRightInd w:val="0"/>
      <w:jc w:val="right"/>
    </w:pPr>
    <w:rPr>
      <w:rFonts w:cs="Arial"/>
      <w:szCs w:val="18"/>
    </w:rPr>
  </w:style>
  <w:style w:type="paragraph" w:customStyle="1" w:styleId="CopyrightText">
    <w:name w:val="Copyright Text"/>
    <w:basedOn w:val="BodyText"/>
    <w:rsid w:val="005C51A5"/>
    <w:rPr>
      <w:sz w:val="18"/>
    </w:rPr>
  </w:style>
  <w:style w:type="paragraph" w:customStyle="1" w:styleId="BodySmallRight">
    <w:name w:val="Body Small Right"/>
    <w:basedOn w:val="BodyTextRight"/>
    <w:rsid w:val="005C51A5"/>
    <w:rPr>
      <w:sz w:val="18"/>
      <w:szCs w:val="18"/>
    </w:rPr>
  </w:style>
  <w:style w:type="paragraph" w:customStyle="1" w:styleId="MarginEdition">
    <w:name w:val="Margin Edition"/>
    <w:basedOn w:val="MarginNote"/>
    <w:rsid w:val="005C51A5"/>
    <w:pPr>
      <w:spacing w:before="0" w:after="0"/>
    </w:pPr>
    <w:rPr>
      <w:rFonts w:ascii="Times New Roman" w:hAnsi="Times New Roman"/>
      <w:color w:val="999999"/>
    </w:rPr>
  </w:style>
  <w:style w:type="paragraph" w:customStyle="1" w:styleId="Spacer">
    <w:name w:val="Spacer"/>
    <w:basedOn w:val="Normal"/>
    <w:rsid w:val="005C51A5"/>
    <w:rPr>
      <w:sz w:val="2"/>
      <w:szCs w:val="2"/>
    </w:rPr>
  </w:style>
  <w:style w:type="character" w:customStyle="1" w:styleId="Small">
    <w:name w:val="Small"/>
    <w:basedOn w:val="DefaultParagraphFont"/>
    <w:rsid w:val="005C51A5"/>
    <w:rPr>
      <w:sz w:val="16"/>
    </w:rPr>
  </w:style>
  <w:style w:type="paragraph" w:customStyle="1" w:styleId="WideTable">
    <w:name w:val="Wide Table"/>
    <w:basedOn w:val="Normal"/>
    <w:rsid w:val="005C51A5"/>
    <w:pPr>
      <w:ind w:left="-1418"/>
    </w:pPr>
    <w:rPr>
      <w:sz w:val="2"/>
      <w:szCs w:val="2"/>
    </w:rPr>
  </w:style>
  <w:style w:type="character" w:styleId="PageNumber">
    <w:name w:val="page number"/>
    <w:basedOn w:val="DefaultParagraphFont"/>
    <w:rsid w:val="005C51A5"/>
  </w:style>
  <w:style w:type="paragraph" w:styleId="Quote">
    <w:name w:val="Quote"/>
    <w:basedOn w:val="Heading1"/>
    <w:link w:val="QuoteChar"/>
    <w:qFormat/>
    <w:rsid w:val="005C51A5"/>
    <w:rPr>
      <w:b w:val="0"/>
      <w:sz w:val="72"/>
      <w:szCs w:val="72"/>
      <w:lang w:val="en-NZ"/>
    </w:rPr>
  </w:style>
  <w:style w:type="character" w:customStyle="1" w:styleId="QuoteChar">
    <w:name w:val="Quote Char"/>
    <w:basedOn w:val="DefaultParagraphFont"/>
    <w:link w:val="Quote"/>
    <w:rsid w:val="005C51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51A5"/>
    <w:pPr>
      <w:pageBreakBefore/>
    </w:pPr>
  </w:style>
  <w:style w:type="paragraph" w:customStyle="1" w:styleId="Border">
    <w:name w:val="Border"/>
    <w:basedOn w:val="Normal"/>
    <w:qFormat/>
    <w:rsid w:val="005C51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51A5"/>
    <w:rPr>
      <w:b/>
      <w:bCs/>
      <w:i/>
      <w:iCs/>
      <w:color w:val="auto"/>
    </w:rPr>
  </w:style>
  <w:style w:type="paragraph" w:styleId="IntenseQuote">
    <w:name w:val="Intense Quote"/>
    <w:basedOn w:val="Normal"/>
    <w:next w:val="Normal"/>
    <w:link w:val="IntenseQuoteChar"/>
    <w:uiPriority w:val="30"/>
    <w:qFormat/>
    <w:rsid w:val="005C51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51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51A5"/>
    <w:rPr>
      <w:smallCaps/>
      <w:color w:val="auto"/>
      <w:u w:val="single"/>
    </w:rPr>
  </w:style>
  <w:style w:type="character" w:styleId="IntenseReference">
    <w:name w:val="Intense Reference"/>
    <w:basedOn w:val="DefaultParagraphFont"/>
    <w:uiPriority w:val="32"/>
    <w:qFormat/>
    <w:rsid w:val="005C51A5"/>
    <w:rPr>
      <w:b/>
      <w:bCs/>
      <w:smallCaps/>
      <w:color w:val="auto"/>
      <w:spacing w:val="5"/>
      <w:u w:val="single"/>
    </w:rPr>
  </w:style>
  <w:style w:type="paragraph" w:customStyle="1" w:styleId="2ColumnHeading">
    <w:name w:val="2Column Heading"/>
    <w:basedOn w:val="BodyText"/>
    <w:qFormat/>
    <w:rsid w:val="005C51A5"/>
    <w:pPr>
      <w:spacing w:after="60"/>
      <w:ind w:left="-2268"/>
    </w:pPr>
    <w:rPr>
      <w:b/>
    </w:rPr>
  </w:style>
  <w:style w:type="paragraph" w:customStyle="1" w:styleId="Heading1TOC">
    <w:name w:val="Heading1 TOC"/>
    <w:basedOn w:val="Normal"/>
    <w:qFormat/>
    <w:rsid w:val="005C51A5"/>
    <w:pPr>
      <w:spacing w:before="240" w:after="120"/>
    </w:pPr>
    <w:rPr>
      <w:rFonts w:ascii="Times New Roman" w:hAnsi="Times New Roman"/>
      <w:b/>
      <w:sz w:val="32"/>
    </w:rPr>
  </w:style>
  <w:style w:type="paragraph" w:customStyle="1" w:styleId="Heading2TOC">
    <w:name w:val="Heading2 TOC"/>
    <w:basedOn w:val="Normal"/>
    <w:qFormat/>
    <w:rsid w:val="005C51A5"/>
    <w:pPr>
      <w:spacing w:before="240" w:after="60"/>
    </w:pPr>
    <w:rPr>
      <w:rFonts w:ascii="Times New Roman" w:hAnsi="Times New Roman"/>
      <w:b/>
      <w:sz w:val="28"/>
    </w:rPr>
  </w:style>
  <w:style w:type="character" w:customStyle="1" w:styleId="Underline">
    <w:name w:val="Underline"/>
    <w:basedOn w:val="DefaultParagraphFont"/>
    <w:qFormat/>
    <w:rsid w:val="005C51A5"/>
    <w:rPr>
      <w:u w:val="single"/>
    </w:rPr>
  </w:style>
  <w:style w:type="character" w:customStyle="1" w:styleId="BoldandItalics">
    <w:name w:val="Bold and Italics"/>
    <w:qFormat/>
    <w:rsid w:val="005C51A5"/>
    <w:rPr>
      <w:b/>
      <w:i/>
      <w:u w:val="none"/>
    </w:rPr>
  </w:style>
  <w:style w:type="paragraph" w:styleId="BalloonText">
    <w:name w:val="Balloon Text"/>
    <w:basedOn w:val="Normal"/>
    <w:link w:val="BalloonTextChar"/>
    <w:rsid w:val="005C51A5"/>
    <w:rPr>
      <w:rFonts w:ascii="Tahoma" w:hAnsi="Tahoma" w:cs="Tahoma"/>
      <w:sz w:val="16"/>
      <w:szCs w:val="16"/>
    </w:rPr>
  </w:style>
  <w:style w:type="character" w:customStyle="1" w:styleId="BalloonTextChar">
    <w:name w:val="Balloon Text Char"/>
    <w:basedOn w:val="DefaultParagraphFont"/>
    <w:link w:val="BalloonText"/>
    <w:rsid w:val="005C51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51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51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51A5"/>
    <w:rPr>
      <w:b/>
      <w:color w:val="660033"/>
      <w:spacing w:val="0"/>
    </w:rPr>
  </w:style>
  <w:style w:type="paragraph" w:customStyle="1" w:styleId="Nameditemlist">
    <w:name w:val="Named item list"/>
    <w:basedOn w:val="BodyText"/>
    <w:qFormat/>
    <w:rsid w:val="005C51A5"/>
    <w:pPr>
      <w:tabs>
        <w:tab w:val="left" w:pos="2835"/>
      </w:tabs>
      <w:ind w:left="2835" w:hanging="2835"/>
    </w:pPr>
  </w:style>
  <w:style w:type="paragraph" w:customStyle="1" w:styleId="BodyTextnopadding">
    <w:name w:val="Body Text no padding"/>
    <w:basedOn w:val="BodyText"/>
    <w:qFormat/>
    <w:rsid w:val="005C51A5"/>
    <w:pPr>
      <w:spacing w:before="0" w:after="0"/>
    </w:pPr>
  </w:style>
  <w:style w:type="paragraph" w:customStyle="1" w:styleId="BodyTextBold">
    <w:name w:val="Body Text Bold"/>
    <w:basedOn w:val="BodyText"/>
    <w:qFormat/>
    <w:rsid w:val="005C51A5"/>
    <w:rPr>
      <w:b/>
    </w:rPr>
  </w:style>
  <w:style w:type="character" w:styleId="Hyperlink">
    <w:name w:val="Hyperlink"/>
    <w:basedOn w:val="DefaultParagraphFont"/>
    <w:uiPriority w:val="99"/>
    <w:unhideWhenUsed/>
    <w:rsid w:val="001035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553</Words>
  <Characters>3617</Characters>
  <Application>Microsoft Office Word</Application>
  <DocSecurity>0</DocSecurity>
  <Lines>164</Lines>
  <Paragraphs>96</Paragraphs>
  <ScaleCrop>false</ScaleCrop>
  <Company>Author-it Software Corporation Ltd.</Company>
  <LinksUpToDate>false</LinksUpToDate>
  <CharactersWithSpaces>4074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MARC013 Operate auxiliary machinery systems up to 1500 kW</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2020-10-27T00:43:00Z</dcterms:created>
  <dcterms:modified xsi:type="dcterms:W3CDTF">2020-10-27T00:43:00Z</dcterms:modified>
</cp:coreProperties>
</file>