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3C49" w:rsidP="00B63C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MARC011 Manage a propulsion unit using appropriate engine systems and support services</w:t>
      </w:r>
      <w:r>
        <w:fldChar w:fldCharType="end"/>
      </w:r>
    </w:p>
    <w:p w:rsidR="00B63C49" w:rsidP="00B63C49">
      <w:pPr>
        <w:pStyle w:val="Version"/>
        <w:sectPr w:rsidSect="00A81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8196C" w:rsidP="00A8196C">
      <w:pPr>
        <w:pStyle w:val="SuperHeading"/>
      </w:pPr>
      <w:r w:rsidRPr="00A8196C">
        <w:t>Assessment Requirements for MARC011 Manage a propulsion unit using appropriate engine systems and support services</w:t>
      </w:r>
    </w:p>
    <w:p w:rsidR="00000000" w:rsidRPr="00A8196C" w:rsidP="00A8196C">
      <w:pPr>
        <w:pStyle w:val="Heading1"/>
      </w:pPr>
      <w:bookmarkStart w:id="1" w:name="O_634104"/>
      <w:bookmarkEnd w:id="1"/>
      <w:r w:rsidRPr="00A8196C">
        <w:t>Modification History</w:t>
      </w:r>
    </w:p>
    <w:p w:rsidR="00000000" w:rsidRPr="00A8196C" w:rsidP="00B63C49">
      <w:pPr>
        <w:pStyle w:val="BodyText"/>
      </w:pPr>
      <w:r w:rsidRPr="00A8196C">
        <w:t>Release 2. Performance Evidence and Knowledge Evidence amended to include correct information.</w:t>
      </w:r>
    </w:p>
    <w:p w:rsidR="00000000" w:rsidRPr="00A8196C" w:rsidP="00B63C49">
      <w:pPr>
        <w:pStyle w:val="BodyText"/>
      </w:pPr>
      <w:r w:rsidRPr="00A8196C">
        <w:t>Release 1. New unit of competency.</w:t>
      </w:r>
    </w:p>
    <w:p w:rsidR="00000000" w:rsidRPr="00A8196C" w:rsidP="00A8196C">
      <w:pPr>
        <w:pStyle w:val="Heading1"/>
      </w:pPr>
      <w:bookmarkStart w:id="2" w:name="O_634103"/>
      <w:bookmarkEnd w:id="2"/>
      <w:r w:rsidRPr="00A8196C">
        <w:t>Performance Evidence</w:t>
      </w:r>
    </w:p>
    <w:p w:rsidR="00000000" w:rsidRPr="00A8196C" w:rsidP="00B63C49">
      <w:pPr>
        <w:pStyle w:val="BodyText"/>
      </w:pPr>
      <w:r w:rsidRPr="00A8196C">
        <w:t xml:space="preserve">Evidence required to demonstrate competence in this unit must be relevant to and satisfy all of the requirements of the elements and performance criteria on at least one occasion and </w:t>
      </w:r>
      <w:r w:rsidRPr="00A8196C">
        <w:t>include:</w:t>
      </w:r>
    </w:p>
    <w:p w:rsidR="00000000" w:rsidRPr="00A8196C" w:rsidP="00A8196C">
      <w:pPr>
        <w:pStyle w:val="ListBullet"/>
      </w:pPr>
      <w:r w:rsidRPr="00A8196C">
        <w:t>carrying out necessary calculations associated with managing propulsion unit</w:t>
      </w:r>
    </w:p>
    <w:p w:rsidR="00000000" w:rsidRPr="00A8196C" w:rsidP="00A8196C">
      <w:pPr>
        <w:pStyle w:val="ListBullet"/>
      </w:pPr>
      <w:r w:rsidRPr="00A8196C">
        <w:t>communicating effectively with other personnel</w:t>
      </w:r>
    </w:p>
    <w:p w:rsidR="00000000" w:rsidRPr="00A8196C" w:rsidP="00A8196C">
      <w:pPr>
        <w:pStyle w:val="ListBullet"/>
      </w:pPr>
      <w:r w:rsidRPr="00A8196C">
        <w:t xml:space="preserve">keeping records of monitoring and operation of safety and fire detection/suppression equipment, and any required remedial </w:t>
      </w:r>
      <w:r w:rsidRPr="00A8196C">
        <w:t>action</w:t>
      </w:r>
    </w:p>
    <w:p w:rsidR="00000000" w:rsidRPr="00A8196C" w:rsidP="00A8196C">
      <w:pPr>
        <w:pStyle w:val="ListBullet"/>
      </w:pPr>
      <w:r w:rsidRPr="00A8196C">
        <w:t>maintaining records of operation and maintenance of propulsion unit, ancillary power units, equipment and any related safety incidents</w:t>
      </w:r>
    </w:p>
    <w:p w:rsidR="00000000" w:rsidRPr="00A8196C" w:rsidP="00A8196C">
      <w:pPr>
        <w:pStyle w:val="ListBullet"/>
      </w:pPr>
      <w:r w:rsidRPr="00A8196C">
        <w:t>monitoring and evaluating performance of propulsion unit, ancillary power units and equipment</w:t>
      </w:r>
    </w:p>
    <w:p w:rsidR="00000000" w:rsidRPr="00A8196C" w:rsidP="00A8196C">
      <w:pPr>
        <w:pStyle w:val="ListBullet"/>
      </w:pPr>
      <w:r w:rsidRPr="00A8196C">
        <w:t>reading and interpre</w:t>
      </w:r>
      <w:r w:rsidRPr="00A8196C">
        <w:t>ting:</w:t>
      </w:r>
    </w:p>
    <w:p w:rsidR="00000000" w:rsidRPr="00A8196C" w:rsidP="00A8196C">
      <w:pPr>
        <w:pStyle w:val="ListBullet2"/>
      </w:pPr>
      <w:r w:rsidRPr="00A8196C">
        <w:t>manufacturer instructions for operation of propulsion systems and auxiliary systems</w:t>
      </w:r>
    </w:p>
    <w:p w:rsidR="00000000" w:rsidRPr="00A8196C" w:rsidP="00A8196C">
      <w:pPr>
        <w:pStyle w:val="ListBullet2"/>
      </w:pPr>
      <w:r w:rsidRPr="00A8196C">
        <w:t>maritime regulations, rules and instructions</w:t>
      </w:r>
    </w:p>
    <w:p w:rsidR="00000000" w:rsidRPr="00A8196C" w:rsidP="00A8196C">
      <w:pPr>
        <w:pStyle w:val="ListBullet"/>
      </w:pPr>
      <w:r w:rsidRPr="00A8196C">
        <w:t xml:space="preserve">recognising problems that may occur with remote control of propulsion unit, ancillary </w:t>
      </w:r>
      <w:r w:rsidRPr="00A8196C">
        <w:t>power units and equipment, and taking appropriate preventative and remedial action</w:t>
      </w:r>
    </w:p>
    <w:p w:rsidR="00000000" w:rsidRPr="00A8196C" w:rsidP="00A8196C">
      <w:pPr>
        <w:pStyle w:val="ListBullet"/>
      </w:pPr>
      <w:r w:rsidRPr="00A8196C">
        <w:t>recognising when performance of propulsion unit or ancillary power units and equipment is unsatisfactory or outside specified limits and taking appropriate action</w:t>
      </w:r>
    </w:p>
    <w:p w:rsidR="00000000" w:rsidRPr="00A8196C" w:rsidP="00A8196C">
      <w:pPr>
        <w:pStyle w:val="ListBullet"/>
      </w:pPr>
      <w:r w:rsidRPr="00A8196C">
        <w:t>working co</w:t>
      </w:r>
      <w:r w:rsidRPr="00A8196C">
        <w:t>llaboratively with other shipboard personnel and passengers during vessel operations.</w:t>
      </w:r>
    </w:p>
    <w:p w:rsidR="00000000" w:rsidRPr="00A8196C" w:rsidP="00A8196C">
      <w:pPr>
        <w:pStyle w:val="AllowPageBreak"/>
      </w:pPr>
    </w:p>
    <w:p w:rsidR="00000000" w:rsidRPr="00A8196C" w:rsidP="00A8196C">
      <w:pPr>
        <w:pStyle w:val="Heading1"/>
      </w:pPr>
      <w:bookmarkStart w:id="3" w:name="O_634102"/>
      <w:bookmarkEnd w:id="3"/>
      <w:r w:rsidRPr="00A8196C">
        <w:t>Knowledge Evidence</w:t>
      </w:r>
    </w:p>
    <w:p w:rsidR="00000000" w:rsidRPr="00A8196C" w:rsidP="00B63C49">
      <w:pPr>
        <w:pStyle w:val="BodyText"/>
      </w:pPr>
      <w:r w:rsidRPr="00A8196C">
        <w:t>Evidence required to demonstrate competence in this unit must be relevant to and satisfy all of the requirements of the elements and p</w:t>
      </w:r>
      <w:r w:rsidRPr="00A8196C">
        <w:t>erformance criteria and include knowledge of:</w:t>
      </w:r>
    </w:p>
    <w:p w:rsidR="00000000" w:rsidRPr="00A8196C" w:rsidP="00A8196C">
      <w:pPr>
        <w:pStyle w:val="ListBullet"/>
      </w:pPr>
      <w:r w:rsidRPr="00A8196C">
        <w:t>characteristics of propulsion units, ancillary power units and equipment including operational limits, vessel stopping distances and turning circles at various draughts, speeds and conditions of loading</w:t>
      </w:r>
    </w:p>
    <w:p w:rsidR="00000000" w:rsidRPr="00A8196C" w:rsidP="00A8196C">
      <w:pPr>
        <w:pStyle w:val="ListBullet"/>
      </w:pPr>
      <w:r w:rsidRPr="00A8196C">
        <w:t>danger</w:t>
      </w:r>
      <w:r w:rsidRPr="00A8196C">
        <w:t>s associated with operation of shipboard ancillary power units and related hazard prevention strategies</w:t>
      </w:r>
    </w:p>
    <w:p w:rsidR="00000000" w:rsidRPr="00A8196C" w:rsidP="00A8196C">
      <w:pPr>
        <w:pStyle w:val="ListBullet"/>
      </w:pPr>
      <w:r w:rsidRPr="00A8196C">
        <w:t>marine engineering terms</w:t>
      </w:r>
    </w:p>
    <w:p w:rsidR="00000000" w:rsidRPr="00A8196C" w:rsidP="00A8196C">
      <w:pPr>
        <w:pStyle w:val="ListBullet"/>
      </w:pPr>
      <w:r w:rsidRPr="00A8196C">
        <w:t>methods for controlling and managing operation of shipboard propulsion units, ancillary power units and equipment</w:t>
      </w:r>
    </w:p>
    <w:p w:rsidR="00000000" w:rsidRPr="00A8196C" w:rsidP="00A8196C">
      <w:pPr>
        <w:pStyle w:val="ListBullet"/>
      </w:pPr>
      <w:r w:rsidRPr="00A8196C">
        <w:t>principles of</w:t>
      </w:r>
      <w:r w:rsidRPr="00A8196C">
        <w:t xml:space="preserve"> operation and control of various shipboard emergency systems</w:t>
      </w:r>
    </w:p>
    <w:p w:rsidR="00000000" w:rsidRPr="00A8196C" w:rsidP="00A8196C">
      <w:pPr>
        <w:pStyle w:val="ListBullet"/>
      </w:pPr>
      <w:r w:rsidRPr="00A8196C">
        <w:t>problems associated with remote control of propulsion unit, ancillary power units and equipment and appropriate preventative and remedial action and solutions</w:t>
      </w:r>
    </w:p>
    <w:p w:rsidR="00000000" w:rsidRPr="00A8196C" w:rsidP="00A8196C">
      <w:pPr>
        <w:pStyle w:val="ListBullet"/>
      </w:pPr>
      <w:r w:rsidRPr="00A8196C">
        <w:t>procedures for monitoring and evalu</w:t>
      </w:r>
      <w:r w:rsidRPr="00A8196C">
        <w:t>ating performance of propulsion unit, ancillary power units and equipment</w:t>
      </w:r>
    </w:p>
    <w:p w:rsidR="00000000" w:rsidRPr="00A8196C" w:rsidP="00A8196C">
      <w:pPr>
        <w:pStyle w:val="ListBullet"/>
      </w:pPr>
      <w:r w:rsidRPr="00A8196C">
        <w:t>relevant sections of state and territory maritime regulations, National Standard for Commercial Vessels (NSCV) and Uniform Shipping Laws (USL) Code</w:t>
      </w:r>
    </w:p>
    <w:p w:rsidR="00000000" w:rsidRPr="00A8196C" w:rsidP="00A8196C">
      <w:pPr>
        <w:pStyle w:val="ListBullet"/>
      </w:pPr>
      <w:r w:rsidRPr="00A8196C">
        <w:t>relationship between vessel speed and fuel consumption, including meaning of economical revolutions per minute (RPM) and its application</w:t>
      </w:r>
    </w:p>
    <w:p w:rsidR="00000000" w:rsidRPr="00A8196C" w:rsidP="00A8196C">
      <w:pPr>
        <w:pStyle w:val="ListBullet"/>
      </w:pPr>
      <w:r w:rsidRPr="00A8196C">
        <w:t>relevant work health and safety (WHS)/occupational health and safety (OHS) legislation and policies</w:t>
      </w:r>
    </w:p>
    <w:p w:rsidR="00000000" w:rsidRPr="00A8196C" w:rsidP="00A8196C">
      <w:pPr>
        <w:pStyle w:val="ListBullet"/>
      </w:pPr>
      <w:r w:rsidRPr="00A8196C">
        <w:t>requirements for wa</w:t>
      </w:r>
      <w:r w:rsidRPr="00A8196C">
        <w:t>ste management and control systems under the MARPOL Convention</w:t>
      </w:r>
    </w:p>
    <w:p w:rsidR="00000000" w:rsidRPr="00A8196C" w:rsidP="00A8196C">
      <w:pPr>
        <w:pStyle w:val="ListBullet"/>
      </w:pPr>
      <w:r w:rsidRPr="00A8196C">
        <w:t>Sequence of required action when power unit becomes overloaded.</w:t>
      </w:r>
    </w:p>
    <w:p w:rsidR="00000000" w:rsidRPr="00A8196C" w:rsidP="00A8196C">
      <w:pPr>
        <w:pStyle w:val="AllowPageBreak"/>
      </w:pPr>
    </w:p>
    <w:p w:rsidR="00000000" w:rsidRPr="00A8196C" w:rsidP="00A8196C">
      <w:pPr>
        <w:pStyle w:val="Heading1"/>
      </w:pPr>
      <w:bookmarkStart w:id="4" w:name="O_634101"/>
      <w:bookmarkEnd w:id="4"/>
      <w:r w:rsidRPr="00A8196C">
        <w:t>Assessment Conditions</w:t>
      </w:r>
    </w:p>
    <w:p w:rsidR="00000000" w:rsidRPr="00A8196C" w:rsidP="00B63C49">
      <w:pPr>
        <w:pStyle w:val="BodyText"/>
      </w:pPr>
      <w:r w:rsidRPr="00A8196C">
        <w:t>Assessors must satisfy National Vocational Education and Training Regulator (NVR)/Australi</w:t>
      </w:r>
      <w:r w:rsidRPr="00A8196C">
        <w:t>an Quality Training Framework (AQTF) assessor requirements.</w:t>
      </w:r>
    </w:p>
    <w:p w:rsidR="00000000" w:rsidRPr="00A8196C" w:rsidP="00B63C49">
      <w:pPr>
        <w:pStyle w:val="BodyText"/>
      </w:pPr>
      <w:r w:rsidRPr="00A8196C">
        <w:t>Assessment must occur in workplace operational situations where it is appropriate to do so; where this is not appropriate, assessment must occur in simulated workplace operational situations that</w:t>
      </w:r>
      <w:r w:rsidRPr="00A8196C">
        <w:t xml:space="preserve"> reflect workplace conditions.</w:t>
      </w:r>
    </w:p>
    <w:p w:rsidR="00000000" w:rsidRPr="00A8196C" w:rsidP="00B63C49">
      <w:pPr>
        <w:pStyle w:val="BodyText"/>
      </w:pPr>
      <w:r w:rsidRPr="00A8196C">
        <w:t>Assessment processes and techniques must be appropriate to the language, literacy and numeracy requirements of the work being performed and the needs of the candidate.</w:t>
      </w:r>
    </w:p>
    <w:p w:rsidR="00000000" w:rsidRPr="00A8196C" w:rsidP="00B63C49">
      <w:pPr>
        <w:pStyle w:val="BodyText"/>
      </w:pPr>
      <w:r w:rsidRPr="00A8196C">
        <w:t>Resources for assessment must include access to:</w:t>
      </w:r>
    </w:p>
    <w:p w:rsidR="00000000" w:rsidRPr="00A8196C" w:rsidP="00A8196C">
      <w:pPr>
        <w:pStyle w:val="ListBullet"/>
      </w:pPr>
      <w:r w:rsidRPr="00A8196C">
        <w:t>tools</w:t>
      </w:r>
      <w:r w:rsidRPr="00A8196C">
        <w:t>, equipment, machinery, materials and personal protective equipment currently used in industry</w:t>
      </w:r>
    </w:p>
    <w:p w:rsidR="00000000" w:rsidRPr="00A8196C" w:rsidP="00A8196C">
      <w:pPr>
        <w:pStyle w:val="ListBullet"/>
      </w:pPr>
      <w:r w:rsidRPr="00A8196C">
        <w:t xml:space="preserve">applicable documentation such as legislation, regulations, codes of practice, workplace procedures and operational manuals </w:t>
      </w:r>
    </w:p>
    <w:p w:rsidR="00000000" w:rsidRPr="00A8196C" w:rsidP="00A8196C">
      <w:pPr>
        <w:pStyle w:val="ListBullet"/>
      </w:pPr>
      <w:r w:rsidRPr="00A8196C">
        <w:t>range of relevant exercises, case stu</w:t>
      </w:r>
      <w:r w:rsidRPr="00A8196C">
        <w:t>dies and/or simulations.</w:t>
      </w:r>
    </w:p>
    <w:p w:rsidR="00000000" w:rsidRPr="00A8196C" w:rsidP="00A8196C">
      <w:pPr>
        <w:pStyle w:val="AllowPageBreak"/>
      </w:pPr>
    </w:p>
    <w:p w:rsidR="00000000" w:rsidRPr="00A8196C" w:rsidP="00A8196C">
      <w:pPr>
        <w:pStyle w:val="Heading1"/>
      </w:pPr>
      <w:bookmarkStart w:id="5" w:name="O_634116"/>
      <w:bookmarkEnd w:id="5"/>
      <w:r w:rsidRPr="00A8196C">
        <w:t>Links</w:t>
      </w:r>
    </w:p>
    <w:p w:rsidR="00000000" w:rsidRPr="00A8196C" w:rsidP="00B63C49">
      <w:pPr>
        <w:pStyle w:val="BodyText"/>
      </w:pPr>
      <w:r w:rsidRPr="00A819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31C5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8196C" w:rsidP="00A8196C"/>
    <w:sectPr w:rsidSect="00A8196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C" w:rsidRPr="00B63C49" w:rsidP="00B63C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49" w:rsidP="00A81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3C49" w:rsidP="00A81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63C49" w:rsidP="00A81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96C" w:rsidRPr="00B63C49" w:rsidP="00B63C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C49" w:rsidRPr="002D2AF8" w:rsidP="00A81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MARC011 Manage a propulsion unit using appropriate engine systems and support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B63C49" w:rsidP="00A81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1EEB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3260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064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96C"/>
  </w:style>
  <w:style w:type="character" w:customStyle="1" w:styleId="Heading1Char">
    <w:name w:val="Heading 1 Char"/>
    <w:basedOn w:val="DefaultParagraphFont"/>
    <w:link w:val="Heading1"/>
    <w:rsid w:val="00A81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9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19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819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1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9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1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8196C"/>
    <w:rPr>
      <w:b/>
      <w:spacing w:val="0"/>
    </w:rPr>
  </w:style>
  <w:style w:type="paragraph" w:customStyle="1" w:styleId="SuperTitle">
    <w:name w:val="SuperTitle"/>
    <w:basedOn w:val="Title"/>
    <w:rsid w:val="00A81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9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96C"/>
    <w:rPr>
      <w:i/>
    </w:rPr>
  </w:style>
  <w:style w:type="paragraph" w:styleId="Caption">
    <w:name w:val="caption"/>
    <w:basedOn w:val="BodyText"/>
    <w:next w:val="Normal"/>
    <w:qFormat/>
    <w:rsid w:val="00A81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96C"/>
  </w:style>
  <w:style w:type="paragraph" w:styleId="TableofFigures">
    <w:name w:val="table of figures"/>
    <w:basedOn w:val="Normal"/>
    <w:next w:val="Normal"/>
    <w:semiHidden/>
    <w:rsid w:val="00A81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9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96C"/>
    <w:rPr>
      <w:rFonts w:ascii="Wingdings" w:hAnsi="Wingdings"/>
    </w:rPr>
  </w:style>
  <w:style w:type="paragraph" w:customStyle="1" w:styleId="TableHeading">
    <w:name w:val="Table Heading"/>
    <w:basedOn w:val="HeadingBase"/>
    <w:rsid w:val="00A81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96C"/>
    <w:rPr>
      <w:color w:val="0033CC"/>
      <w:u w:val="none"/>
    </w:rPr>
  </w:style>
  <w:style w:type="paragraph" w:customStyle="1" w:styleId="BodyTextRight">
    <w:name w:val="Body Text Right"/>
    <w:basedOn w:val="BodyText"/>
    <w:rsid w:val="00A81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9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96C"/>
    <w:rPr>
      <w:sz w:val="32"/>
    </w:rPr>
  </w:style>
  <w:style w:type="paragraph" w:customStyle="1" w:styleId="HeadingProcedure">
    <w:name w:val="Heading Procedure"/>
    <w:basedOn w:val="HeadingBase"/>
    <w:next w:val="Normal"/>
    <w:rsid w:val="00A81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96C"/>
    <w:pPr>
      <w:spacing w:before="60" w:after="60"/>
    </w:pPr>
  </w:style>
  <w:style w:type="paragraph" w:styleId="ListContinue">
    <w:name w:val="List Continue"/>
    <w:basedOn w:val="List"/>
    <w:rsid w:val="00A8196C"/>
    <w:pPr>
      <w:ind w:firstLine="0"/>
    </w:pPr>
  </w:style>
  <w:style w:type="paragraph" w:customStyle="1" w:styleId="ListNote">
    <w:name w:val="List Note"/>
    <w:basedOn w:val="List"/>
    <w:rsid w:val="00A81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96C"/>
    <w:rPr>
      <w:rFonts w:ascii="Courier New" w:hAnsi="Courier New"/>
    </w:rPr>
  </w:style>
  <w:style w:type="paragraph" w:customStyle="1" w:styleId="NoteBullet">
    <w:name w:val="Note Bullet"/>
    <w:basedOn w:val="Note"/>
    <w:rsid w:val="00A81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9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96C"/>
    <w:rPr>
      <w:b/>
      <w:smallCaps/>
    </w:rPr>
  </w:style>
  <w:style w:type="paragraph" w:customStyle="1" w:styleId="TableListNumber">
    <w:name w:val="Table List Number"/>
    <w:basedOn w:val="ListNumber"/>
    <w:rsid w:val="00A81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96C"/>
    <w:pPr>
      <w:numPr>
        <w:numId w:val="9"/>
      </w:numPr>
    </w:pPr>
  </w:style>
  <w:style w:type="paragraph" w:customStyle="1" w:styleId="ListAlpha2">
    <w:name w:val="List Alpha 2"/>
    <w:basedOn w:val="List2"/>
    <w:rsid w:val="00A8196C"/>
    <w:pPr>
      <w:numPr>
        <w:numId w:val="8"/>
      </w:numPr>
    </w:pPr>
  </w:style>
  <w:style w:type="paragraph" w:styleId="List2">
    <w:name w:val="List 2"/>
    <w:basedOn w:val="BodyText"/>
    <w:rsid w:val="00A81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9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9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96C"/>
    <w:pPr>
      <w:numPr>
        <w:numId w:val="4"/>
      </w:numPr>
    </w:pPr>
  </w:style>
  <w:style w:type="paragraph" w:styleId="ListContinue2">
    <w:name w:val="List Continue 2"/>
    <w:basedOn w:val="List2"/>
    <w:rsid w:val="00A8196C"/>
    <w:pPr>
      <w:ind w:firstLine="0"/>
    </w:pPr>
  </w:style>
  <w:style w:type="paragraph" w:styleId="ListContinue3">
    <w:name w:val="List Continue 3"/>
    <w:basedOn w:val="List3"/>
    <w:rsid w:val="00A8196C"/>
    <w:pPr>
      <w:ind w:left="1021" w:firstLine="0"/>
    </w:pPr>
  </w:style>
  <w:style w:type="paragraph" w:styleId="ListContinue4">
    <w:name w:val="List Continue 4"/>
    <w:basedOn w:val="List4"/>
    <w:rsid w:val="00A8196C"/>
    <w:pPr>
      <w:ind w:firstLine="0"/>
    </w:pPr>
  </w:style>
  <w:style w:type="paragraph" w:styleId="ListContinue5">
    <w:name w:val="List Continue 5"/>
    <w:basedOn w:val="List5"/>
    <w:rsid w:val="00A8196C"/>
    <w:pPr>
      <w:ind w:firstLine="0"/>
    </w:pPr>
  </w:style>
  <w:style w:type="paragraph" w:styleId="ListNumber3">
    <w:name w:val="List Number 3"/>
    <w:basedOn w:val="List3"/>
    <w:rsid w:val="00A8196C"/>
    <w:pPr>
      <w:numPr>
        <w:numId w:val="5"/>
      </w:numPr>
    </w:pPr>
  </w:style>
  <w:style w:type="paragraph" w:styleId="ListNumber4">
    <w:name w:val="List Number 4"/>
    <w:basedOn w:val="List4"/>
    <w:rsid w:val="00A8196C"/>
    <w:pPr>
      <w:numPr>
        <w:numId w:val="6"/>
      </w:numPr>
    </w:pPr>
  </w:style>
  <w:style w:type="paragraph" w:styleId="ListNumber5">
    <w:name w:val="List Number 5"/>
    <w:basedOn w:val="List5"/>
    <w:rsid w:val="00A8196C"/>
    <w:pPr>
      <w:numPr>
        <w:numId w:val="7"/>
      </w:numPr>
    </w:pPr>
  </w:style>
  <w:style w:type="paragraph" w:styleId="BlockText">
    <w:name w:val="Block Text"/>
    <w:basedOn w:val="Normal"/>
    <w:rsid w:val="00A81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96C"/>
    <w:rPr>
      <w:sz w:val="16"/>
      <w:vertAlign w:val="superscript"/>
    </w:rPr>
  </w:style>
  <w:style w:type="character" w:customStyle="1" w:styleId="Symbols">
    <w:name w:val="Symbols"/>
    <w:basedOn w:val="DefaultParagraphFont"/>
    <w:rsid w:val="00A8196C"/>
    <w:rPr>
      <w:rFonts w:ascii="Symbol" w:hAnsi="Symbol"/>
    </w:rPr>
  </w:style>
  <w:style w:type="character" w:customStyle="1" w:styleId="MenuOptions">
    <w:name w:val="Menu Options"/>
    <w:basedOn w:val="DefaultParagraphFont"/>
    <w:rsid w:val="00A81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96C"/>
    <w:rPr>
      <w:b/>
    </w:rPr>
  </w:style>
  <w:style w:type="character" w:customStyle="1" w:styleId="Underlined">
    <w:name w:val="Underlined"/>
    <w:basedOn w:val="DefaultParagraphFont"/>
    <w:rsid w:val="00A8196C"/>
    <w:rPr>
      <w:u w:val="single"/>
    </w:rPr>
  </w:style>
  <w:style w:type="paragraph" w:customStyle="1" w:styleId="TableBodyTextRight">
    <w:name w:val="Table Body Text Right"/>
    <w:basedOn w:val="TableBodyText"/>
    <w:rsid w:val="00A81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96C"/>
    <w:rPr>
      <w:sz w:val="18"/>
    </w:rPr>
  </w:style>
  <w:style w:type="paragraph" w:customStyle="1" w:styleId="BodySmallRight">
    <w:name w:val="Body Small Right"/>
    <w:basedOn w:val="BodyTextRight"/>
    <w:rsid w:val="00A8196C"/>
    <w:rPr>
      <w:sz w:val="18"/>
      <w:szCs w:val="18"/>
    </w:rPr>
  </w:style>
  <w:style w:type="paragraph" w:customStyle="1" w:styleId="MarginEdition">
    <w:name w:val="Margin Edition"/>
    <w:basedOn w:val="MarginNote"/>
    <w:rsid w:val="00A81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96C"/>
    <w:rPr>
      <w:sz w:val="2"/>
      <w:szCs w:val="2"/>
    </w:rPr>
  </w:style>
  <w:style w:type="character" w:customStyle="1" w:styleId="Small">
    <w:name w:val="Small"/>
    <w:basedOn w:val="DefaultParagraphFont"/>
    <w:rsid w:val="00A8196C"/>
    <w:rPr>
      <w:sz w:val="16"/>
    </w:rPr>
  </w:style>
  <w:style w:type="paragraph" w:customStyle="1" w:styleId="WideTable">
    <w:name w:val="Wide Table"/>
    <w:basedOn w:val="Normal"/>
    <w:rsid w:val="00A81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96C"/>
  </w:style>
  <w:style w:type="paragraph" w:styleId="Quote">
    <w:name w:val="Quote"/>
    <w:basedOn w:val="Heading1"/>
    <w:link w:val="QuoteChar"/>
    <w:qFormat/>
    <w:rsid w:val="00A81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96C"/>
    <w:pPr>
      <w:pageBreakBefore/>
    </w:pPr>
  </w:style>
  <w:style w:type="paragraph" w:customStyle="1" w:styleId="Border">
    <w:name w:val="Border"/>
    <w:basedOn w:val="Normal"/>
    <w:qFormat/>
    <w:rsid w:val="00A81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96C"/>
    <w:rPr>
      <w:u w:val="single"/>
    </w:rPr>
  </w:style>
  <w:style w:type="character" w:customStyle="1" w:styleId="BoldandItalics">
    <w:name w:val="Bold and Italics"/>
    <w:qFormat/>
    <w:rsid w:val="00A8196C"/>
    <w:rPr>
      <w:b/>
      <w:i/>
      <w:u w:val="none"/>
    </w:rPr>
  </w:style>
  <w:style w:type="paragraph" w:styleId="BalloonText">
    <w:name w:val="Balloon Text"/>
    <w:basedOn w:val="Normal"/>
    <w:link w:val="BalloonTextChar"/>
    <w:rsid w:val="00A81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96C"/>
    <w:pPr>
      <w:spacing w:before="0" w:after="0"/>
    </w:pPr>
  </w:style>
  <w:style w:type="paragraph" w:customStyle="1" w:styleId="BodyTextBold">
    <w:name w:val="Body Text Bold"/>
    <w:basedOn w:val="BodyText"/>
    <w:qFormat/>
    <w:rsid w:val="00A8196C"/>
    <w:rPr>
      <w:b/>
    </w:rPr>
  </w:style>
  <w:style w:type="character" w:styleId="Hyperlink">
    <w:name w:val="Hyperlink"/>
    <w:basedOn w:val="DefaultParagraphFont"/>
    <w:uiPriority w:val="99"/>
    <w:unhideWhenUsed/>
    <w:rsid w:val="00B63C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3853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4372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MARC011 Manage a propulsion unit using appropriate engine systems and support services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2020-10-27T00:44:00Z</dcterms:created>
  <dcterms:modified xsi:type="dcterms:W3CDTF">2020-10-27T00:45:00Z</dcterms:modified>
</cp:coreProperties>
</file>