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987" w:rsidP="005B4987">
      <w:pPr>
        <w:pStyle w:val="Title"/>
      </w:pPr>
      <w:r>
        <w:fldChar w:fldCharType="begin"/>
      </w:r>
      <w:r>
        <w:instrText xml:space="preserve"> TITLE   \* MERGEFORMAT </w:instrText>
      </w:r>
      <w:r>
        <w:fldChar w:fldCharType="separate"/>
      </w:r>
      <w:r>
        <w:t>MARC010 Operate electrical systems</w:t>
      </w:r>
      <w:r>
        <w:fldChar w:fldCharType="end"/>
      </w:r>
    </w:p>
    <w:p w:rsidR="005B4987" w:rsidP="005B4987">
      <w:pPr>
        <w:pStyle w:val="Version"/>
        <w:sectPr w:rsidSect="00D13A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3AA7" w:rsidP="00D13AA7">
      <w:pPr>
        <w:pStyle w:val="SuperHeading"/>
      </w:pPr>
      <w:r w:rsidRPr="00D13AA7">
        <w:t>MARC010 Operate electrical systems</w:t>
      </w:r>
    </w:p>
    <w:p w:rsidR="00000000" w:rsidRPr="00D13AA7" w:rsidP="00D13AA7">
      <w:pPr>
        <w:pStyle w:val="Heading1"/>
      </w:pPr>
      <w:bookmarkStart w:id="1" w:name="O_634096"/>
      <w:bookmarkEnd w:id="1"/>
      <w:r w:rsidRPr="00D13AA7">
        <w:t>Modification History</w:t>
      </w:r>
    </w:p>
    <w:p w:rsidR="00000000" w:rsidRPr="00D13AA7" w:rsidP="00D13AA7">
      <w:pPr>
        <w:pStyle w:val="BodyText"/>
      </w:pPr>
      <w:r w:rsidRPr="00D13AA7">
        <w:t>Release 2. Range of Conditions updated to include relevant information.</w:t>
      </w:r>
    </w:p>
    <w:p w:rsidR="00000000" w:rsidRPr="00D13AA7" w:rsidP="00D13AA7">
      <w:pPr>
        <w:pStyle w:val="BodyText"/>
      </w:pPr>
      <w:r w:rsidRPr="00D13AA7">
        <w:t>Release 1. New unit of competency.</w:t>
      </w:r>
    </w:p>
    <w:p w:rsidR="00000000" w:rsidRPr="00D13AA7" w:rsidP="00D13AA7">
      <w:pPr>
        <w:pStyle w:val="AllowPageBreak"/>
      </w:pPr>
    </w:p>
    <w:p w:rsidR="00000000" w:rsidRPr="00D13AA7" w:rsidP="00D13AA7">
      <w:pPr>
        <w:pStyle w:val="Heading1"/>
      </w:pPr>
      <w:bookmarkStart w:id="2" w:name="O_634095"/>
      <w:bookmarkEnd w:id="2"/>
      <w:r w:rsidRPr="00D13AA7">
        <w:t>Application</w:t>
      </w:r>
    </w:p>
    <w:p w:rsidR="00000000" w:rsidRPr="00D13AA7" w:rsidP="00D13AA7">
      <w:pPr>
        <w:pStyle w:val="BodyText"/>
      </w:pPr>
      <w:r w:rsidRPr="00D13AA7">
        <w:t>This unit involves the skills and knowledge required to operate 220 to 440 voltage alternating curr</w:t>
      </w:r>
      <w:r w:rsidRPr="00D13AA7">
        <w:t>ent (AC) electrical systems.</w:t>
      </w:r>
    </w:p>
    <w:p w:rsidR="00000000" w:rsidRPr="00D13AA7" w:rsidP="00D13AA7">
      <w:pPr>
        <w:pStyle w:val="BodyText"/>
      </w:pPr>
    </w:p>
    <w:p w:rsidR="00000000" w:rsidRPr="00D13AA7" w:rsidP="00D13AA7">
      <w:pPr>
        <w:pStyle w:val="BodyText"/>
      </w:pPr>
      <w:r w:rsidRPr="00D13AA7">
        <w:t>This unit applies to engine workers in the maritime industry working as a Marine Engine Driver Grade 2 Near Coastal on vessels up to 750 kW or as a Marine Engine Driver Grade 1 Near Coastal on vessels up to 1500 kW or as a Mar</w:t>
      </w:r>
      <w:r w:rsidRPr="00D13AA7">
        <w:t>ine Engine Driver Steam.</w:t>
      </w:r>
    </w:p>
    <w:p w:rsidR="00000000" w:rsidRPr="00D13AA7" w:rsidP="00D13AA7">
      <w:pPr>
        <w:pStyle w:val="BodyText"/>
      </w:pPr>
    </w:p>
    <w:p w:rsidR="00000000" w:rsidRPr="00D13AA7" w:rsidP="00D13AA7">
      <w:pPr>
        <w:pStyle w:val="BodyText"/>
      </w:pPr>
      <w:r w:rsidRPr="00D13AA7">
        <w:t>This unit has links to legislative and certification requirements.</w:t>
      </w:r>
    </w:p>
    <w:p w:rsidR="00000000" w:rsidRPr="00D13AA7" w:rsidP="00D13AA7">
      <w:pPr>
        <w:pStyle w:val="AllowPageBreak"/>
      </w:pPr>
    </w:p>
    <w:p w:rsidR="00000000" w:rsidRPr="00D13AA7" w:rsidP="00D13AA7">
      <w:pPr>
        <w:pStyle w:val="Heading1"/>
      </w:pPr>
      <w:bookmarkStart w:id="3" w:name="O_634094"/>
      <w:bookmarkEnd w:id="3"/>
      <w:r w:rsidRPr="00D13AA7">
        <w:t>Pre-requisite Unit</w:t>
      </w:r>
    </w:p>
    <w:p w:rsidR="00000000" w:rsidRPr="00D13AA7" w:rsidP="00D13AA7">
      <w:pPr>
        <w:pStyle w:val="BodyText"/>
      </w:pPr>
      <w:r w:rsidRPr="00D13AA7">
        <w:t>Not applicable.</w:t>
      </w:r>
    </w:p>
    <w:p w:rsidR="00000000" w:rsidRPr="00D13AA7" w:rsidP="00D13AA7">
      <w:pPr>
        <w:pStyle w:val="AllowPageBreak"/>
      </w:pPr>
    </w:p>
    <w:p w:rsidR="00000000" w:rsidRPr="00D13AA7" w:rsidP="00D13AA7">
      <w:pPr>
        <w:pStyle w:val="Heading1"/>
      </w:pPr>
      <w:bookmarkStart w:id="4" w:name="O_634093"/>
      <w:bookmarkEnd w:id="4"/>
      <w:r w:rsidRPr="00D13AA7">
        <w:t>Competency Field</w:t>
      </w:r>
    </w:p>
    <w:p w:rsidR="00000000" w:rsidRPr="00D13AA7" w:rsidP="00D13AA7">
      <w:pPr>
        <w:pStyle w:val="BodyText"/>
      </w:pPr>
      <w:r w:rsidRPr="00D13AA7">
        <w:t>C - Equipment Operations</w:t>
      </w:r>
    </w:p>
    <w:p w:rsidR="00000000" w:rsidRPr="00D13AA7" w:rsidP="00D13AA7">
      <w:pPr>
        <w:pStyle w:val="AllowPageBreak"/>
      </w:pPr>
    </w:p>
    <w:p w:rsidR="00000000" w:rsidRPr="00D13AA7" w:rsidP="00D13AA7">
      <w:pPr>
        <w:pStyle w:val="Heading1"/>
      </w:pPr>
      <w:bookmarkStart w:id="5" w:name="O_634092"/>
      <w:bookmarkEnd w:id="5"/>
      <w:r w:rsidRPr="00D13AA7">
        <w:t>Unit Sector</w:t>
      </w:r>
    </w:p>
    <w:p w:rsidR="00000000" w:rsidRPr="00D13AA7" w:rsidP="00D13AA7">
      <w:pPr>
        <w:pStyle w:val="BodyText"/>
      </w:pPr>
      <w:r w:rsidRPr="00D13AA7">
        <w:t>Not applicable.</w:t>
      </w:r>
    </w:p>
    <w:p w:rsidR="00000000" w:rsidRPr="00D13AA7" w:rsidP="00D13AA7">
      <w:pPr>
        <w:pStyle w:val="AllowPageBreak"/>
      </w:pPr>
    </w:p>
    <w:p w:rsidR="00000000" w:rsidRPr="00D13AA7" w:rsidP="00D13AA7">
      <w:pPr>
        <w:pStyle w:val="Heading1"/>
      </w:pPr>
      <w:bookmarkStart w:id="6" w:name="O_634091"/>
      <w:bookmarkEnd w:id="6"/>
      <w:r w:rsidRPr="00D13AA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B498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Performance criteria describe the performance needed to demonstrate achievement of the element.</w:t>
            </w:r>
          </w:p>
        </w:tc>
      </w:tr>
      <w:tr w:rsidTr="005B498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13AA7" w:rsidP="00D13AA7">
            <w:pPr>
              <w:pStyle w:val="BodyText"/>
            </w:pPr>
            <w:r w:rsidRPr="00D13AA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rPr>
                <w:rStyle w:val="SpecialBold"/>
              </w:rPr>
              <w:t>Prepare electrical systems and equipment for operation</w:t>
            </w: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1.1</w:t>
            </w:r>
          </w:p>
        </w:tc>
        <w:tc>
          <w:tcPr>
            <w:tcW w:w="604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 xml:space="preserve">Risks to self, others and the environment are identified according to organisational procedures </w:t>
            </w:r>
          </w:p>
        </w:tc>
      </w:tr>
      <w:tr w:rsidTr="005B49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1.2</w:t>
            </w:r>
          </w:p>
        </w:tc>
        <w:tc>
          <w:tcPr>
            <w:tcW w:w="604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 xml:space="preserve">Pre-operational checks are carried out according to manufacturer specifications and organisational procedures </w:t>
            </w:r>
          </w:p>
        </w:tc>
      </w:tr>
      <w:tr w:rsidTr="005B498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13AA7" w:rsidP="00D13AA7">
            <w:pPr>
              <w:pStyle w:val="BodyText"/>
            </w:pPr>
            <w:r w:rsidRPr="00D13AA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rPr>
                <w:rStyle w:val="SpecialBold"/>
              </w:rPr>
              <w:t>Operate electrical systems and equipment</w:t>
            </w: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2.1</w:t>
            </w:r>
          </w:p>
        </w:tc>
        <w:tc>
          <w:tcPr>
            <w:tcW w:w="604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Electrical systems and equipment are operated according to manufacturer specifications, regulations and vessel procedures</w:t>
            </w:r>
          </w:p>
        </w:tc>
      </w:tr>
      <w:tr w:rsidTr="005B49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2.2</w:t>
            </w:r>
          </w:p>
        </w:tc>
        <w:tc>
          <w:tcPr>
            <w:tcW w:w="604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 xml:space="preserve">Performance of electrical equipment is monitored </w:t>
            </w:r>
          </w:p>
        </w:tc>
      </w:tr>
      <w:tr w:rsidTr="005B49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2.3</w:t>
            </w:r>
          </w:p>
        </w:tc>
        <w:tc>
          <w:tcPr>
            <w:tcW w:w="604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AC electrical supply is m</w:t>
            </w:r>
            <w:r w:rsidRPr="00D13AA7">
              <w:t xml:space="preserve">onitored and demand is adjusted </w:t>
            </w:r>
          </w:p>
        </w:tc>
      </w:tr>
      <w:tr w:rsidTr="005B49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2.4</w:t>
            </w:r>
          </w:p>
        </w:tc>
        <w:tc>
          <w:tcPr>
            <w:tcW w:w="604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Operational faults are recognised and recorded, and corrective action is taken according to manufacturer specifications and fault-finding procedures</w:t>
            </w:r>
          </w:p>
        </w:tc>
      </w:tr>
      <w:tr w:rsidTr="005B498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13AA7" w:rsidP="00D13AA7">
            <w:pPr>
              <w:pStyle w:val="BodyText"/>
            </w:pPr>
            <w:r w:rsidRPr="00D13AA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rPr>
                <w:rStyle w:val="SpecialBold"/>
              </w:rPr>
              <w:t>Connect and disconnect ship to shore electrical supply</w:t>
            </w: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3.1</w:t>
            </w:r>
          </w:p>
        </w:tc>
        <w:tc>
          <w:tcPr>
            <w:tcW w:w="604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Vessel is positioned and secured for connecting to shore electrical supply</w:t>
            </w:r>
          </w:p>
        </w:tc>
      </w:tr>
      <w:tr w:rsidTr="005B49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3.2</w:t>
            </w:r>
          </w:p>
        </w:tc>
        <w:tc>
          <w:tcPr>
            <w:tcW w:w="604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Power cable is inspected and connected to shore supply</w:t>
            </w:r>
          </w:p>
        </w:tc>
      </w:tr>
      <w:tr w:rsidTr="005B49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3.3</w:t>
            </w:r>
          </w:p>
        </w:tc>
        <w:tc>
          <w:tcPr>
            <w:tcW w:w="604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 xml:space="preserve">Procedures for changing from vessel supply to shore supply are implemented following vessel procedures </w:t>
            </w:r>
          </w:p>
        </w:tc>
      </w:tr>
      <w:tr w:rsidTr="005B49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3.4</w:t>
            </w:r>
          </w:p>
        </w:tc>
        <w:tc>
          <w:tcPr>
            <w:tcW w:w="604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 xml:space="preserve">Electrical supply is monitored for correct operation according to vessel procedures </w:t>
            </w:r>
          </w:p>
        </w:tc>
      </w:tr>
      <w:tr w:rsidTr="005B49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3.5</w:t>
            </w:r>
          </w:p>
        </w:tc>
        <w:tc>
          <w:tcPr>
            <w:tcW w:w="604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Operational faults are recognised and recorded, and corrective action is taken according to vessel procedures</w:t>
            </w:r>
          </w:p>
        </w:tc>
      </w:tr>
      <w:tr w:rsidTr="005B49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3.6</w:t>
            </w:r>
          </w:p>
        </w:tc>
        <w:tc>
          <w:tcPr>
            <w:tcW w:w="604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Procedures for changing from shore supply to ve</w:t>
            </w:r>
            <w:r w:rsidRPr="00D13AA7">
              <w:t>ssel supply are implemented following vessel procedures</w:t>
            </w:r>
          </w:p>
        </w:tc>
      </w:tr>
      <w:tr w:rsidTr="005B49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3.7</w:t>
            </w:r>
          </w:p>
        </w:tc>
        <w:tc>
          <w:tcPr>
            <w:tcW w:w="6045" w:type="dxa"/>
            <w:tcBorders>
              <w:top w:val="nil"/>
              <w:left w:val="nil"/>
              <w:bottom w:val="nil"/>
              <w:right w:val="nil"/>
            </w:tcBorders>
            <w:tcMar>
              <w:top w:w="0" w:type="dxa"/>
              <w:left w:w="62" w:type="dxa"/>
              <w:bottom w:w="0" w:type="dxa"/>
              <w:right w:w="62" w:type="dxa"/>
            </w:tcMar>
          </w:tcPr>
          <w:p w:rsidR="00000000" w:rsidRPr="00D13AA7" w:rsidP="00D13AA7">
            <w:pPr>
              <w:pStyle w:val="BodyText"/>
            </w:pPr>
            <w:r w:rsidRPr="00D13AA7">
              <w:t>Power cable is disconnected, inspected and stored</w:t>
            </w:r>
          </w:p>
        </w:tc>
      </w:tr>
    </w:tbl>
    <w:p w:rsidR="00000000" w:rsidRPr="00D13AA7" w:rsidP="00D13AA7">
      <w:pPr>
        <w:pStyle w:val="BodyText"/>
      </w:pPr>
    </w:p>
    <w:p w:rsidR="00000000" w:rsidRPr="00D13AA7" w:rsidP="00D13AA7">
      <w:pPr>
        <w:pStyle w:val="AllowPageBreak"/>
      </w:pPr>
    </w:p>
    <w:p w:rsidR="00000000" w:rsidRPr="00D13AA7" w:rsidP="00D13AA7">
      <w:pPr>
        <w:pStyle w:val="Heading1"/>
      </w:pPr>
      <w:bookmarkStart w:id="7" w:name="O_634090"/>
      <w:bookmarkEnd w:id="7"/>
      <w:r w:rsidRPr="00D13AA7">
        <w:t>Foundation Skills</w:t>
      </w:r>
    </w:p>
    <w:tbl>
      <w:tblPr>
        <w:tblW w:w="9498" w:type="dxa"/>
        <w:tblLayout w:type="fixed"/>
        <w:tblCellMar>
          <w:left w:w="62" w:type="dxa"/>
          <w:right w:w="62" w:type="dxa"/>
        </w:tblCellMar>
        <w:tblLook w:val="0000"/>
      </w:tblPr>
      <w:tblGrid>
        <w:gridCol w:w="9498"/>
      </w:tblGrid>
      <w:tr w:rsidTr="00D13A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This section describes those language, literacy, numeracy and employment skills that are essential to performance.</w:t>
            </w:r>
          </w:p>
        </w:tc>
      </w:tr>
      <w:tr w:rsidTr="00D13A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13AA7" w:rsidP="00D13AA7">
            <w:pPr>
              <w:pStyle w:val="BodyText"/>
            </w:pPr>
            <w:r w:rsidRPr="00D13AA7">
              <w:t xml:space="preserve">Foundation skills essential to performance are explicit in the performance criteria of this unit of competency. </w:t>
            </w:r>
          </w:p>
        </w:tc>
      </w:tr>
    </w:tbl>
    <w:p w:rsidR="00000000" w:rsidRPr="00D13AA7" w:rsidP="00D13AA7">
      <w:pPr>
        <w:pStyle w:val="BodyText"/>
      </w:pPr>
    </w:p>
    <w:p w:rsidR="00000000" w:rsidRPr="00D13AA7" w:rsidP="00D13AA7">
      <w:pPr>
        <w:pStyle w:val="AllowPageBreak"/>
      </w:pPr>
    </w:p>
    <w:p w:rsidR="00000000" w:rsidRPr="00D13AA7" w:rsidP="00D13AA7">
      <w:pPr>
        <w:pStyle w:val="Heading1"/>
      </w:pPr>
      <w:bookmarkStart w:id="8" w:name="O_634089"/>
      <w:bookmarkEnd w:id="8"/>
      <w:r w:rsidRPr="00D13AA7">
        <w:t>Range of Conditions</w:t>
      </w:r>
    </w:p>
    <w:tbl>
      <w:tblPr>
        <w:tblW w:w="9498" w:type="dxa"/>
        <w:tblLayout w:type="fixed"/>
        <w:tblCellMar>
          <w:left w:w="62" w:type="dxa"/>
          <w:right w:w="62" w:type="dxa"/>
        </w:tblCellMar>
        <w:tblLook w:val="0000"/>
      </w:tblPr>
      <w:tblGrid>
        <w:gridCol w:w="2735"/>
        <w:gridCol w:w="6763"/>
      </w:tblGrid>
      <w:tr w:rsidTr="00D13AA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13AA7" w:rsidP="00D13AA7">
            <w:pPr>
              <w:pStyle w:val="BodyText"/>
            </w:pPr>
            <w:r w:rsidRPr="00D13AA7">
              <w:t>Specifies different work environments and conditions that may affect performance. Essential operating conditions that may be present (depending on the work situation, needs of the candidate, accessibility of the item, and local industry</w:t>
            </w:r>
            <w:r w:rsidRPr="00D13AA7">
              <w:t xml:space="preserve"> and regional contexts) are included.</w:t>
            </w:r>
          </w:p>
          <w:p w:rsidR="00000000" w:rsidRPr="00D13AA7" w:rsidP="00D13AA7">
            <w:pPr>
              <w:pStyle w:val="BodyText"/>
            </w:pPr>
          </w:p>
          <w:p w:rsidR="00000000" w:rsidP="00D13AA7">
            <w:pPr>
              <w:pStyle w:val="BodyText"/>
              <w:rPr>
                <w:lang w:val="en-NZ"/>
              </w:rPr>
            </w:pPr>
            <w:r w:rsidRPr="00D13AA7">
              <w:t>Range is restricted to essential operating conditions and any other variables essential to the work environment.</w:t>
            </w:r>
          </w:p>
        </w:tc>
      </w:tr>
      <w:tr w:rsidTr="00D13AA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Electrical systems and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13AA7" w:rsidP="00D13AA7">
            <w:pPr>
              <w:pStyle w:val="ListBullet"/>
            </w:pPr>
            <w:r w:rsidRPr="00D13AA7">
              <w:t>batteries</w:t>
            </w:r>
          </w:p>
          <w:p w:rsidR="00000000" w:rsidRPr="00D13AA7" w:rsidP="00D13AA7">
            <w:pPr>
              <w:pStyle w:val="ListBullet"/>
            </w:pPr>
            <w:r w:rsidRPr="00D13AA7">
              <w:t>charging systems</w:t>
            </w:r>
          </w:p>
          <w:p w:rsidR="00000000" w:rsidRPr="00D13AA7" w:rsidP="00D13AA7">
            <w:pPr>
              <w:pStyle w:val="ListBullet"/>
            </w:pPr>
            <w:r w:rsidRPr="00D13AA7">
              <w:t>fus</w:t>
            </w:r>
            <w:r w:rsidRPr="00D13AA7">
              <w:t>es and circuit breakers</w:t>
            </w:r>
          </w:p>
          <w:p w:rsidR="00000000" w:rsidRPr="00D13AA7" w:rsidP="00D13AA7">
            <w:pPr>
              <w:pStyle w:val="ListBullet"/>
            </w:pPr>
            <w:r w:rsidRPr="00D13AA7">
              <w:t>generators/alternators</w:t>
            </w:r>
          </w:p>
          <w:p w:rsidR="00000000" w:rsidRPr="00D13AA7" w:rsidP="00D13AA7">
            <w:pPr>
              <w:pStyle w:val="ListBullet"/>
            </w:pPr>
            <w:r w:rsidRPr="00D13AA7">
              <w:t>motors</w:t>
            </w:r>
          </w:p>
          <w:p w:rsidR="00000000" w:rsidRPr="00D13AA7" w:rsidP="00D13AA7">
            <w:pPr>
              <w:pStyle w:val="ListBullet"/>
            </w:pPr>
            <w:r w:rsidRPr="00D13AA7">
              <w:t>shore power connection</w:t>
            </w:r>
          </w:p>
          <w:p w:rsidR="00000000" w:rsidRPr="00D13AA7" w:rsidP="00D13AA7">
            <w:pPr>
              <w:pStyle w:val="ListBullet"/>
            </w:pPr>
            <w:r w:rsidRPr="00D13AA7">
              <w:t>starter motors</w:t>
            </w:r>
          </w:p>
          <w:p w:rsidR="00000000" w:rsidP="00D13AA7">
            <w:pPr>
              <w:pStyle w:val="ListBullet"/>
              <w:rPr>
                <w:lang w:val="en-NZ"/>
              </w:rPr>
            </w:pPr>
            <w:r w:rsidRPr="00D13AA7">
              <w:t>switchboards</w:t>
            </w:r>
          </w:p>
        </w:tc>
      </w:tr>
      <w:tr w:rsidTr="00D13AA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p>
        </w:tc>
      </w:tr>
      <w:tr w:rsidTr="00D13AA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Adjusted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13AA7" w:rsidP="00D13AA7">
            <w:pPr>
              <w:pStyle w:val="ListBullet"/>
            </w:pPr>
            <w:r w:rsidRPr="00D13AA7">
              <w:t>changing electrical supply to a larger alternator</w:t>
            </w:r>
          </w:p>
          <w:p w:rsidR="00000000" w:rsidRPr="00D13AA7" w:rsidP="00D13AA7">
            <w:pPr>
              <w:pStyle w:val="ListBullet"/>
            </w:pPr>
            <w:r w:rsidRPr="00D13AA7">
              <w:t>connecting further alternators in parallel</w:t>
            </w:r>
          </w:p>
          <w:p w:rsidR="00000000" w:rsidP="00D13AA7">
            <w:pPr>
              <w:pStyle w:val="ListBullet"/>
              <w:rPr>
                <w:lang w:val="en-NZ"/>
              </w:rPr>
            </w:pPr>
            <w:r w:rsidRPr="00D13AA7">
              <w:t>requesting non-essential electrical systems be isolated</w:t>
            </w:r>
          </w:p>
        </w:tc>
      </w:tr>
      <w:tr w:rsidTr="00D13AA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p>
        </w:tc>
      </w:tr>
      <w:tr w:rsidTr="00D13AA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13AA7">
            <w:pPr>
              <w:pStyle w:val="BodyText"/>
              <w:rPr>
                <w:lang w:val="en-NZ"/>
              </w:rPr>
            </w:pPr>
            <w:r w:rsidRPr="00D13AA7">
              <w:t>Operational faults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13AA7" w:rsidP="00D13AA7">
            <w:pPr>
              <w:pStyle w:val="ListBullet"/>
            </w:pPr>
            <w:r w:rsidRPr="00D13AA7">
              <w:t>battery faults</w:t>
            </w:r>
          </w:p>
          <w:p w:rsidR="00000000" w:rsidRPr="00D13AA7" w:rsidP="00D13AA7">
            <w:pPr>
              <w:pStyle w:val="ListBullet"/>
            </w:pPr>
            <w:r w:rsidRPr="00D13AA7">
              <w:t>earth faults</w:t>
            </w:r>
          </w:p>
          <w:p w:rsidR="00000000" w:rsidRPr="00D13AA7" w:rsidP="00D13AA7">
            <w:pPr>
              <w:pStyle w:val="ListBullet"/>
            </w:pPr>
            <w:r w:rsidRPr="00D13AA7">
              <w:t>failure of:</w:t>
            </w:r>
          </w:p>
          <w:p w:rsidR="00000000" w:rsidRPr="00D13AA7" w:rsidP="00D13AA7">
            <w:pPr>
              <w:pStyle w:val="ListBullet"/>
            </w:pPr>
            <w:r w:rsidRPr="00D13AA7">
              <w:t>starter motors</w:t>
            </w:r>
          </w:p>
          <w:p w:rsidR="00000000" w:rsidRPr="00D13AA7" w:rsidP="00D13AA7">
            <w:pPr>
              <w:pStyle w:val="ListBullet"/>
            </w:pPr>
            <w:r w:rsidRPr="00D13AA7">
              <w:t>alternators to produce voltage</w:t>
            </w:r>
          </w:p>
          <w:p w:rsidR="00000000" w:rsidRPr="00D13AA7" w:rsidP="00D13AA7">
            <w:pPr>
              <w:pStyle w:val="ListBullet"/>
            </w:pPr>
            <w:r w:rsidRPr="00D13AA7">
              <w:t>faults with shore power connections including phase rotations</w:t>
            </w:r>
          </w:p>
          <w:p w:rsidR="00000000" w:rsidRPr="00D13AA7" w:rsidP="00D13AA7">
            <w:pPr>
              <w:pStyle w:val="ListBullet"/>
            </w:pPr>
            <w:r w:rsidRPr="00D13AA7">
              <w:t xml:space="preserve">operation of fuses and circuit breakers </w:t>
            </w:r>
          </w:p>
          <w:p w:rsidR="00000000" w:rsidRPr="00D13AA7" w:rsidP="00D13AA7">
            <w:pPr>
              <w:pStyle w:val="ListBullet"/>
            </w:pPr>
            <w:r w:rsidRPr="00D13AA7">
              <w:t>operation of protection devices on the switchboard</w:t>
            </w:r>
          </w:p>
        </w:tc>
      </w:tr>
    </w:tbl>
    <w:p w:rsidR="00000000" w:rsidRPr="00D13AA7" w:rsidP="00D13AA7">
      <w:pPr>
        <w:pStyle w:val="BodyText"/>
      </w:pPr>
    </w:p>
    <w:p w:rsidR="00000000" w:rsidRPr="00D13AA7" w:rsidP="00D13AA7">
      <w:pPr>
        <w:pStyle w:val="AllowPageBreak"/>
      </w:pPr>
    </w:p>
    <w:p w:rsidR="00000000" w:rsidRPr="00D13AA7" w:rsidP="00D13AA7">
      <w:pPr>
        <w:pStyle w:val="Heading1"/>
      </w:pPr>
      <w:bookmarkStart w:id="9" w:name="O_634088"/>
      <w:bookmarkEnd w:id="9"/>
      <w:r w:rsidRPr="00D13AA7">
        <w:t>Unit Mapping Information</w:t>
      </w:r>
    </w:p>
    <w:p w:rsidR="00000000" w:rsidRPr="00D13AA7" w:rsidP="00D13AA7">
      <w:pPr>
        <w:pStyle w:val="BodyText"/>
      </w:pPr>
      <w:r w:rsidRPr="00D13AA7">
        <w:t>This is a new unit. This unit is equivalent to MARC3007A O</w:t>
      </w:r>
      <w:r w:rsidRPr="00D13AA7">
        <w:t>perate electrical systems.</w:t>
      </w:r>
    </w:p>
    <w:p w:rsidR="00000000" w:rsidRPr="00D13AA7" w:rsidP="00D13AA7">
      <w:pPr>
        <w:pStyle w:val="AllowPageBreak"/>
      </w:pPr>
    </w:p>
    <w:p w:rsidR="00000000" w:rsidRPr="00D13AA7" w:rsidP="00D13AA7">
      <w:pPr>
        <w:pStyle w:val="Heading1"/>
      </w:pPr>
      <w:bookmarkStart w:id="10" w:name="O_634097"/>
      <w:bookmarkEnd w:id="10"/>
      <w:r w:rsidRPr="00D13AA7">
        <w:t>Links</w:t>
      </w:r>
    </w:p>
    <w:p w:rsidR="00000000" w:rsidRPr="00D13AA7" w:rsidP="00D13AA7">
      <w:pPr>
        <w:pStyle w:val="BodyText"/>
      </w:pPr>
      <w:r w:rsidRPr="00D13AA7">
        <w:t>MAR Maritime Training Package Companion Volume Implementation Guide at: - http://companion_volumes.vetnet.education.gov.au/Pages/TrainingPackage.aspx?pid=22</w:t>
      </w:r>
    </w:p>
    <w:p w:rsidR="00000000" w:rsidRPr="00D13AA7" w:rsidP="00D13AA7"/>
    <w:sectPr w:rsidSect="00D13A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A7" w:rsidRPr="005B4987" w:rsidP="005B4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87" w:rsidP="00D13A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B4987" w:rsidP="00D13AA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B4987" w:rsidP="00D13A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A7" w:rsidRPr="005B4987" w:rsidP="005B49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87" w:rsidRPr="002D2AF8" w:rsidP="00D13AA7">
    <w:pPr>
      <w:pStyle w:val="Header"/>
      <w:framePr w:wrap="around"/>
    </w:pPr>
    <w:r>
      <w:fldChar w:fldCharType="begin"/>
    </w:r>
    <w:r>
      <w:instrText xml:space="preserve"> TITLE   \* MERGEFORMAT </w:instrText>
    </w:r>
    <w:r>
      <w:fldChar w:fldCharType="separate"/>
    </w:r>
    <w:r>
      <w:t>MARC010 Operate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5B4987" w:rsidP="00D13A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BCAA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22A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A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AA7"/>
    <w:pPr>
      <w:spacing w:before="360" w:after="60"/>
      <w:outlineLvl w:val="0"/>
    </w:pPr>
    <w:rPr>
      <w:sz w:val="32"/>
    </w:rPr>
  </w:style>
  <w:style w:type="paragraph" w:styleId="Heading2">
    <w:name w:val="heading 2"/>
    <w:basedOn w:val="HeadingBase"/>
    <w:next w:val="BodyText"/>
    <w:link w:val="Heading2Char"/>
    <w:qFormat/>
    <w:rsid w:val="00D13AA7"/>
    <w:pPr>
      <w:keepLines/>
      <w:spacing w:before="240" w:after="120"/>
      <w:outlineLvl w:val="1"/>
    </w:pPr>
    <w:rPr>
      <w:sz w:val="28"/>
      <w:szCs w:val="40"/>
    </w:rPr>
  </w:style>
  <w:style w:type="paragraph" w:styleId="Heading3">
    <w:name w:val="heading 3"/>
    <w:basedOn w:val="HeadingBase"/>
    <w:next w:val="BodyText"/>
    <w:link w:val="Heading3Char"/>
    <w:qFormat/>
    <w:rsid w:val="00D13AA7"/>
    <w:pPr>
      <w:spacing w:before="180" w:after="120"/>
      <w:outlineLvl w:val="2"/>
    </w:pPr>
    <w:rPr>
      <w:spacing w:val="-10"/>
      <w:kern w:val="32"/>
    </w:rPr>
  </w:style>
  <w:style w:type="paragraph" w:styleId="Heading4">
    <w:name w:val="heading 4"/>
    <w:basedOn w:val="HeadingBase"/>
    <w:next w:val="BodyText"/>
    <w:link w:val="Heading4Char"/>
    <w:qFormat/>
    <w:rsid w:val="00D13AA7"/>
    <w:pPr>
      <w:spacing w:before="160" w:after="120"/>
      <w:outlineLvl w:val="3"/>
    </w:pPr>
    <w:rPr>
      <w:sz w:val="22"/>
    </w:rPr>
  </w:style>
  <w:style w:type="paragraph" w:styleId="Heading5">
    <w:name w:val="heading 5"/>
    <w:basedOn w:val="HeadingBase"/>
    <w:next w:val="Normal"/>
    <w:link w:val="Heading5Char"/>
    <w:qFormat/>
    <w:rsid w:val="00D13AA7"/>
    <w:pPr>
      <w:spacing w:before="80"/>
      <w:outlineLvl w:val="4"/>
    </w:pPr>
    <w:rPr>
      <w:color w:val="918585"/>
      <w:sz w:val="20"/>
    </w:rPr>
  </w:style>
  <w:style w:type="paragraph" w:styleId="Heading6">
    <w:name w:val="heading 6"/>
    <w:basedOn w:val="HeadingBase"/>
    <w:next w:val="Normal"/>
    <w:link w:val="Heading6Char"/>
    <w:qFormat/>
    <w:rsid w:val="00D13AA7"/>
    <w:pPr>
      <w:spacing w:before="60"/>
      <w:outlineLvl w:val="5"/>
    </w:pPr>
    <w:rPr>
      <w:color w:val="918585"/>
      <w:sz w:val="20"/>
    </w:rPr>
  </w:style>
  <w:style w:type="paragraph" w:styleId="Heading7">
    <w:name w:val="heading 7"/>
    <w:basedOn w:val="Normal"/>
    <w:next w:val="Normal"/>
    <w:link w:val="Heading7Char"/>
    <w:qFormat/>
    <w:rsid w:val="00D13AA7"/>
    <w:pPr>
      <w:ind w:left="720"/>
      <w:outlineLvl w:val="6"/>
    </w:pPr>
    <w:rPr>
      <w:i/>
    </w:rPr>
  </w:style>
  <w:style w:type="paragraph" w:styleId="Heading8">
    <w:name w:val="heading 8"/>
    <w:basedOn w:val="Normal"/>
    <w:next w:val="Normal"/>
    <w:link w:val="Heading8Char"/>
    <w:qFormat/>
    <w:rsid w:val="00D13AA7"/>
    <w:pPr>
      <w:ind w:left="720"/>
      <w:outlineLvl w:val="7"/>
    </w:pPr>
    <w:rPr>
      <w:i/>
    </w:rPr>
  </w:style>
  <w:style w:type="paragraph" w:styleId="Heading9">
    <w:name w:val="heading 9"/>
    <w:basedOn w:val="Normal"/>
    <w:next w:val="Normal"/>
    <w:link w:val="Heading9Char"/>
    <w:qFormat/>
    <w:rsid w:val="00D13AA7"/>
    <w:pPr>
      <w:ind w:left="720"/>
      <w:outlineLvl w:val="8"/>
    </w:pPr>
    <w:rPr>
      <w:i/>
    </w:rPr>
  </w:style>
  <w:style w:type="character" w:default="1" w:styleId="DefaultParagraphFont">
    <w:name w:val="Default Paragraph Font"/>
    <w:uiPriority w:val="1"/>
    <w:unhideWhenUsed/>
    <w:rsid w:val="00D13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AA7"/>
  </w:style>
  <w:style w:type="character" w:customStyle="1" w:styleId="Heading1Char">
    <w:name w:val="Heading 1 Char"/>
    <w:basedOn w:val="DefaultParagraphFont"/>
    <w:link w:val="Heading1"/>
    <w:rsid w:val="00D13AA7"/>
    <w:rPr>
      <w:rFonts w:ascii="Times New Roman" w:eastAsia="Times New Roman" w:hAnsi="Times New Roman" w:cs="Times New Roman"/>
      <w:b/>
      <w:sz w:val="32"/>
      <w:szCs w:val="20"/>
      <w:lang w:eastAsia="en-US"/>
    </w:rPr>
  </w:style>
  <w:style w:type="paragraph" w:styleId="BodyText">
    <w:name w:val="Body Text"/>
    <w:basedOn w:val="Normal"/>
    <w:link w:val="BodyTextChar"/>
    <w:rsid w:val="00D13A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3AA7"/>
    <w:rPr>
      <w:rFonts w:ascii="Times New Roman" w:eastAsia="Times New Roman" w:hAnsi="Times New Roman" w:cs="Times New Roman"/>
      <w:sz w:val="24"/>
      <w:lang w:eastAsia="en-US"/>
    </w:rPr>
  </w:style>
  <w:style w:type="paragraph" w:styleId="ListBullet">
    <w:name w:val="List Bullet"/>
    <w:basedOn w:val="List"/>
    <w:rsid w:val="00D13AA7"/>
    <w:pPr>
      <w:numPr>
        <w:numId w:val="12"/>
      </w:numPr>
      <w:tabs>
        <w:tab w:val="clear" w:pos="340"/>
      </w:tabs>
      <w:spacing w:before="40" w:after="40"/>
    </w:pPr>
  </w:style>
  <w:style w:type="character" w:customStyle="1" w:styleId="SpecialBold">
    <w:name w:val="Special Bold"/>
    <w:basedOn w:val="DefaultParagraphFont"/>
    <w:rsid w:val="00D13AA7"/>
    <w:rPr>
      <w:b/>
      <w:spacing w:val="0"/>
    </w:rPr>
  </w:style>
  <w:style w:type="paragraph" w:customStyle="1" w:styleId="SuperHeading">
    <w:name w:val="SuperHeading"/>
    <w:basedOn w:val="Normal"/>
    <w:rsid w:val="00D13AA7"/>
    <w:pPr>
      <w:spacing w:before="240" w:after="120"/>
      <w:outlineLvl w:val="0"/>
    </w:pPr>
    <w:rPr>
      <w:rFonts w:ascii="Times New Roman" w:hAnsi="Times New Roman"/>
      <w:b/>
      <w:sz w:val="32"/>
    </w:rPr>
  </w:style>
  <w:style w:type="paragraph" w:customStyle="1" w:styleId="AllowPageBreak">
    <w:name w:val="AllowPageBreak"/>
    <w:rsid w:val="00D13A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3A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A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A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A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A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A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AA7"/>
    <w:rPr>
      <w:rFonts w:ascii="Courier New" w:eastAsia="Times New Roman" w:hAnsi="Courier New" w:cs="Times New Roman"/>
      <w:i/>
      <w:szCs w:val="20"/>
      <w:lang w:eastAsia="en-US"/>
    </w:rPr>
  </w:style>
  <w:style w:type="paragraph" w:customStyle="1" w:styleId="HeadingBase">
    <w:name w:val="Heading Base"/>
    <w:rsid w:val="00D13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AA7"/>
    <w:pPr>
      <w:tabs>
        <w:tab w:val="right" w:leader="dot" w:pos="9072"/>
      </w:tabs>
      <w:ind w:left="567"/>
    </w:pPr>
    <w:rPr>
      <w:szCs w:val="22"/>
    </w:rPr>
  </w:style>
  <w:style w:type="paragraph" w:customStyle="1" w:styleId="TOCBase">
    <w:name w:val="TOC Base"/>
    <w:rsid w:val="00D13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AA7"/>
    <w:pPr>
      <w:tabs>
        <w:tab w:val="right" w:leader="dot" w:pos="9072"/>
      </w:tabs>
      <w:spacing w:before="40" w:after="40"/>
      <w:ind w:left="284"/>
    </w:pPr>
    <w:rPr>
      <w:rFonts w:ascii="Times New Roman" w:hAnsi="Times New Roman"/>
    </w:rPr>
  </w:style>
  <w:style w:type="paragraph" w:styleId="TOC1">
    <w:name w:val="toc 1"/>
    <w:basedOn w:val="TOCBase"/>
    <w:next w:val="Normal"/>
    <w:rsid w:val="00D13A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AA7"/>
    <w:rPr>
      <w:rFonts w:ascii="Times New Roman" w:eastAsia="Times New Roman" w:hAnsi="Times New Roman" w:cs="Times New Roman"/>
      <w:sz w:val="16"/>
      <w:lang w:eastAsia="en-US"/>
    </w:rPr>
  </w:style>
  <w:style w:type="paragraph" w:styleId="Title">
    <w:name w:val="Title"/>
    <w:basedOn w:val="HeadingBase"/>
    <w:link w:val="TitleChar"/>
    <w:qFormat/>
    <w:rsid w:val="00D13AA7"/>
    <w:pPr>
      <w:spacing w:before="5040"/>
      <w:jc w:val="center"/>
    </w:pPr>
    <w:rPr>
      <w:sz w:val="48"/>
      <w:szCs w:val="72"/>
      <w:lang w:val="en-US"/>
    </w:rPr>
  </w:style>
  <w:style w:type="character" w:customStyle="1" w:styleId="TitleChar">
    <w:name w:val="Title Char"/>
    <w:basedOn w:val="DefaultParagraphFont"/>
    <w:link w:val="Title"/>
    <w:rsid w:val="00D13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AA7"/>
    <w:pPr>
      <w:tabs>
        <w:tab w:val="left" w:pos="3600"/>
        <w:tab w:val="left" w:pos="3958"/>
      </w:tabs>
    </w:pPr>
  </w:style>
  <w:style w:type="paragraph" w:styleId="List">
    <w:name w:val="List"/>
    <w:basedOn w:val="BodyText"/>
    <w:next w:val="BodyText"/>
    <w:rsid w:val="00D13AA7"/>
    <w:pPr>
      <w:tabs>
        <w:tab w:val="left" w:pos="340"/>
      </w:tabs>
      <w:spacing w:before="60" w:after="60"/>
      <w:ind w:left="340" w:hanging="340"/>
    </w:pPr>
  </w:style>
  <w:style w:type="paragraph" w:customStyle="1" w:styleId="Note">
    <w:name w:val="Note"/>
    <w:basedOn w:val="BodyText"/>
    <w:rsid w:val="00D13A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AA7"/>
    <w:pPr>
      <w:framePr w:wrap="auto" w:hAnchor="text" w:y="6049"/>
    </w:pPr>
    <w:rPr>
      <w:color w:val="000000"/>
      <w:sz w:val="40"/>
    </w:rPr>
  </w:style>
  <w:style w:type="paragraph" w:customStyle="1" w:styleId="TOCTitle">
    <w:name w:val="TOCTitle"/>
    <w:basedOn w:val="Heading1"/>
    <w:rsid w:val="00D13AA7"/>
    <w:pPr>
      <w:spacing w:after="240"/>
      <w:jc w:val="center"/>
      <w:outlineLvl w:val="9"/>
    </w:pPr>
    <w:rPr>
      <w:caps/>
    </w:rPr>
  </w:style>
  <w:style w:type="paragraph" w:customStyle="1" w:styleId="Version">
    <w:name w:val="Version"/>
    <w:rsid w:val="00D13A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AA7"/>
    <w:pPr>
      <w:numPr>
        <w:numId w:val="13"/>
      </w:numPr>
      <w:tabs>
        <w:tab w:val="clear" w:pos="680"/>
      </w:tabs>
    </w:pPr>
  </w:style>
  <w:style w:type="paragraph" w:styleId="Index1">
    <w:name w:val="index 1"/>
    <w:basedOn w:val="Normal"/>
    <w:next w:val="Normal"/>
    <w:semiHidden/>
    <w:rsid w:val="00D13AA7"/>
    <w:pPr>
      <w:keepNext w:val="0"/>
      <w:tabs>
        <w:tab w:val="right" w:pos="4176"/>
      </w:tabs>
      <w:ind w:left="198" w:hanging="198"/>
    </w:pPr>
    <w:rPr>
      <w:rFonts w:ascii="Garamond" w:hAnsi="Garamond"/>
    </w:rPr>
  </w:style>
  <w:style w:type="paragraph" w:styleId="IndexHeading">
    <w:name w:val="index heading"/>
    <w:basedOn w:val="Normal"/>
    <w:next w:val="Index1"/>
    <w:semiHidden/>
    <w:rsid w:val="00D13AA7"/>
    <w:pPr>
      <w:spacing w:before="120" w:after="120"/>
    </w:pPr>
    <w:rPr>
      <w:rFonts w:ascii="Arial" w:hAnsi="Arial"/>
      <w:b/>
      <w:color w:val="918585"/>
      <w:sz w:val="24"/>
    </w:rPr>
  </w:style>
  <w:style w:type="paragraph" w:styleId="Header">
    <w:name w:val="header"/>
    <w:basedOn w:val="Normal"/>
    <w:link w:val="HeaderChar"/>
    <w:rsid w:val="00D13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AA7"/>
    <w:rPr>
      <w:rFonts w:ascii="Times New Roman" w:eastAsia="Times New Roman" w:hAnsi="Times New Roman" w:cs="Times New Roman"/>
      <w:sz w:val="16"/>
      <w:szCs w:val="20"/>
      <w:lang w:val="en-GB" w:eastAsia="en-US"/>
    </w:rPr>
  </w:style>
  <w:style w:type="paragraph" w:customStyle="1" w:styleId="Chapter">
    <w:name w:val="Chapter"/>
    <w:basedOn w:val="Normal"/>
    <w:rsid w:val="00D13AA7"/>
    <w:pPr>
      <w:spacing w:before="240"/>
    </w:pPr>
    <w:rPr>
      <w:rFonts w:ascii="Times New Roman" w:hAnsi="Times New Roman"/>
      <w:smallCaps/>
      <w:spacing w:val="80"/>
      <w:sz w:val="28"/>
    </w:rPr>
  </w:style>
  <w:style w:type="paragraph" w:customStyle="1" w:styleId="InChapter">
    <w:name w:val="InChapter"/>
    <w:basedOn w:val="Heading3"/>
    <w:rsid w:val="00D13AA7"/>
    <w:pPr>
      <w:spacing w:after="240"/>
      <w:outlineLvl w:val="9"/>
    </w:pPr>
    <w:rPr>
      <w:noProof/>
    </w:rPr>
  </w:style>
  <w:style w:type="paragraph" w:styleId="Index2">
    <w:name w:val="index 2"/>
    <w:basedOn w:val="Normal"/>
    <w:next w:val="Normal"/>
    <w:semiHidden/>
    <w:rsid w:val="00D13AA7"/>
    <w:pPr>
      <w:tabs>
        <w:tab w:val="right" w:pos="4176"/>
      </w:tabs>
      <w:ind w:left="568" w:hanging="284"/>
    </w:pPr>
    <w:rPr>
      <w:rFonts w:ascii="Garamond" w:hAnsi="Garamond"/>
    </w:rPr>
  </w:style>
  <w:style w:type="paragraph" w:customStyle="1" w:styleId="Byline">
    <w:name w:val="Byline"/>
    <w:rsid w:val="00D13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AA7"/>
    <w:pPr>
      <w:tabs>
        <w:tab w:val="clear" w:pos="3600"/>
        <w:tab w:val="clear" w:pos="3958"/>
      </w:tabs>
      <w:jc w:val="right"/>
    </w:pPr>
  </w:style>
  <w:style w:type="character" w:styleId="Emphasis">
    <w:name w:val="Emphasis"/>
    <w:basedOn w:val="DefaultParagraphFont"/>
    <w:qFormat/>
    <w:rsid w:val="00D13AA7"/>
    <w:rPr>
      <w:i/>
    </w:rPr>
  </w:style>
  <w:style w:type="paragraph" w:styleId="Caption">
    <w:name w:val="caption"/>
    <w:basedOn w:val="BodyText"/>
    <w:next w:val="Normal"/>
    <w:qFormat/>
    <w:rsid w:val="00D13AA7"/>
    <w:pPr>
      <w:framePr w:w="2268" w:hSpace="181" w:vSpace="181" w:wrap="around" w:vAnchor="text" w:hAnchor="page" w:x="1135" w:y="285" w:anchorLock="1"/>
    </w:pPr>
    <w:rPr>
      <w:i/>
    </w:rPr>
  </w:style>
  <w:style w:type="paragraph" w:customStyle="1" w:styleId="MiniTOCTitle">
    <w:name w:val="MiniTOCTitle"/>
    <w:basedOn w:val="Heading4"/>
    <w:rsid w:val="00D13AA7"/>
    <w:pPr>
      <w:spacing w:before="240"/>
      <w:outlineLvl w:val="9"/>
    </w:pPr>
    <w:rPr>
      <w:noProof/>
      <w:sz w:val="24"/>
    </w:rPr>
  </w:style>
  <w:style w:type="paragraph" w:customStyle="1" w:styleId="MiniTOCItem">
    <w:name w:val="MiniTOCItem"/>
    <w:basedOn w:val="ListBullet"/>
    <w:rsid w:val="00D13AA7"/>
    <w:pPr>
      <w:numPr>
        <w:numId w:val="0"/>
      </w:numPr>
      <w:tabs>
        <w:tab w:val="right" w:leader="dot" w:pos="6521"/>
      </w:tabs>
      <w:spacing w:before="0" w:after="0"/>
    </w:pPr>
  </w:style>
  <w:style w:type="paragraph" w:customStyle="1" w:styleId="TOFTitle">
    <w:name w:val="TOFTitle"/>
    <w:basedOn w:val="TOCTitle"/>
    <w:rsid w:val="00D13AA7"/>
  </w:style>
  <w:style w:type="paragraph" w:styleId="TableofFigures">
    <w:name w:val="table of figures"/>
    <w:basedOn w:val="Normal"/>
    <w:next w:val="Normal"/>
    <w:semiHidden/>
    <w:rsid w:val="00D13AA7"/>
    <w:pPr>
      <w:tabs>
        <w:tab w:val="right" w:leader="dot" w:pos="9072"/>
      </w:tabs>
      <w:ind w:left="970" w:hanging="403"/>
    </w:pPr>
    <w:rPr>
      <w:rFonts w:ascii="Times New Roman" w:hAnsi="Times New Roman"/>
      <w:b/>
    </w:rPr>
  </w:style>
  <w:style w:type="paragraph" w:styleId="ListNumber">
    <w:name w:val="List Number"/>
    <w:basedOn w:val="List"/>
    <w:rsid w:val="00D13AA7"/>
    <w:pPr>
      <w:numPr>
        <w:numId w:val="10"/>
      </w:numPr>
    </w:pPr>
  </w:style>
  <w:style w:type="character" w:customStyle="1" w:styleId="WingdingSymbols">
    <w:name w:val="Wingding Symbols"/>
    <w:rsid w:val="00D13AA7"/>
    <w:rPr>
      <w:rFonts w:ascii="Wingdings" w:hAnsi="Wingdings"/>
    </w:rPr>
  </w:style>
  <w:style w:type="paragraph" w:customStyle="1" w:styleId="TableHeading">
    <w:name w:val="Table Heading"/>
    <w:basedOn w:val="HeadingBase"/>
    <w:rsid w:val="00D13AA7"/>
    <w:pPr>
      <w:keepLines/>
      <w:pBdr>
        <w:bottom w:val="single" w:sz="6" w:space="1" w:color="918585"/>
      </w:pBdr>
      <w:spacing w:before="240"/>
    </w:pPr>
  </w:style>
  <w:style w:type="character" w:customStyle="1" w:styleId="HotSpot">
    <w:name w:val="HotSpot"/>
    <w:rsid w:val="00D13AA7"/>
    <w:rPr>
      <w:color w:val="0033CC"/>
      <w:u w:val="none"/>
    </w:rPr>
  </w:style>
  <w:style w:type="paragraph" w:customStyle="1" w:styleId="BodyTextRight">
    <w:name w:val="Body Text Right"/>
    <w:basedOn w:val="BodyText"/>
    <w:rsid w:val="00D13AA7"/>
    <w:pPr>
      <w:spacing w:before="0" w:after="0"/>
      <w:jc w:val="right"/>
    </w:pPr>
  </w:style>
  <w:style w:type="paragraph" w:styleId="Index3">
    <w:name w:val="index 3"/>
    <w:basedOn w:val="ListNumber2"/>
    <w:next w:val="Normal"/>
    <w:semiHidden/>
    <w:rsid w:val="00D13AA7"/>
    <w:pPr>
      <w:numPr>
        <w:numId w:val="0"/>
      </w:numPr>
      <w:tabs>
        <w:tab w:val="right" w:leader="dot" w:pos="4176"/>
      </w:tabs>
    </w:pPr>
  </w:style>
  <w:style w:type="paragraph" w:styleId="ListNumber2">
    <w:name w:val="List Number 2"/>
    <w:basedOn w:val="List2"/>
    <w:rsid w:val="00D13AA7"/>
    <w:pPr>
      <w:numPr>
        <w:numId w:val="9"/>
      </w:numPr>
      <w:tabs>
        <w:tab w:val="clear" w:pos="1060"/>
      </w:tabs>
    </w:pPr>
  </w:style>
  <w:style w:type="paragraph" w:customStyle="1" w:styleId="MarginNote">
    <w:name w:val="Margin Note"/>
    <w:basedOn w:val="BodyText"/>
    <w:rsid w:val="00D13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A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AA7"/>
    <w:rPr>
      <w:sz w:val="32"/>
    </w:rPr>
  </w:style>
  <w:style w:type="paragraph" w:customStyle="1" w:styleId="HeadingProcedure">
    <w:name w:val="Heading Procedure"/>
    <w:basedOn w:val="HeadingBase"/>
    <w:next w:val="Normal"/>
    <w:rsid w:val="00D13AA7"/>
    <w:pPr>
      <w:tabs>
        <w:tab w:val="left" w:pos="0"/>
      </w:tabs>
      <w:spacing w:before="120" w:after="60"/>
    </w:pPr>
    <w:rPr>
      <w:i/>
      <w:color w:val="918585"/>
      <w:sz w:val="22"/>
    </w:rPr>
  </w:style>
  <w:style w:type="paragraph" w:customStyle="1" w:styleId="TableBodyText">
    <w:name w:val="Table Body Text"/>
    <w:basedOn w:val="BodyText"/>
    <w:rsid w:val="00D13AA7"/>
    <w:pPr>
      <w:spacing w:before="60" w:after="60"/>
    </w:pPr>
  </w:style>
  <w:style w:type="paragraph" w:styleId="ListContinue">
    <w:name w:val="List Continue"/>
    <w:basedOn w:val="List"/>
    <w:rsid w:val="00D13AA7"/>
    <w:pPr>
      <w:ind w:firstLine="0"/>
    </w:pPr>
  </w:style>
  <w:style w:type="paragraph" w:customStyle="1" w:styleId="ListNote">
    <w:name w:val="List Note"/>
    <w:basedOn w:val="List"/>
    <w:rsid w:val="00D13AA7"/>
    <w:pPr>
      <w:pBdr>
        <w:top w:val="single" w:sz="6" w:space="2" w:color="918585"/>
        <w:bottom w:val="single" w:sz="6" w:space="2" w:color="918585"/>
      </w:pBdr>
      <w:tabs>
        <w:tab w:val="left" w:pos="1021"/>
      </w:tabs>
      <w:ind w:firstLine="0"/>
    </w:pPr>
  </w:style>
  <w:style w:type="paragraph" w:customStyle="1" w:styleId="Warning">
    <w:name w:val="Warning"/>
    <w:basedOn w:val="BodyText"/>
    <w:rsid w:val="00D13AA7"/>
    <w:pPr>
      <w:shd w:val="clear" w:color="auto" w:fill="D9D9D9"/>
      <w:tabs>
        <w:tab w:val="left" w:pos="992"/>
      </w:tabs>
      <w:ind w:left="119" w:right="119"/>
    </w:pPr>
    <w:rPr>
      <w:sz w:val="20"/>
    </w:rPr>
  </w:style>
  <w:style w:type="paragraph" w:customStyle="1" w:styleId="MarginIcons">
    <w:name w:val="Margin Icons"/>
    <w:basedOn w:val="BodyText"/>
    <w:rsid w:val="00D13A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AA7"/>
    <w:rPr>
      <w:rFonts w:ascii="Courier New" w:hAnsi="Courier New"/>
    </w:rPr>
  </w:style>
  <w:style w:type="paragraph" w:customStyle="1" w:styleId="NoteBullet">
    <w:name w:val="Note Bullet"/>
    <w:basedOn w:val="Note"/>
    <w:rsid w:val="00D13AA7"/>
    <w:pPr>
      <w:tabs>
        <w:tab w:val="clear" w:pos="680"/>
      </w:tabs>
      <w:spacing w:before="60" w:after="60"/>
    </w:pPr>
  </w:style>
  <w:style w:type="paragraph" w:customStyle="1" w:styleId="SubHeading2">
    <w:name w:val="SubHeading2"/>
    <w:basedOn w:val="HeadingBase"/>
    <w:rsid w:val="00D13AA7"/>
    <w:pPr>
      <w:spacing w:before="240" w:after="60"/>
    </w:pPr>
    <w:rPr>
      <w:sz w:val="20"/>
    </w:rPr>
  </w:style>
  <w:style w:type="paragraph" w:customStyle="1" w:styleId="SubHeading1">
    <w:name w:val="SubHeading1"/>
    <w:basedOn w:val="HeadingBase"/>
    <w:rsid w:val="00D13AA7"/>
    <w:pPr>
      <w:spacing w:before="240" w:after="60"/>
    </w:pPr>
    <w:rPr>
      <w:color w:val="918585"/>
      <w:sz w:val="22"/>
    </w:rPr>
  </w:style>
  <w:style w:type="paragraph" w:customStyle="1" w:styleId="SideHeading">
    <w:name w:val="Side Heading"/>
    <w:basedOn w:val="HeadingBase"/>
    <w:rsid w:val="00D13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AA7"/>
    <w:pPr>
      <w:tabs>
        <w:tab w:val="num" w:pos="360"/>
      </w:tabs>
    </w:pPr>
  </w:style>
  <w:style w:type="paragraph" w:styleId="PlainText">
    <w:name w:val="Plain Text"/>
    <w:basedOn w:val="Normal"/>
    <w:link w:val="PlainTextChar"/>
    <w:rsid w:val="00D13AA7"/>
    <w:rPr>
      <w:sz w:val="20"/>
    </w:rPr>
  </w:style>
  <w:style w:type="character" w:customStyle="1" w:styleId="PlainTextChar">
    <w:name w:val="Plain Text Char"/>
    <w:basedOn w:val="DefaultParagraphFont"/>
    <w:link w:val="PlainText"/>
    <w:rsid w:val="00D13AA7"/>
    <w:rPr>
      <w:rFonts w:ascii="Courier New" w:eastAsia="Times New Roman" w:hAnsi="Courier New" w:cs="Times New Roman"/>
      <w:sz w:val="20"/>
      <w:szCs w:val="20"/>
      <w:lang w:eastAsia="en-US"/>
    </w:rPr>
  </w:style>
  <w:style w:type="character" w:customStyle="1" w:styleId="MenuOption">
    <w:name w:val="Menu Option"/>
    <w:basedOn w:val="DefaultParagraphFont"/>
    <w:rsid w:val="00D13AA7"/>
    <w:rPr>
      <w:b/>
      <w:smallCaps/>
    </w:rPr>
  </w:style>
  <w:style w:type="paragraph" w:customStyle="1" w:styleId="TableListNumber">
    <w:name w:val="Table List Number"/>
    <w:basedOn w:val="ListNumber"/>
    <w:rsid w:val="00D13AA7"/>
    <w:pPr>
      <w:numPr>
        <w:numId w:val="0"/>
      </w:numPr>
    </w:pPr>
  </w:style>
  <w:style w:type="paragraph" w:styleId="TOC4">
    <w:name w:val="toc 4"/>
    <w:basedOn w:val="TOCBase"/>
    <w:next w:val="Normal"/>
    <w:semiHidden/>
    <w:rsid w:val="00D13AA7"/>
    <w:pPr>
      <w:tabs>
        <w:tab w:val="right" w:leader="dot" w:pos="9071"/>
      </w:tabs>
      <w:ind w:left="1701"/>
    </w:pPr>
  </w:style>
  <w:style w:type="paragraph" w:customStyle="1" w:styleId="ListAlpha">
    <w:name w:val="List Alpha"/>
    <w:basedOn w:val="List"/>
    <w:rsid w:val="00D13AA7"/>
    <w:pPr>
      <w:numPr>
        <w:numId w:val="8"/>
      </w:numPr>
    </w:pPr>
  </w:style>
  <w:style w:type="paragraph" w:customStyle="1" w:styleId="ListAlpha2">
    <w:name w:val="List Alpha 2"/>
    <w:basedOn w:val="List2"/>
    <w:rsid w:val="00D13AA7"/>
    <w:pPr>
      <w:numPr>
        <w:numId w:val="7"/>
      </w:numPr>
    </w:pPr>
  </w:style>
  <w:style w:type="paragraph" w:styleId="List2">
    <w:name w:val="List 2"/>
    <w:basedOn w:val="BodyText"/>
    <w:rsid w:val="00D13AA7"/>
    <w:pPr>
      <w:tabs>
        <w:tab w:val="left" w:pos="680"/>
      </w:tabs>
      <w:spacing w:before="60" w:after="60"/>
      <w:ind w:left="680" w:hanging="340"/>
    </w:pPr>
  </w:style>
  <w:style w:type="paragraph" w:styleId="List3">
    <w:name w:val="List 3"/>
    <w:basedOn w:val="BodyText"/>
    <w:rsid w:val="00D13AA7"/>
    <w:pPr>
      <w:tabs>
        <w:tab w:val="left" w:pos="1021"/>
      </w:tabs>
      <w:spacing w:before="60" w:after="60"/>
      <w:ind w:left="1020" w:hanging="340"/>
    </w:pPr>
  </w:style>
  <w:style w:type="paragraph" w:styleId="List4">
    <w:name w:val="List 4"/>
    <w:basedOn w:val="BodyText"/>
    <w:rsid w:val="00D13AA7"/>
    <w:pPr>
      <w:tabs>
        <w:tab w:val="left" w:pos="1361"/>
      </w:tabs>
      <w:spacing w:before="60" w:after="60"/>
      <w:ind w:left="1361" w:hanging="340"/>
    </w:pPr>
  </w:style>
  <w:style w:type="paragraph" w:styleId="List5">
    <w:name w:val="List 5"/>
    <w:basedOn w:val="BodyText"/>
    <w:rsid w:val="00D13AA7"/>
    <w:pPr>
      <w:tabs>
        <w:tab w:val="left" w:pos="1701"/>
      </w:tabs>
      <w:spacing w:before="60" w:after="60"/>
      <w:ind w:left="1701" w:hanging="340"/>
    </w:pPr>
  </w:style>
  <w:style w:type="paragraph" w:styleId="ListBullet3">
    <w:name w:val="List Bullet 3"/>
    <w:basedOn w:val="List3"/>
    <w:rsid w:val="00D13AA7"/>
    <w:pPr>
      <w:numPr>
        <w:numId w:val="14"/>
      </w:numPr>
      <w:tabs>
        <w:tab w:val="clear" w:pos="1021"/>
      </w:tabs>
      <w:ind w:left="1037" w:hanging="357"/>
    </w:pPr>
  </w:style>
  <w:style w:type="paragraph" w:styleId="ListBullet4">
    <w:name w:val="List Bullet 4"/>
    <w:basedOn w:val="List4"/>
    <w:rsid w:val="00D13AA7"/>
    <w:pPr>
      <w:numPr>
        <w:numId w:val="2"/>
      </w:numPr>
      <w:tabs>
        <w:tab w:val="clear" w:pos="1361"/>
      </w:tabs>
    </w:pPr>
  </w:style>
  <w:style w:type="paragraph" w:styleId="ListBullet5">
    <w:name w:val="List Bullet 5"/>
    <w:basedOn w:val="List5"/>
    <w:rsid w:val="00D13AA7"/>
    <w:pPr>
      <w:numPr>
        <w:numId w:val="3"/>
      </w:numPr>
    </w:pPr>
  </w:style>
  <w:style w:type="paragraph" w:styleId="ListContinue2">
    <w:name w:val="List Continue 2"/>
    <w:basedOn w:val="List2"/>
    <w:rsid w:val="00D13AA7"/>
    <w:pPr>
      <w:ind w:firstLine="0"/>
    </w:pPr>
  </w:style>
  <w:style w:type="paragraph" w:styleId="ListContinue3">
    <w:name w:val="List Continue 3"/>
    <w:basedOn w:val="List3"/>
    <w:rsid w:val="00D13AA7"/>
    <w:pPr>
      <w:ind w:left="1021" w:firstLine="0"/>
    </w:pPr>
  </w:style>
  <w:style w:type="paragraph" w:styleId="ListContinue4">
    <w:name w:val="List Continue 4"/>
    <w:basedOn w:val="List4"/>
    <w:rsid w:val="00D13AA7"/>
    <w:pPr>
      <w:ind w:firstLine="0"/>
    </w:pPr>
  </w:style>
  <w:style w:type="paragraph" w:styleId="ListContinue5">
    <w:name w:val="List Continue 5"/>
    <w:basedOn w:val="List5"/>
    <w:rsid w:val="00D13AA7"/>
    <w:pPr>
      <w:ind w:firstLine="0"/>
    </w:pPr>
  </w:style>
  <w:style w:type="paragraph" w:styleId="ListNumber3">
    <w:name w:val="List Number 3"/>
    <w:basedOn w:val="List3"/>
    <w:rsid w:val="00D13AA7"/>
    <w:pPr>
      <w:numPr>
        <w:numId w:val="4"/>
      </w:numPr>
    </w:pPr>
  </w:style>
  <w:style w:type="paragraph" w:styleId="ListNumber4">
    <w:name w:val="List Number 4"/>
    <w:basedOn w:val="List4"/>
    <w:rsid w:val="00D13AA7"/>
    <w:pPr>
      <w:numPr>
        <w:numId w:val="5"/>
      </w:numPr>
    </w:pPr>
  </w:style>
  <w:style w:type="paragraph" w:styleId="ListNumber5">
    <w:name w:val="List Number 5"/>
    <w:basedOn w:val="List5"/>
    <w:rsid w:val="00D13AA7"/>
    <w:pPr>
      <w:numPr>
        <w:numId w:val="6"/>
      </w:numPr>
    </w:pPr>
  </w:style>
  <w:style w:type="paragraph" w:styleId="BlockText">
    <w:name w:val="Block Text"/>
    <w:basedOn w:val="Normal"/>
    <w:rsid w:val="00D13AA7"/>
    <w:pPr>
      <w:spacing w:after="120"/>
      <w:ind w:left="1440" w:right="1440"/>
    </w:pPr>
  </w:style>
  <w:style w:type="character" w:customStyle="1" w:styleId="Subscript">
    <w:name w:val="Subscript"/>
    <w:basedOn w:val="DefaultParagraphFont"/>
    <w:rsid w:val="00D13AA7"/>
    <w:rPr>
      <w:sz w:val="16"/>
      <w:vertAlign w:val="subscript"/>
    </w:rPr>
  </w:style>
  <w:style w:type="character" w:customStyle="1" w:styleId="Superscript">
    <w:name w:val="Superscript"/>
    <w:basedOn w:val="DefaultParagraphFont"/>
    <w:rsid w:val="00D13AA7"/>
    <w:rPr>
      <w:sz w:val="16"/>
      <w:vertAlign w:val="superscript"/>
    </w:rPr>
  </w:style>
  <w:style w:type="character" w:customStyle="1" w:styleId="Symbols">
    <w:name w:val="Symbols"/>
    <w:basedOn w:val="DefaultParagraphFont"/>
    <w:rsid w:val="00D13AA7"/>
    <w:rPr>
      <w:rFonts w:ascii="Symbol" w:hAnsi="Symbol"/>
    </w:rPr>
  </w:style>
  <w:style w:type="character" w:customStyle="1" w:styleId="MenuOptions">
    <w:name w:val="Menu Options"/>
    <w:basedOn w:val="DefaultParagraphFont"/>
    <w:rsid w:val="00D13AA7"/>
    <w:rPr>
      <w:rFonts w:ascii="Arial Narrow" w:hAnsi="Arial Narrow"/>
      <w:smallCaps/>
    </w:rPr>
  </w:style>
  <w:style w:type="character" w:customStyle="1" w:styleId="Buttons">
    <w:name w:val="Buttons"/>
    <w:basedOn w:val="DefaultParagraphFont"/>
    <w:rsid w:val="00D13AA7"/>
    <w:rPr>
      <w:b/>
    </w:rPr>
  </w:style>
  <w:style w:type="character" w:customStyle="1" w:styleId="Underlined">
    <w:name w:val="Underlined"/>
    <w:basedOn w:val="DefaultParagraphFont"/>
    <w:rsid w:val="00D13AA7"/>
    <w:rPr>
      <w:u w:val="single"/>
    </w:rPr>
  </w:style>
  <w:style w:type="paragraph" w:customStyle="1" w:styleId="TableBodyTextRight">
    <w:name w:val="Table Body Text Right"/>
    <w:basedOn w:val="TableBodyText"/>
    <w:rsid w:val="00D13AA7"/>
    <w:pPr>
      <w:widowControl w:val="0"/>
      <w:autoSpaceDE w:val="0"/>
      <w:autoSpaceDN w:val="0"/>
      <w:adjustRightInd w:val="0"/>
      <w:jc w:val="right"/>
    </w:pPr>
    <w:rPr>
      <w:rFonts w:cs="Arial"/>
      <w:szCs w:val="18"/>
    </w:rPr>
  </w:style>
  <w:style w:type="paragraph" w:customStyle="1" w:styleId="CopyrightText">
    <w:name w:val="Copyright Text"/>
    <w:basedOn w:val="BodyText"/>
    <w:rsid w:val="00D13AA7"/>
    <w:rPr>
      <w:sz w:val="18"/>
    </w:rPr>
  </w:style>
  <w:style w:type="paragraph" w:customStyle="1" w:styleId="BodySmallRight">
    <w:name w:val="Body Small Right"/>
    <w:basedOn w:val="BodyTextRight"/>
    <w:rsid w:val="00D13AA7"/>
    <w:rPr>
      <w:sz w:val="18"/>
      <w:szCs w:val="18"/>
    </w:rPr>
  </w:style>
  <w:style w:type="paragraph" w:customStyle="1" w:styleId="MarginEdition">
    <w:name w:val="Margin Edition"/>
    <w:basedOn w:val="MarginNote"/>
    <w:rsid w:val="00D13AA7"/>
    <w:pPr>
      <w:spacing w:before="0" w:after="0"/>
    </w:pPr>
    <w:rPr>
      <w:rFonts w:ascii="Times New Roman" w:hAnsi="Times New Roman"/>
      <w:color w:val="999999"/>
    </w:rPr>
  </w:style>
  <w:style w:type="paragraph" w:customStyle="1" w:styleId="Spacer">
    <w:name w:val="Spacer"/>
    <w:basedOn w:val="Normal"/>
    <w:rsid w:val="00D13AA7"/>
    <w:rPr>
      <w:sz w:val="2"/>
      <w:szCs w:val="2"/>
    </w:rPr>
  </w:style>
  <w:style w:type="character" w:customStyle="1" w:styleId="Small">
    <w:name w:val="Small"/>
    <w:basedOn w:val="DefaultParagraphFont"/>
    <w:rsid w:val="00D13AA7"/>
    <w:rPr>
      <w:sz w:val="16"/>
    </w:rPr>
  </w:style>
  <w:style w:type="paragraph" w:customStyle="1" w:styleId="WideTable">
    <w:name w:val="Wide Table"/>
    <w:basedOn w:val="Normal"/>
    <w:rsid w:val="00D13AA7"/>
    <w:pPr>
      <w:ind w:left="-1418"/>
    </w:pPr>
    <w:rPr>
      <w:sz w:val="2"/>
      <w:szCs w:val="2"/>
    </w:rPr>
  </w:style>
  <w:style w:type="character" w:styleId="PageNumber">
    <w:name w:val="page number"/>
    <w:basedOn w:val="DefaultParagraphFont"/>
    <w:rsid w:val="00D13AA7"/>
  </w:style>
  <w:style w:type="paragraph" w:styleId="Quote">
    <w:name w:val="Quote"/>
    <w:basedOn w:val="Heading1"/>
    <w:link w:val="QuoteChar"/>
    <w:qFormat/>
    <w:rsid w:val="00D13AA7"/>
    <w:rPr>
      <w:b w:val="0"/>
      <w:sz w:val="72"/>
      <w:szCs w:val="72"/>
      <w:lang w:val="en-NZ"/>
    </w:rPr>
  </w:style>
  <w:style w:type="character" w:customStyle="1" w:styleId="QuoteChar">
    <w:name w:val="Quote Char"/>
    <w:basedOn w:val="DefaultParagraphFont"/>
    <w:link w:val="Quote"/>
    <w:rsid w:val="00D13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AA7"/>
    <w:pPr>
      <w:pageBreakBefore/>
    </w:pPr>
  </w:style>
  <w:style w:type="paragraph" w:customStyle="1" w:styleId="Border">
    <w:name w:val="Border"/>
    <w:basedOn w:val="Normal"/>
    <w:qFormat/>
    <w:rsid w:val="00D13A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AA7"/>
    <w:rPr>
      <w:b/>
      <w:bCs/>
      <w:i/>
      <w:iCs/>
      <w:color w:val="auto"/>
    </w:rPr>
  </w:style>
  <w:style w:type="paragraph" w:styleId="IntenseQuote">
    <w:name w:val="Intense Quote"/>
    <w:basedOn w:val="Normal"/>
    <w:next w:val="Normal"/>
    <w:link w:val="IntenseQuoteChar"/>
    <w:uiPriority w:val="30"/>
    <w:qFormat/>
    <w:rsid w:val="00D13A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A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AA7"/>
    <w:rPr>
      <w:smallCaps/>
      <w:color w:val="auto"/>
      <w:u w:val="single"/>
    </w:rPr>
  </w:style>
  <w:style w:type="character" w:styleId="IntenseReference">
    <w:name w:val="Intense Reference"/>
    <w:basedOn w:val="DefaultParagraphFont"/>
    <w:uiPriority w:val="32"/>
    <w:qFormat/>
    <w:rsid w:val="00D13AA7"/>
    <w:rPr>
      <w:b/>
      <w:bCs/>
      <w:smallCaps/>
      <w:color w:val="auto"/>
      <w:spacing w:val="5"/>
      <w:u w:val="single"/>
    </w:rPr>
  </w:style>
  <w:style w:type="paragraph" w:customStyle="1" w:styleId="2ColumnHeading">
    <w:name w:val="2Column Heading"/>
    <w:basedOn w:val="BodyText"/>
    <w:qFormat/>
    <w:rsid w:val="00D13AA7"/>
    <w:pPr>
      <w:spacing w:after="60"/>
      <w:ind w:left="-2268"/>
    </w:pPr>
    <w:rPr>
      <w:b/>
    </w:rPr>
  </w:style>
  <w:style w:type="paragraph" w:customStyle="1" w:styleId="Heading1TOC">
    <w:name w:val="Heading1 TOC"/>
    <w:basedOn w:val="Normal"/>
    <w:qFormat/>
    <w:rsid w:val="00D13AA7"/>
    <w:pPr>
      <w:spacing w:before="240" w:after="120"/>
    </w:pPr>
    <w:rPr>
      <w:rFonts w:ascii="Times New Roman" w:hAnsi="Times New Roman"/>
      <w:b/>
      <w:sz w:val="32"/>
    </w:rPr>
  </w:style>
  <w:style w:type="paragraph" w:customStyle="1" w:styleId="Heading2TOC">
    <w:name w:val="Heading2 TOC"/>
    <w:basedOn w:val="Normal"/>
    <w:qFormat/>
    <w:rsid w:val="00D13AA7"/>
    <w:pPr>
      <w:spacing w:before="240" w:after="60"/>
    </w:pPr>
    <w:rPr>
      <w:rFonts w:ascii="Times New Roman" w:hAnsi="Times New Roman"/>
      <w:b/>
      <w:sz w:val="28"/>
    </w:rPr>
  </w:style>
  <w:style w:type="character" w:customStyle="1" w:styleId="Underline">
    <w:name w:val="Underline"/>
    <w:basedOn w:val="DefaultParagraphFont"/>
    <w:qFormat/>
    <w:rsid w:val="00D13AA7"/>
    <w:rPr>
      <w:u w:val="single"/>
    </w:rPr>
  </w:style>
  <w:style w:type="character" w:customStyle="1" w:styleId="BoldandItalics">
    <w:name w:val="Bold and Italics"/>
    <w:qFormat/>
    <w:rsid w:val="00D13AA7"/>
    <w:rPr>
      <w:b/>
      <w:i/>
      <w:u w:val="none"/>
    </w:rPr>
  </w:style>
  <w:style w:type="paragraph" w:styleId="BalloonText">
    <w:name w:val="Balloon Text"/>
    <w:basedOn w:val="Normal"/>
    <w:link w:val="BalloonTextChar"/>
    <w:rsid w:val="00D13AA7"/>
    <w:rPr>
      <w:rFonts w:ascii="Tahoma" w:hAnsi="Tahoma" w:cs="Tahoma"/>
      <w:sz w:val="16"/>
      <w:szCs w:val="16"/>
    </w:rPr>
  </w:style>
  <w:style w:type="character" w:customStyle="1" w:styleId="BalloonTextChar">
    <w:name w:val="Balloon Text Char"/>
    <w:basedOn w:val="DefaultParagraphFont"/>
    <w:link w:val="BalloonText"/>
    <w:rsid w:val="00D13A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A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3A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AA7"/>
    <w:rPr>
      <w:b/>
      <w:color w:val="660033"/>
      <w:spacing w:val="0"/>
    </w:rPr>
  </w:style>
  <w:style w:type="paragraph" w:customStyle="1" w:styleId="Nameditemlist">
    <w:name w:val="Named item list"/>
    <w:basedOn w:val="BodyText"/>
    <w:qFormat/>
    <w:rsid w:val="00D13A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3415</Characters>
  <Application>Microsoft Office Word</Application>
  <DocSecurity>0</DocSecurity>
  <Lines>158</Lines>
  <Paragraphs>83</Paragraphs>
  <ScaleCrop>false</ScaleCrop>
  <Company>Author-it Software Corporation Ltd.</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MARC010 Operate electrical systems</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2016-02-24T03:56:00Z</dcterms:created>
  <dcterms:modified xsi:type="dcterms:W3CDTF">2016-02-24T03:56:00Z</dcterms:modified>
</cp:coreProperties>
</file>