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769D" w:rsidP="002C769D">
      <w:pPr>
        <w:pStyle w:val="Title"/>
      </w:pPr>
      <w:r>
        <w:fldChar w:fldCharType="begin"/>
      </w:r>
      <w:r>
        <w:instrText xml:space="preserve"> TITLE   \* MERGEFORMAT </w:instrText>
      </w:r>
      <w:r>
        <w:fldChar w:fldCharType="separate"/>
      </w:r>
      <w:r>
        <w:t>MARC009 Operate and monitor marine internal combustion engines, propulsion plant and auxiliary systems</w:t>
      </w:r>
      <w:r>
        <w:fldChar w:fldCharType="end"/>
      </w:r>
    </w:p>
    <w:p w:rsidR="002C769D" w:rsidP="002C769D">
      <w:pPr>
        <w:pStyle w:val="Version"/>
        <w:sectPr w:rsidSect="00F53E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53EE2" w:rsidP="00F53EE2">
      <w:pPr>
        <w:pStyle w:val="SuperHeading"/>
      </w:pPr>
      <w:r w:rsidRPr="00F53EE2">
        <w:t>MARC009 Operate and monitor marine internal combustion engines, propulsion plant and auxiliary systems</w:t>
      </w:r>
    </w:p>
    <w:p w:rsidR="00000000" w:rsidRPr="00F53EE2" w:rsidP="00F53EE2">
      <w:pPr>
        <w:pStyle w:val="Heading1"/>
      </w:pPr>
      <w:bookmarkStart w:id="1" w:name="O_634078"/>
      <w:bookmarkEnd w:id="1"/>
      <w:r w:rsidRPr="00F53EE2">
        <w:t>Modification History</w:t>
      </w:r>
    </w:p>
    <w:p w:rsidR="00000000" w:rsidRPr="00F53EE2" w:rsidP="00F53EE2">
      <w:pPr>
        <w:pStyle w:val="BodyText"/>
      </w:pPr>
      <w:r w:rsidRPr="00F53EE2">
        <w:t>Release 2. Range of Conditions updated to include relevant information.</w:t>
      </w:r>
    </w:p>
    <w:p w:rsidR="00000000" w:rsidRPr="00F53EE2" w:rsidP="00F53EE2">
      <w:pPr>
        <w:pStyle w:val="BodyText"/>
      </w:pPr>
      <w:r w:rsidRPr="00F53EE2">
        <w:t>Release 1. New unit of competency.</w:t>
      </w:r>
    </w:p>
    <w:p w:rsidR="00000000" w:rsidRPr="00F53EE2" w:rsidP="00F53EE2">
      <w:pPr>
        <w:pStyle w:val="AllowPageBreak"/>
      </w:pPr>
    </w:p>
    <w:p w:rsidR="00000000" w:rsidRPr="00F53EE2" w:rsidP="00F53EE2">
      <w:pPr>
        <w:pStyle w:val="Heading1"/>
      </w:pPr>
      <w:bookmarkStart w:id="2" w:name="O_634077"/>
      <w:bookmarkEnd w:id="2"/>
      <w:r w:rsidRPr="00F53EE2">
        <w:t>Application</w:t>
      </w:r>
    </w:p>
    <w:p w:rsidR="00000000" w:rsidRPr="00F53EE2" w:rsidP="00F53EE2">
      <w:pPr>
        <w:pStyle w:val="BodyText"/>
      </w:pPr>
      <w:r w:rsidRPr="00F53EE2">
        <w:t>This unit involves the skills and knowledge required to safely operate marine internal combustion engines, propulsion plant and auxiliary systems on a vessel up to 750 kW.</w:t>
      </w:r>
    </w:p>
    <w:p w:rsidR="00000000" w:rsidRPr="00F53EE2" w:rsidP="00F53EE2">
      <w:pPr>
        <w:pStyle w:val="BodyText"/>
      </w:pPr>
    </w:p>
    <w:p w:rsidR="00000000" w:rsidRPr="00F53EE2" w:rsidP="00F53EE2">
      <w:pPr>
        <w:pStyle w:val="BodyText"/>
      </w:pPr>
      <w:r w:rsidRPr="00F53EE2">
        <w:t>This unit applies to engine workers in the maritime ind</w:t>
      </w:r>
      <w:r w:rsidRPr="00F53EE2">
        <w:t>ustry working as a Marine Engine Driver Grade 2 Near Coastal on vessels up to 750 kW or as a Marine Engine Driver Grade 1 Near Coastal on vessels up to 1500 kW.</w:t>
      </w:r>
    </w:p>
    <w:p w:rsidR="00000000" w:rsidRPr="00F53EE2" w:rsidP="00F53EE2">
      <w:pPr>
        <w:pStyle w:val="BodyText"/>
      </w:pPr>
    </w:p>
    <w:p w:rsidR="00000000" w:rsidRPr="00F53EE2" w:rsidP="00F53EE2">
      <w:pPr>
        <w:pStyle w:val="BodyText"/>
      </w:pPr>
      <w:r w:rsidRPr="00F53EE2">
        <w:t>This unit has links to legislative and certification requirements.</w:t>
      </w:r>
    </w:p>
    <w:p w:rsidR="00000000" w:rsidRPr="00F53EE2" w:rsidP="00F53EE2">
      <w:pPr>
        <w:pStyle w:val="AllowPageBreak"/>
      </w:pPr>
    </w:p>
    <w:p w:rsidR="00000000" w:rsidRPr="00F53EE2" w:rsidP="00F53EE2">
      <w:pPr>
        <w:pStyle w:val="Heading1"/>
      </w:pPr>
      <w:bookmarkStart w:id="3" w:name="O_634076"/>
      <w:bookmarkEnd w:id="3"/>
      <w:r w:rsidRPr="00F53EE2">
        <w:t>Pre-requis</w:t>
      </w:r>
      <w:r w:rsidRPr="00F53EE2">
        <w:t>ite Unit</w:t>
      </w:r>
    </w:p>
    <w:p w:rsidR="00000000" w:rsidRPr="00F53EE2" w:rsidP="00F53EE2">
      <w:pPr>
        <w:pStyle w:val="BodyText"/>
      </w:pPr>
      <w:r w:rsidRPr="00F53EE2">
        <w:t>Not applicable.</w:t>
      </w:r>
    </w:p>
    <w:p w:rsidR="00000000" w:rsidRPr="00F53EE2" w:rsidP="00F53EE2">
      <w:pPr>
        <w:pStyle w:val="AllowPageBreak"/>
      </w:pPr>
    </w:p>
    <w:p w:rsidR="00000000" w:rsidRPr="00F53EE2" w:rsidP="00F53EE2">
      <w:pPr>
        <w:pStyle w:val="Heading1"/>
      </w:pPr>
      <w:bookmarkStart w:id="4" w:name="O_634075"/>
      <w:bookmarkEnd w:id="4"/>
      <w:r w:rsidRPr="00F53EE2">
        <w:t>Competency Field</w:t>
      </w:r>
    </w:p>
    <w:p w:rsidR="00000000" w:rsidRPr="00F53EE2" w:rsidP="00F53EE2">
      <w:pPr>
        <w:pStyle w:val="BodyText"/>
      </w:pPr>
      <w:r w:rsidRPr="00F53EE2">
        <w:t>C - Equipment Operations</w:t>
      </w:r>
    </w:p>
    <w:p w:rsidR="00000000" w:rsidRPr="00F53EE2" w:rsidP="00F53EE2">
      <w:pPr>
        <w:pStyle w:val="AllowPageBreak"/>
      </w:pPr>
    </w:p>
    <w:p w:rsidR="00000000" w:rsidRPr="00F53EE2" w:rsidP="00F53EE2">
      <w:pPr>
        <w:pStyle w:val="Heading1"/>
      </w:pPr>
      <w:bookmarkStart w:id="5" w:name="O_634074"/>
      <w:bookmarkEnd w:id="5"/>
      <w:r w:rsidRPr="00F53EE2">
        <w:t>Unit Sector</w:t>
      </w:r>
    </w:p>
    <w:p w:rsidR="00000000" w:rsidRPr="00F53EE2" w:rsidP="00F53EE2">
      <w:pPr>
        <w:pStyle w:val="BodyText"/>
      </w:pPr>
      <w:r w:rsidRPr="00F53EE2">
        <w:t>Not applicable.</w:t>
      </w:r>
    </w:p>
    <w:p w:rsidR="00000000" w:rsidRPr="00F53EE2" w:rsidP="00F53EE2">
      <w:pPr>
        <w:pStyle w:val="AllowPageBreak"/>
      </w:pPr>
    </w:p>
    <w:p w:rsidR="00000000" w:rsidRPr="00F53EE2" w:rsidP="00F53EE2">
      <w:pPr>
        <w:pStyle w:val="Heading1"/>
      </w:pPr>
      <w:bookmarkStart w:id="6" w:name="O_634073"/>
      <w:bookmarkEnd w:id="6"/>
      <w:r w:rsidRPr="00F53EE2">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C769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Performance criteria describe the</w:t>
            </w:r>
            <w:r w:rsidRPr="00F53EE2">
              <w:t xml:space="preserve"> performance needed to demonstrate achievement of the element.</w:t>
            </w:r>
          </w:p>
        </w:tc>
      </w:tr>
      <w:tr w:rsidTr="002C769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53EE2" w:rsidP="00F53EE2">
            <w:pPr>
              <w:pStyle w:val="BodyText"/>
            </w:pPr>
            <w:r w:rsidRPr="00F53EE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rPr>
                <w:rStyle w:val="SpecialBold"/>
              </w:rPr>
              <w:t>Prepare for sea</w:t>
            </w:r>
          </w:p>
        </w:tc>
        <w:tc>
          <w:tcPr>
            <w:tcW w:w="719"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1.1</w:t>
            </w:r>
          </w:p>
        </w:tc>
        <w:tc>
          <w:tcPr>
            <w:tcW w:w="6045"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 xml:space="preserve">Fuels and lubricating fluids required for proposed voyage are acquired </w:t>
            </w:r>
          </w:p>
        </w:tc>
      </w:tr>
      <w:tr w:rsidTr="002C76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1.2</w:t>
            </w:r>
          </w:p>
        </w:tc>
        <w:tc>
          <w:tcPr>
            <w:tcW w:w="6045"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Spares and stores required for proposed voyage are acquired</w:t>
            </w:r>
          </w:p>
        </w:tc>
      </w:tr>
      <w:tr w:rsidTr="002C76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1.3</w:t>
            </w:r>
          </w:p>
        </w:tc>
        <w:tc>
          <w:tcPr>
            <w:tcW w:w="6045"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Flammable/explosive materials are stowed and managed according to regulatory and organisational requirements</w:t>
            </w:r>
          </w:p>
        </w:tc>
      </w:tr>
      <w:tr w:rsidTr="002C76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1.4</w:t>
            </w:r>
          </w:p>
        </w:tc>
        <w:tc>
          <w:tcPr>
            <w:tcW w:w="6045"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Work health and safety (WHS)/occupational health and safety (OHS) hazards in engine room are identified, risk assessed and corrective action</w:t>
            </w:r>
            <w:r w:rsidRPr="00F53EE2">
              <w:t xml:space="preserve">s taken according to organisational practices </w:t>
            </w:r>
          </w:p>
        </w:tc>
      </w:tr>
      <w:tr w:rsidTr="002C76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1.5</w:t>
            </w:r>
          </w:p>
        </w:tc>
        <w:tc>
          <w:tcPr>
            <w:tcW w:w="6045"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Pre-start checks are conducted on machinery and equipment according to organisational procedures and manufacturer specifications</w:t>
            </w:r>
          </w:p>
        </w:tc>
      </w:tr>
      <w:tr w:rsidTr="002C76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1.6</w:t>
            </w:r>
          </w:p>
        </w:tc>
        <w:tc>
          <w:tcPr>
            <w:tcW w:w="6045"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Engines are started according to manufacturer specifications and v</w:t>
            </w:r>
            <w:r w:rsidRPr="00F53EE2">
              <w:t>essel procedures</w:t>
            </w:r>
          </w:p>
        </w:tc>
      </w:tr>
      <w:tr w:rsidTr="002C76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1.7</w:t>
            </w:r>
          </w:p>
        </w:tc>
        <w:tc>
          <w:tcPr>
            <w:tcW w:w="6045"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 xml:space="preserve">Starting faults are recognised and rectified according to manufacturer specifications and fault-finding procedures </w:t>
            </w:r>
          </w:p>
        </w:tc>
      </w:tr>
      <w:tr w:rsidTr="002C769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53EE2" w:rsidP="00F53EE2">
            <w:pPr>
              <w:pStyle w:val="BodyText"/>
            </w:pPr>
            <w:r w:rsidRPr="00F53EE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rPr>
                <w:rStyle w:val="SpecialBold"/>
              </w:rPr>
              <w:t>Operate engines, propulsion plant and auxiliary systems</w:t>
            </w:r>
          </w:p>
        </w:tc>
        <w:tc>
          <w:tcPr>
            <w:tcW w:w="719"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2.1</w:t>
            </w:r>
          </w:p>
        </w:tc>
        <w:tc>
          <w:tcPr>
            <w:tcW w:w="6045"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Engines, propulsion plant and auxiliary systems are operated within technical specifications</w:t>
            </w:r>
          </w:p>
        </w:tc>
      </w:tr>
      <w:tr w:rsidTr="002C76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2.2</w:t>
            </w:r>
          </w:p>
        </w:tc>
        <w:tc>
          <w:tcPr>
            <w:tcW w:w="6045"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Main propulsion plant and auxiliary systems are operated and monitored to ensure they are within operating limits specified by vessel procedures and manufac</w:t>
            </w:r>
            <w:r w:rsidRPr="00F53EE2">
              <w:t>turer recommendations</w:t>
            </w:r>
          </w:p>
        </w:tc>
      </w:tr>
      <w:tr w:rsidTr="002C76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2.3</w:t>
            </w:r>
          </w:p>
        </w:tc>
        <w:tc>
          <w:tcPr>
            <w:tcW w:w="6045"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Environmental implications associated with operation of engine, propulsion plant and auxiliary systems are identified and controlled where possible</w:t>
            </w:r>
          </w:p>
        </w:tc>
      </w:tr>
      <w:tr w:rsidTr="002C76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2.4</w:t>
            </w:r>
          </w:p>
        </w:tc>
        <w:tc>
          <w:tcPr>
            <w:tcW w:w="6045"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Accidenta</w:t>
            </w:r>
            <w:r w:rsidRPr="00F53EE2">
              <w:t>l or operational discharge of polluting substances are recorded according to regulatory requirements and organisational procedures</w:t>
            </w:r>
          </w:p>
        </w:tc>
      </w:tr>
      <w:tr w:rsidTr="002C76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2.5</w:t>
            </w:r>
          </w:p>
        </w:tc>
        <w:tc>
          <w:tcPr>
            <w:tcW w:w="6045"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Operational faults are recognised and rectified in accordance with manufacturer specifications and fault-finding proce</w:t>
            </w:r>
            <w:r w:rsidRPr="00F53EE2">
              <w:t>dures</w:t>
            </w:r>
          </w:p>
        </w:tc>
      </w:tr>
      <w:tr w:rsidTr="002C76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2.6</w:t>
            </w:r>
          </w:p>
        </w:tc>
        <w:tc>
          <w:tcPr>
            <w:tcW w:w="6045"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Operational records are kept according to regulatory requirements and organisational procedures</w:t>
            </w:r>
          </w:p>
        </w:tc>
      </w:tr>
      <w:tr w:rsidTr="002C76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2.7</w:t>
            </w:r>
          </w:p>
        </w:tc>
        <w:tc>
          <w:tcPr>
            <w:tcW w:w="6045"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Appropriate action is taken when a malfunction or emergency occurs</w:t>
            </w:r>
          </w:p>
        </w:tc>
      </w:tr>
      <w:tr w:rsidTr="002C769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53EE2" w:rsidP="00F53EE2">
            <w:pPr>
              <w:pStyle w:val="BodyText"/>
            </w:pPr>
            <w:r w:rsidRPr="00F53EE2">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rPr>
                <w:rStyle w:val="SpecialBold"/>
              </w:rPr>
              <w:t>Secure vessel after voyage</w:t>
            </w:r>
          </w:p>
        </w:tc>
        <w:tc>
          <w:tcPr>
            <w:tcW w:w="719"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3.1</w:t>
            </w:r>
          </w:p>
        </w:tc>
        <w:tc>
          <w:tcPr>
            <w:tcW w:w="6045"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Engines, propulsion plant and auxiliary systems are shut down according to manufacturer specifications and vessel procedures</w:t>
            </w:r>
          </w:p>
        </w:tc>
      </w:tr>
      <w:tr w:rsidTr="002C76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3.2</w:t>
            </w:r>
          </w:p>
        </w:tc>
        <w:tc>
          <w:tcPr>
            <w:tcW w:w="6045" w:type="dxa"/>
            <w:tcBorders>
              <w:top w:val="nil"/>
              <w:left w:val="nil"/>
              <w:bottom w:val="nil"/>
              <w:right w:val="nil"/>
            </w:tcBorders>
            <w:tcMar>
              <w:top w:w="0" w:type="dxa"/>
              <w:left w:w="62" w:type="dxa"/>
              <w:bottom w:w="0" w:type="dxa"/>
              <w:right w:w="62" w:type="dxa"/>
            </w:tcMar>
          </w:tcPr>
          <w:p w:rsidR="00000000" w:rsidRPr="00F53EE2" w:rsidP="00F53EE2">
            <w:pPr>
              <w:pStyle w:val="BodyText"/>
            </w:pPr>
            <w:r w:rsidRPr="00F53EE2">
              <w:t xml:space="preserve">All damage and repairs requiring action are recorded according to organisational procedures </w:t>
            </w:r>
          </w:p>
        </w:tc>
      </w:tr>
    </w:tbl>
    <w:p w:rsidR="00000000" w:rsidRPr="00F53EE2" w:rsidP="00F53EE2">
      <w:pPr>
        <w:pStyle w:val="BodyText"/>
      </w:pPr>
    </w:p>
    <w:p w:rsidR="00000000" w:rsidRPr="00F53EE2" w:rsidP="00F53EE2">
      <w:pPr>
        <w:pStyle w:val="AllowPageBreak"/>
      </w:pPr>
    </w:p>
    <w:p w:rsidR="00000000" w:rsidRPr="00F53EE2" w:rsidP="00F53EE2">
      <w:pPr>
        <w:pStyle w:val="Heading1"/>
      </w:pPr>
      <w:bookmarkStart w:id="7" w:name="O_634072"/>
      <w:bookmarkEnd w:id="7"/>
      <w:r w:rsidRPr="00F53EE2">
        <w:t>Foundat</w:t>
      </w:r>
      <w:r w:rsidRPr="00F53EE2">
        <w:t>ion Skills</w:t>
      </w:r>
    </w:p>
    <w:tbl>
      <w:tblPr>
        <w:tblW w:w="9498" w:type="dxa"/>
        <w:tblLayout w:type="fixed"/>
        <w:tblCellMar>
          <w:left w:w="62" w:type="dxa"/>
          <w:right w:w="62" w:type="dxa"/>
        </w:tblCellMar>
        <w:tblLook w:val="0000"/>
      </w:tblPr>
      <w:tblGrid>
        <w:gridCol w:w="9498"/>
      </w:tblGrid>
      <w:tr w:rsidTr="00F53EE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This section describes those language, literacy, numeracy and employment skills that are essential to performance.</w:t>
            </w:r>
          </w:p>
        </w:tc>
      </w:tr>
      <w:tr w:rsidTr="00F53EE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53EE2" w:rsidP="00F53EE2">
            <w:pPr>
              <w:pStyle w:val="BodyText"/>
            </w:pPr>
            <w:r w:rsidRPr="00F53EE2">
              <w:t xml:space="preserve">Foundation skills essential to performance are explicit in the performance criteria of this unit of competency. </w:t>
            </w:r>
          </w:p>
        </w:tc>
      </w:tr>
    </w:tbl>
    <w:p w:rsidR="00000000" w:rsidRPr="00F53EE2" w:rsidP="00F53EE2">
      <w:pPr>
        <w:pStyle w:val="BodyText"/>
      </w:pPr>
    </w:p>
    <w:p w:rsidR="00000000" w:rsidRPr="00F53EE2" w:rsidP="00F53EE2">
      <w:pPr>
        <w:pStyle w:val="AllowPageBreak"/>
      </w:pPr>
    </w:p>
    <w:p w:rsidR="00000000" w:rsidRPr="00F53EE2" w:rsidP="00F53EE2">
      <w:pPr>
        <w:pStyle w:val="Heading1"/>
      </w:pPr>
      <w:bookmarkStart w:id="8" w:name="O_634071"/>
      <w:bookmarkEnd w:id="8"/>
      <w:r w:rsidRPr="00F53EE2">
        <w:t>Range of Conditions</w:t>
      </w:r>
    </w:p>
    <w:tbl>
      <w:tblPr>
        <w:tblW w:w="9498" w:type="dxa"/>
        <w:tblLayout w:type="fixed"/>
        <w:tblCellMar>
          <w:left w:w="62" w:type="dxa"/>
          <w:right w:w="62" w:type="dxa"/>
        </w:tblCellMar>
        <w:tblLook w:val="0000"/>
      </w:tblPr>
      <w:tblGrid>
        <w:gridCol w:w="2735"/>
        <w:gridCol w:w="6763"/>
      </w:tblGrid>
      <w:tr w:rsidTr="00F53EE2">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F53EE2" w:rsidP="00F53EE2">
            <w:pPr>
              <w:pStyle w:val="BodyText"/>
            </w:pPr>
            <w:r w:rsidRPr="00F53EE2">
              <w:t>Specifies different work environments and conditions that may affect performance. Essential operating conditions that may be present (depending on the work situation, needs of the candidate, accessibility of the item, and local indus</w:t>
            </w:r>
            <w:r w:rsidRPr="00F53EE2">
              <w:t>try and regional contexts) are included.</w:t>
            </w:r>
          </w:p>
          <w:p w:rsidR="00000000" w:rsidRPr="00F53EE2" w:rsidP="00F53EE2">
            <w:pPr>
              <w:pStyle w:val="BodyText"/>
            </w:pPr>
          </w:p>
          <w:p w:rsidR="00000000" w:rsidP="00F53EE2">
            <w:pPr>
              <w:pStyle w:val="BodyText"/>
              <w:rPr>
                <w:lang w:val="en-NZ"/>
              </w:rPr>
            </w:pPr>
            <w:r w:rsidRPr="00F53EE2">
              <w:t>Range is restricted to essential operating conditions and any other variables essential to the work environment.</w:t>
            </w:r>
          </w:p>
        </w:tc>
      </w:tr>
      <w:tr w:rsidTr="00F53E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Spares and stores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53EE2" w:rsidP="00F53EE2">
            <w:pPr>
              <w:pStyle w:val="ListBullet"/>
            </w:pPr>
            <w:r w:rsidRPr="00F53EE2">
              <w:t>cleaning products and materials</w:t>
            </w:r>
          </w:p>
          <w:p w:rsidR="00000000" w:rsidRPr="00F53EE2" w:rsidP="00F53EE2">
            <w:pPr>
              <w:pStyle w:val="ListBullet"/>
            </w:pPr>
            <w:r w:rsidRPr="00F53EE2">
              <w:t>grease</w:t>
            </w:r>
          </w:p>
          <w:p w:rsidR="00000000" w:rsidRPr="00F53EE2" w:rsidP="00F53EE2">
            <w:pPr>
              <w:pStyle w:val="ListBullet"/>
            </w:pPr>
            <w:r w:rsidRPr="00F53EE2">
              <w:t>liquefied petroleum gas (LPG)</w:t>
            </w:r>
          </w:p>
          <w:p w:rsidR="00000000" w:rsidRPr="00F53EE2" w:rsidP="00F53EE2">
            <w:pPr>
              <w:pStyle w:val="ListBullet"/>
            </w:pPr>
            <w:r w:rsidRPr="00F53EE2">
              <w:t>machinery spare parts</w:t>
            </w:r>
          </w:p>
          <w:p w:rsidR="00000000" w:rsidRPr="00F53EE2" w:rsidP="00F53EE2">
            <w:pPr>
              <w:pStyle w:val="ListBullet"/>
            </w:pPr>
            <w:r w:rsidRPr="00F53EE2">
              <w:t>oils</w:t>
            </w:r>
          </w:p>
          <w:p w:rsidR="00000000" w:rsidRPr="00F53EE2" w:rsidP="00F53EE2">
            <w:pPr>
              <w:pStyle w:val="ListBullet"/>
            </w:pPr>
            <w:r w:rsidRPr="00F53EE2">
              <w:t>paint</w:t>
            </w:r>
          </w:p>
          <w:p w:rsidR="00000000" w:rsidRPr="00F53EE2" w:rsidP="00F53EE2">
            <w:pPr>
              <w:pStyle w:val="ListBullet"/>
            </w:pPr>
            <w:r w:rsidRPr="00F53EE2">
              <w:t>refrigeration gas</w:t>
            </w:r>
          </w:p>
          <w:p w:rsidR="00000000" w:rsidP="00F53EE2">
            <w:pPr>
              <w:pStyle w:val="ListBullet"/>
              <w:rPr>
                <w:lang w:val="en-NZ"/>
              </w:rPr>
            </w:pPr>
            <w:r w:rsidRPr="00F53EE2">
              <w:t>tools, hand and power</w:t>
            </w:r>
          </w:p>
        </w:tc>
      </w:tr>
      <w:tr w:rsidTr="00F53E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p>
        </w:tc>
      </w:tr>
      <w:tr w:rsidTr="00F53E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Flammable/explosive materials must include:</w:t>
            </w:r>
          </w:p>
        </w:tc>
        <w:tc>
          <w:tcPr>
            <w:tcW w:w="6763" w:type="dxa"/>
            <w:tcBorders>
              <w:top w:val="nil"/>
              <w:left w:val="nil"/>
              <w:bottom w:val="nil"/>
              <w:right w:val="nil"/>
            </w:tcBorders>
            <w:tcMar>
              <w:top w:w="0" w:type="dxa"/>
              <w:left w:w="62" w:type="dxa"/>
              <w:bottom w:w="0" w:type="dxa"/>
              <w:right w:w="62" w:type="dxa"/>
            </w:tcMar>
          </w:tcPr>
          <w:p w:rsidR="00000000" w:rsidRPr="00F53EE2" w:rsidP="00F53EE2">
            <w:pPr>
              <w:pStyle w:val="ListBullet"/>
            </w:pPr>
            <w:r w:rsidRPr="00F53EE2">
              <w:t>liquid fuels</w:t>
            </w:r>
          </w:p>
          <w:p w:rsidR="00000000" w:rsidRPr="00F53EE2" w:rsidP="00F53EE2">
            <w:pPr>
              <w:pStyle w:val="ListBullet"/>
            </w:pPr>
            <w:r w:rsidRPr="00F53EE2">
              <w:t>LPG</w:t>
            </w:r>
          </w:p>
          <w:p w:rsidR="00000000" w:rsidP="00F53EE2">
            <w:pPr>
              <w:pStyle w:val="ListBullet"/>
              <w:rPr>
                <w:lang w:val="en-NZ"/>
              </w:rPr>
            </w:pPr>
            <w:r w:rsidRPr="00F53EE2">
              <w:t>refrigerant gas</w:t>
            </w:r>
          </w:p>
        </w:tc>
      </w:tr>
      <w:tr w:rsidTr="00F53E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p>
        </w:tc>
      </w:tr>
      <w:tr w:rsidTr="00F53E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Work health and safety (WHS)/occupational health and safety (OHS) hazards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53EE2" w:rsidP="00F53EE2">
            <w:pPr>
              <w:pStyle w:val="ListBullet"/>
            </w:pPr>
            <w:r w:rsidRPr="00F53EE2">
              <w:t>heavy objects securely lashed</w:t>
            </w:r>
          </w:p>
          <w:p w:rsidR="00000000" w:rsidRPr="00F53EE2" w:rsidP="00F53EE2">
            <w:pPr>
              <w:pStyle w:val="ListBullet"/>
            </w:pPr>
            <w:r w:rsidRPr="00F53EE2">
              <w:t>leaking fuel</w:t>
            </w:r>
          </w:p>
          <w:p w:rsidR="00000000" w:rsidRPr="00F53EE2" w:rsidP="00F53EE2">
            <w:pPr>
              <w:pStyle w:val="ListBullet"/>
            </w:pPr>
            <w:r w:rsidRPr="00F53EE2">
              <w:t>loose machinery guards</w:t>
            </w:r>
          </w:p>
          <w:p w:rsidR="00000000" w:rsidP="00F53EE2">
            <w:pPr>
              <w:pStyle w:val="ListBullet"/>
              <w:rPr>
                <w:lang w:val="en-NZ"/>
              </w:rPr>
            </w:pPr>
            <w:r w:rsidRPr="00F53EE2">
              <w:t>slippery decks</w:t>
            </w:r>
          </w:p>
        </w:tc>
      </w:tr>
      <w:tr w:rsidTr="00F53E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p>
        </w:tc>
      </w:tr>
      <w:tr w:rsidTr="00F53E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Engines, propulsion plant and auxiliary systems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53EE2" w:rsidP="00F53EE2">
            <w:pPr>
              <w:pStyle w:val="ListBullet"/>
            </w:pPr>
            <w:r w:rsidRPr="00F53EE2">
              <w:t>auxiliary equipment and associated spaces</w:t>
            </w:r>
          </w:p>
          <w:p w:rsidR="00000000" w:rsidRPr="00F53EE2" w:rsidP="00F53EE2">
            <w:pPr>
              <w:pStyle w:val="ListBullet"/>
            </w:pPr>
            <w:r w:rsidRPr="00F53EE2">
              <w:t>cooling systems</w:t>
            </w:r>
          </w:p>
          <w:p w:rsidR="00000000" w:rsidRPr="00F53EE2" w:rsidP="00F53EE2">
            <w:pPr>
              <w:pStyle w:val="ListBullet"/>
            </w:pPr>
            <w:r w:rsidRPr="00F53EE2">
              <w:t>fuel systems</w:t>
            </w:r>
          </w:p>
          <w:p w:rsidR="00000000" w:rsidRPr="00F53EE2" w:rsidP="00F53EE2">
            <w:pPr>
              <w:pStyle w:val="ListBullet"/>
            </w:pPr>
            <w:r w:rsidRPr="00F53EE2">
              <w:t>gearbox</w:t>
            </w:r>
          </w:p>
          <w:p w:rsidR="00000000" w:rsidRPr="00F53EE2" w:rsidP="00F53EE2">
            <w:pPr>
              <w:pStyle w:val="ListBullet"/>
            </w:pPr>
            <w:r w:rsidRPr="00F53EE2">
              <w:t>lubricating systems</w:t>
            </w:r>
          </w:p>
          <w:p w:rsidR="00000000" w:rsidRPr="00F53EE2" w:rsidP="00F53EE2">
            <w:pPr>
              <w:pStyle w:val="ListBullet"/>
            </w:pPr>
            <w:r w:rsidRPr="00F53EE2">
              <w:t>marine two- and four-stroke:</w:t>
            </w:r>
          </w:p>
          <w:p w:rsidR="00000000" w:rsidRPr="00F53EE2" w:rsidP="00F53EE2">
            <w:pPr>
              <w:pStyle w:val="ListBullet"/>
            </w:pPr>
            <w:r w:rsidRPr="00F53EE2">
              <w:t>diesel engines</w:t>
            </w:r>
          </w:p>
          <w:p w:rsidR="00000000" w:rsidRPr="00F53EE2" w:rsidP="00F53EE2">
            <w:pPr>
              <w:pStyle w:val="ListBullet"/>
            </w:pPr>
            <w:r w:rsidRPr="00F53EE2">
              <w:t>petrol engines</w:t>
            </w:r>
          </w:p>
          <w:p w:rsidR="00000000" w:rsidRPr="00F53EE2" w:rsidP="00F53EE2">
            <w:pPr>
              <w:pStyle w:val="ListBullet"/>
            </w:pPr>
            <w:r w:rsidRPr="00F53EE2">
              <w:t>propeller a</w:t>
            </w:r>
            <w:r w:rsidRPr="00F53EE2">
              <w:t>nd immediate shafting alignment</w:t>
            </w:r>
          </w:p>
          <w:p w:rsidR="00000000" w:rsidRPr="00F53EE2" w:rsidP="00F53EE2">
            <w:pPr>
              <w:pStyle w:val="ListBullet"/>
            </w:pPr>
            <w:r w:rsidRPr="00F53EE2">
              <w:t>pumping systems</w:t>
            </w:r>
          </w:p>
          <w:p w:rsidR="00000000" w:rsidRPr="00F53EE2" w:rsidP="00F53EE2">
            <w:pPr>
              <w:pStyle w:val="ListBullet"/>
            </w:pPr>
            <w:r w:rsidRPr="00F53EE2">
              <w:t>refrigeration systems</w:t>
            </w:r>
          </w:p>
          <w:p w:rsidR="00000000" w:rsidRPr="00F53EE2" w:rsidP="00F53EE2">
            <w:pPr>
              <w:pStyle w:val="ListBullet"/>
            </w:pPr>
            <w:r w:rsidRPr="00F53EE2">
              <w:t>steering systems</w:t>
            </w:r>
          </w:p>
          <w:p w:rsidR="00000000" w:rsidP="00F53EE2">
            <w:pPr>
              <w:pStyle w:val="ListBullet"/>
              <w:rPr>
                <w:lang w:val="en-NZ"/>
              </w:rPr>
            </w:pPr>
            <w:r w:rsidRPr="00F53EE2">
              <w:t>sterndrive and water jet drive units</w:t>
            </w:r>
          </w:p>
        </w:tc>
      </w:tr>
      <w:tr w:rsidTr="00F53E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p>
        </w:tc>
      </w:tr>
      <w:tr w:rsidTr="00F53E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Environmental implications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53EE2" w:rsidP="00F53EE2">
            <w:pPr>
              <w:pStyle w:val="ListBullet"/>
            </w:pPr>
            <w:r w:rsidRPr="00F53EE2">
              <w:t>accidental release of refrigeration gas</w:t>
            </w:r>
          </w:p>
          <w:p w:rsidR="00000000" w:rsidRPr="00F53EE2" w:rsidP="00F53EE2">
            <w:pPr>
              <w:pStyle w:val="ListBullet"/>
            </w:pPr>
            <w:r w:rsidRPr="00F53EE2">
              <w:t>excessive noise</w:t>
            </w:r>
          </w:p>
          <w:p w:rsidR="00000000" w:rsidRPr="00F53EE2" w:rsidP="00F53EE2">
            <w:pPr>
              <w:pStyle w:val="ListBullet"/>
            </w:pPr>
            <w:r w:rsidRPr="00F53EE2">
              <w:t>exhaust emissions</w:t>
            </w:r>
          </w:p>
          <w:p w:rsidR="00000000" w:rsidRPr="00F53EE2" w:rsidP="00F53EE2">
            <w:pPr>
              <w:pStyle w:val="ListBullet"/>
            </w:pPr>
            <w:r w:rsidRPr="00F53EE2">
              <w:t>loss of fuel and oil overboard</w:t>
            </w:r>
          </w:p>
          <w:p w:rsidR="00000000" w:rsidP="00F53EE2">
            <w:pPr>
              <w:pStyle w:val="ListBullet"/>
              <w:rPr>
                <w:lang w:val="en-NZ"/>
              </w:rPr>
            </w:pPr>
            <w:r w:rsidRPr="00F53EE2">
              <w:t>pumping bilges</w:t>
            </w:r>
          </w:p>
        </w:tc>
      </w:tr>
      <w:tr w:rsidTr="00F53E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p>
        </w:tc>
      </w:tr>
      <w:tr w:rsidTr="00F53E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Polluting substances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53EE2" w:rsidP="00F53EE2">
            <w:pPr>
              <w:pStyle w:val="ListBullet"/>
            </w:pPr>
            <w:r w:rsidRPr="00F53EE2">
              <w:t>chemicals</w:t>
            </w:r>
          </w:p>
          <w:p w:rsidR="00000000" w:rsidRPr="00F53EE2" w:rsidP="00F53EE2">
            <w:pPr>
              <w:pStyle w:val="ListBullet"/>
            </w:pPr>
            <w:r w:rsidRPr="00F53EE2">
              <w:t>oils</w:t>
            </w:r>
          </w:p>
          <w:p w:rsidR="00000000" w:rsidRPr="00F53EE2" w:rsidP="00F53EE2">
            <w:pPr>
              <w:pStyle w:val="ListBullet"/>
            </w:pPr>
            <w:r w:rsidRPr="00F53EE2">
              <w:t>refrigeration gases</w:t>
            </w:r>
          </w:p>
          <w:p w:rsidR="00000000" w:rsidP="00F53EE2">
            <w:pPr>
              <w:pStyle w:val="ListBullet"/>
              <w:rPr>
                <w:lang w:val="en-NZ"/>
              </w:rPr>
            </w:pPr>
            <w:r w:rsidRPr="00F53EE2">
              <w:t>sewage</w:t>
            </w:r>
          </w:p>
        </w:tc>
      </w:tr>
      <w:tr w:rsidTr="00F53E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p>
        </w:tc>
      </w:tr>
      <w:tr w:rsidTr="00F53E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Operational records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53EE2" w:rsidP="00F53EE2">
            <w:pPr>
              <w:pStyle w:val="ListBullet"/>
            </w:pPr>
            <w:r w:rsidRPr="00F53EE2">
              <w:t xml:space="preserve">ballast log </w:t>
            </w:r>
          </w:p>
          <w:p w:rsidR="00000000" w:rsidRPr="00F53EE2" w:rsidP="00F53EE2">
            <w:pPr>
              <w:pStyle w:val="ListBullet"/>
            </w:pPr>
            <w:r w:rsidRPr="00F53EE2">
              <w:t>maintenance logs</w:t>
            </w:r>
          </w:p>
          <w:p w:rsidR="00000000" w:rsidRPr="00F53EE2" w:rsidP="00F53EE2">
            <w:pPr>
              <w:pStyle w:val="ListBullet"/>
            </w:pPr>
            <w:r w:rsidRPr="00F53EE2">
              <w:t>oil record book</w:t>
            </w:r>
          </w:p>
          <w:p w:rsidR="00000000" w:rsidP="00F53EE2">
            <w:pPr>
              <w:pStyle w:val="ListBullet"/>
              <w:rPr>
                <w:lang w:val="en-NZ"/>
              </w:rPr>
            </w:pPr>
            <w:r w:rsidRPr="00F53EE2">
              <w:t>running logs</w:t>
            </w:r>
          </w:p>
        </w:tc>
      </w:tr>
      <w:tr w:rsidTr="00F53E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p>
        </w:tc>
      </w:tr>
      <w:tr w:rsidTr="00F53EE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53EE2">
            <w:pPr>
              <w:pStyle w:val="BodyText"/>
              <w:rPr>
                <w:lang w:val="en-NZ"/>
              </w:rPr>
            </w:pPr>
            <w:r w:rsidRPr="00F53EE2">
              <w:t>Emergencies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53EE2" w:rsidP="00F53EE2">
            <w:pPr>
              <w:pStyle w:val="ListBullet"/>
            </w:pPr>
            <w:r w:rsidRPr="00F53EE2">
              <w:t>emergency steering</w:t>
            </w:r>
          </w:p>
          <w:p w:rsidR="00000000" w:rsidRPr="00F53EE2" w:rsidP="00F53EE2">
            <w:pPr>
              <w:pStyle w:val="ListBullet"/>
            </w:pPr>
            <w:r w:rsidRPr="00F53EE2">
              <w:t>failure of the main engine</w:t>
            </w:r>
          </w:p>
          <w:p w:rsidR="00000000" w:rsidRPr="00F53EE2" w:rsidP="00F53EE2">
            <w:pPr>
              <w:pStyle w:val="ListBullet"/>
            </w:pPr>
            <w:r w:rsidRPr="00F53EE2">
              <w:t>fire</w:t>
            </w:r>
          </w:p>
          <w:p w:rsidR="00000000" w:rsidRPr="00F53EE2" w:rsidP="00F53EE2">
            <w:pPr>
              <w:pStyle w:val="ListBullet"/>
            </w:pPr>
            <w:r w:rsidRPr="00F53EE2">
              <w:t>flooding</w:t>
            </w:r>
          </w:p>
        </w:tc>
      </w:tr>
    </w:tbl>
    <w:p w:rsidR="00000000" w:rsidRPr="00F53EE2" w:rsidP="00F53EE2">
      <w:pPr>
        <w:pStyle w:val="BodyText"/>
      </w:pPr>
    </w:p>
    <w:p w:rsidR="00000000" w:rsidRPr="00F53EE2" w:rsidP="00F53EE2">
      <w:pPr>
        <w:pStyle w:val="AllowPageBreak"/>
      </w:pPr>
    </w:p>
    <w:p w:rsidR="00000000" w:rsidRPr="00F53EE2" w:rsidP="00F53EE2">
      <w:pPr>
        <w:pStyle w:val="Heading1"/>
      </w:pPr>
      <w:bookmarkStart w:id="9" w:name="O_634070"/>
      <w:bookmarkEnd w:id="9"/>
      <w:r w:rsidRPr="00F53EE2">
        <w:t>Unit Mapping Information</w:t>
      </w:r>
    </w:p>
    <w:p w:rsidR="00000000" w:rsidRPr="00F53EE2" w:rsidP="00F53EE2">
      <w:pPr>
        <w:pStyle w:val="BodyText"/>
      </w:pPr>
      <w:r w:rsidRPr="00F53EE2">
        <w:t>This is a new unit. This uni</w:t>
      </w:r>
      <w:r w:rsidRPr="00F53EE2">
        <w:t>t is equivalent to MARC3005A Operate and monitor marine internal combustion engines, propulsion plant and auxiliary systems.</w:t>
      </w:r>
    </w:p>
    <w:p w:rsidR="00000000" w:rsidRPr="00F53EE2" w:rsidP="00F53EE2">
      <w:pPr>
        <w:pStyle w:val="AllowPageBreak"/>
      </w:pPr>
    </w:p>
    <w:p w:rsidR="00000000" w:rsidRPr="00F53EE2" w:rsidP="00F53EE2">
      <w:pPr>
        <w:pStyle w:val="Heading1"/>
      </w:pPr>
      <w:bookmarkStart w:id="10" w:name="O_634079"/>
      <w:bookmarkEnd w:id="10"/>
      <w:r w:rsidRPr="00F53EE2">
        <w:t>Links</w:t>
      </w:r>
    </w:p>
    <w:p w:rsidR="00000000" w:rsidRPr="00F53EE2" w:rsidP="00F53EE2">
      <w:pPr>
        <w:pStyle w:val="BodyText"/>
      </w:pPr>
      <w:r w:rsidRPr="00F53EE2">
        <w:t>MAR Maritime Training Package Companion Volume Implementation Guide at: - http://companion_volumes.vetnet.ed</w:t>
      </w:r>
      <w:r w:rsidRPr="00F53EE2">
        <w:t>ucation.gov.au/Pages/TrainingPackage.aspx?pid=22</w:t>
      </w:r>
    </w:p>
    <w:p w:rsidR="00000000" w:rsidRPr="00F53EE2" w:rsidP="00F53EE2"/>
    <w:sectPr w:rsidSect="00F53E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E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EE2" w:rsidRPr="002C769D" w:rsidP="002C76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E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69D" w:rsidP="00F53E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C769D" w:rsidP="00F53EE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C769D" w:rsidP="00F53E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E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EE2" w:rsidRPr="002C769D" w:rsidP="002C76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E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69D" w:rsidRPr="002D2AF8" w:rsidP="00F53EE2">
    <w:pPr>
      <w:pStyle w:val="Header"/>
      <w:framePr w:wrap="around"/>
    </w:pPr>
    <w:r>
      <w:fldChar w:fldCharType="begin"/>
    </w:r>
    <w:r>
      <w:instrText xml:space="preserve"> TITLE   \* MERGEFORMAT </w:instrText>
    </w:r>
    <w:r>
      <w:fldChar w:fldCharType="separate"/>
    </w:r>
    <w:r>
      <w:t>MARC009 Operate and monitor marine internal combustion engines, propulsion plant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2C769D" w:rsidP="00F53E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2E81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2C21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E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3EE2"/>
    <w:pPr>
      <w:spacing w:before="360" w:after="60"/>
      <w:outlineLvl w:val="0"/>
    </w:pPr>
    <w:rPr>
      <w:sz w:val="32"/>
    </w:rPr>
  </w:style>
  <w:style w:type="paragraph" w:styleId="Heading2">
    <w:name w:val="heading 2"/>
    <w:basedOn w:val="HeadingBase"/>
    <w:next w:val="BodyText"/>
    <w:link w:val="Heading2Char"/>
    <w:qFormat/>
    <w:rsid w:val="00F53EE2"/>
    <w:pPr>
      <w:keepLines/>
      <w:spacing w:before="240" w:after="120"/>
      <w:outlineLvl w:val="1"/>
    </w:pPr>
    <w:rPr>
      <w:sz w:val="28"/>
      <w:szCs w:val="40"/>
    </w:rPr>
  </w:style>
  <w:style w:type="paragraph" w:styleId="Heading3">
    <w:name w:val="heading 3"/>
    <w:basedOn w:val="HeadingBase"/>
    <w:next w:val="BodyText"/>
    <w:link w:val="Heading3Char"/>
    <w:qFormat/>
    <w:rsid w:val="00F53EE2"/>
    <w:pPr>
      <w:spacing w:before="180" w:after="120"/>
      <w:outlineLvl w:val="2"/>
    </w:pPr>
    <w:rPr>
      <w:spacing w:val="-10"/>
      <w:kern w:val="32"/>
    </w:rPr>
  </w:style>
  <w:style w:type="paragraph" w:styleId="Heading4">
    <w:name w:val="heading 4"/>
    <w:basedOn w:val="HeadingBase"/>
    <w:next w:val="BodyText"/>
    <w:link w:val="Heading4Char"/>
    <w:qFormat/>
    <w:rsid w:val="00F53EE2"/>
    <w:pPr>
      <w:spacing w:before="160" w:after="120"/>
      <w:outlineLvl w:val="3"/>
    </w:pPr>
    <w:rPr>
      <w:sz w:val="22"/>
    </w:rPr>
  </w:style>
  <w:style w:type="paragraph" w:styleId="Heading5">
    <w:name w:val="heading 5"/>
    <w:basedOn w:val="HeadingBase"/>
    <w:next w:val="Normal"/>
    <w:link w:val="Heading5Char"/>
    <w:qFormat/>
    <w:rsid w:val="00F53EE2"/>
    <w:pPr>
      <w:spacing w:before="80"/>
      <w:outlineLvl w:val="4"/>
    </w:pPr>
    <w:rPr>
      <w:color w:val="918585"/>
      <w:sz w:val="20"/>
    </w:rPr>
  </w:style>
  <w:style w:type="paragraph" w:styleId="Heading6">
    <w:name w:val="heading 6"/>
    <w:basedOn w:val="HeadingBase"/>
    <w:next w:val="Normal"/>
    <w:link w:val="Heading6Char"/>
    <w:qFormat/>
    <w:rsid w:val="00F53EE2"/>
    <w:pPr>
      <w:spacing w:before="60"/>
      <w:outlineLvl w:val="5"/>
    </w:pPr>
    <w:rPr>
      <w:color w:val="918585"/>
      <w:sz w:val="20"/>
    </w:rPr>
  </w:style>
  <w:style w:type="paragraph" w:styleId="Heading7">
    <w:name w:val="heading 7"/>
    <w:basedOn w:val="Normal"/>
    <w:next w:val="Normal"/>
    <w:link w:val="Heading7Char"/>
    <w:qFormat/>
    <w:rsid w:val="00F53EE2"/>
    <w:pPr>
      <w:ind w:left="720"/>
      <w:outlineLvl w:val="6"/>
    </w:pPr>
    <w:rPr>
      <w:i/>
    </w:rPr>
  </w:style>
  <w:style w:type="paragraph" w:styleId="Heading8">
    <w:name w:val="heading 8"/>
    <w:basedOn w:val="Normal"/>
    <w:next w:val="Normal"/>
    <w:link w:val="Heading8Char"/>
    <w:qFormat/>
    <w:rsid w:val="00F53EE2"/>
    <w:pPr>
      <w:ind w:left="720"/>
      <w:outlineLvl w:val="7"/>
    </w:pPr>
    <w:rPr>
      <w:i/>
    </w:rPr>
  </w:style>
  <w:style w:type="paragraph" w:styleId="Heading9">
    <w:name w:val="heading 9"/>
    <w:basedOn w:val="Normal"/>
    <w:next w:val="Normal"/>
    <w:link w:val="Heading9Char"/>
    <w:qFormat/>
    <w:rsid w:val="00F53EE2"/>
    <w:pPr>
      <w:ind w:left="720"/>
      <w:outlineLvl w:val="8"/>
    </w:pPr>
    <w:rPr>
      <w:i/>
    </w:rPr>
  </w:style>
  <w:style w:type="character" w:default="1" w:styleId="DefaultParagraphFont">
    <w:name w:val="Default Paragraph Font"/>
    <w:uiPriority w:val="1"/>
    <w:unhideWhenUsed/>
    <w:rsid w:val="00F53E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EE2"/>
  </w:style>
  <w:style w:type="character" w:customStyle="1" w:styleId="Heading1Char">
    <w:name w:val="Heading 1 Char"/>
    <w:basedOn w:val="DefaultParagraphFont"/>
    <w:link w:val="Heading1"/>
    <w:rsid w:val="00F53EE2"/>
    <w:rPr>
      <w:rFonts w:ascii="Times New Roman" w:eastAsia="Times New Roman" w:hAnsi="Times New Roman" w:cs="Times New Roman"/>
      <w:b/>
      <w:sz w:val="32"/>
      <w:szCs w:val="20"/>
      <w:lang w:eastAsia="en-US"/>
    </w:rPr>
  </w:style>
  <w:style w:type="paragraph" w:styleId="BodyText">
    <w:name w:val="Body Text"/>
    <w:basedOn w:val="Normal"/>
    <w:link w:val="BodyTextChar"/>
    <w:rsid w:val="00F53E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3EE2"/>
    <w:rPr>
      <w:rFonts w:ascii="Times New Roman" w:eastAsia="Times New Roman" w:hAnsi="Times New Roman" w:cs="Times New Roman"/>
      <w:sz w:val="24"/>
      <w:lang w:eastAsia="en-US"/>
    </w:rPr>
  </w:style>
  <w:style w:type="paragraph" w:styleId="ListBullet">
    <w:name w:val="List Bullet"/>
    <w:basedOn w:val="List"/>
    <w:rsid w:val="00F53EE2"/>
    <w:pPr>
      <w:numPr>
        <w:numId w:val="12"/>
      </w:numPr>
      <w:tabs>
        <w:tab w:val="clear" w:pos="340"/>
      </w:tabs>
      <w:spacing w:before="40" w:after="40"/>
    </w:pPr>
  </w:style>
  <w:style w:type="character" w:customStyle="1" w:styleId="SpecialBold">
    <w:name w:val="Special Bold"/>
    <w:basedOn w:val="DefaultParagraphFont"/>
    <w:rsid w:val="00F53EE2"/>
    <w:rPr>
      <w:b/>
      <w:spacing w:val="0"/>
    </w:rPr>
  </w:style>
  <w:style w:type="paragraph" w:customStyle="1" w:styleId="SuperHeading">
    <w:name w:val="SuperHeading"/>
    <w:basedOn w:val="Normal"/>
    <w:rsid w:val="00F53EE2"/>
    <w:pPr>
      <w:spacing w:before="240" w:after="120"/>
      <w:outlineLvl w:val="0"/>
    </w:pPr>
    <w:rPr>
      <w:rFonts w:ascii="Times New Roman" w:hAnsi="Times New Roman"/>
      <w:b/>
      <w:sz w:val="32"/>
    </w:rPr>
  </w:style>
  <w:style w:type="paragraph" w:customStyle="1" w:styleId="AllowPageBreak">
    <w:name w:val="AllowPageBreak"/>
    <w:rsid w:val="00F53E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3E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3E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3E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3E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3E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E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3E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3EE2"/>
    <w:rPr>
      <w:rFonts w:ascii="Courier New" w:eastAsia="Times New Roman" w:hAnsi="Courier New" w:cs="Times New Roman"/>
      <w:i/>
      <w:szCs w:val="20"/>
      <w:lang w:eastAsia="en-US"/>
    </w:rPr>
  </w:style>
  <w:style w:type="paragraph" w:customStyle="1" w:styleId="HeadingBase">
    <w:name w:val="Heading Base"/>
    <w:rsid w:val="00F53E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EE2"/>
    <w:pPr>
      <w:tabs>
        <w:tab w:val="right" w:leader="dot" w:pos="9072"/>
      </w:tabs>
      <w:ind w:left="567"/>
    </w:pPr>
    <w:rPr>
      <w:szCs w:val="22"/>
    </w:rPr>
  </w:style>
  <w:style w:type="paragraph" w:customStyle="1" w:styleId="TOCBase">
    <w:name w:val="TOC Base"/>
    <w:rsid w:val="00F53E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EE2"/>
    <w:pPr>
      <w:tabs>
        <w:tab w:val="right" w:leader="dot" w:pos="9072"/>
      </w:tabs>
      <w:spacing w:before="40" w:after="40"/>
      <w:ind w:left="284"/>
    </w:pPr>
    <w:rPr>
      <w:rFonts w:ascii="Times New Roman" w:hAnsi="Times New Roman"/>
    </w:rPr>
  </w:style>
  <w:style w:type="paragraph" w:styleId="TOC1">
    <w:name w:val="toc 1"/>
    <w:basedOn w:val="TOCBase"/>
    <w:next w:val="Normal"/>
    <w:rsid w:val="00F53E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3E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3EE2"/>
    <w:rPr>
      <w:rFonts w:ascii="Times New Roman" w:eastAsia="Times New Roman" w:hAnsi="Times New Roman" w:cs="Times New Roman"/>
      <w:sz w:val="16"/>
      <w:lang w:eastAsia="en-US"/>
    </w:rPr>
  </w:style>
  <w:style w:type="paragraph" w:styleId="Title">
    <w:name w:val="Title"/>
    <w:basedOn w:val="HeadingBase"/>
    <w:link w:val="TitleChar"/>
    <w:qFormat/>
    <w:rsid w:val="00F53EE2"/>
    <w:pPr>
      <w:spacing w:before="5040"/>
      <w:jc w:val="center"/>
    </w:pPr>
    <w:rPr>
      <w:sz w:val="48"/>
      <w:szCs w:val="72"/>
      <w:lang w:val="en-US"/>
    </w:rPr>
  </w:style>
  <w:style w:type="character" w:customStyle="1" w:styleId="TitleChar">
    <w:name w:val="Title Char"/>
    <w:basedOn w:val="DefaultParagraphFont"/>
    <w:link w:val="Title"/>
    <w:rsid w:val="00F53E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EE2"/>
    <w:pPr>
      <w:tabs>
        <w:tab w:val="left" w:pos="3600"/>
        <w:tab w:val="left" w:pos="3958"/>
      </w:tabs>
    </w:pPr>
  </w:style>
  <w:style w:type="paragraph" w:styleId="List">
    <w:name w:val="List"/>
    <w:basedOn w:val="BodyText"/>
    <w:next w:val="BodyText"/>
    <w:rsid w:val="00F53EE2"/>
    <w:pPr>
      <w:tabs>
        <w:tab w:val="left" w:pos="340"/>
      </w:tabs>
      <w:spacing w:before="60" w:after="60"/>
      <w:ind w:left="340" w:hanging="340"/>
    </w:pPr>
  </w:style>
  <w:style w:type="paragraph" w:customStyle="1" w:styleId="Note">
    <w:name w:val="Note"/>
    <w:basedOn w:val="BodyText"/>
    <w:rsid w:val="00F53E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3EE2"/>
    <w:pPr>
      <w:framePr w:wrap="auto" w:hAnchor="text" w:y="6049"/>
    </w:pPr>
    <w:rPr>
      <w:color w:val="000000"/>
      <w:sz w:val="40"/>
    </w:rPr>
  </w:style>
  <w:style w:type="paragraph" w:customStyle="1" w:styleId="TOCTitle">
    <w:name w:val="TOCTitle"/>
    <w:basedOn w:val="Heading1"/>
    <w:rsid w:val="00F53EE2"/>
    <w:pPr>
      <w:spacing w:after="240"/>
      <w:jc w:val="center"/>
      <w:outlineLvl w:val="9"/>
    </w:pPr>
    <w:rPr>
      <w:caps/>
    </w:rPr>
  </w:style>
  <w:style w:type="paragraph" w:customStyle="1" w:styleId="Version">
    <w:name w:val="Version"/>
    <w:rsid w:val="00F53E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3EE2"/>
    <w:pPr>
      <w:numPr>
        <w:numId w:val="13"/>
      </w:numPr>
      <w:tabs>
        <w:tab w:val="clear" w:pos="680"/>
      </w:tabs>
    </w:pPr>
  </w:style>
  <w:style w:type="paragraph" w:styleId="Index1">
    <w:name w:val="index 1"/>
    <w:basedOn w:val="Normal"/>
    <w:next w:val="Normal"/>
    <w:semiHidden/>
    <w:rsid w:val="00F53EE2"/>
    <w:pPr>
      <w:keepNext w:val="0"/>
      <w:tabs>
        <w:tab w:val="right" w:pos="4176"/>
      </w:tabs>
      <w:ind w:left="198" w:hanging="198"/>
    </w:pPr>
    <w:rPr>
      <w:rFonts w:ascii="Garamond" w:hAnsi="Garamond"/>
    </w:rPr>
  </w:style>
  <w:style w:type="paragraph" w:styleId="IndexHeading">
    <w:name w:val="index heading"/>
    <w:basedOn w:val="Normal"/>
    <w:next w:val="Index1"/>
    <w:semiHidden/>
    <w:rsid w:val="00F53EE2"/>
    <w:pPr>
      <w:spacing w:before="120" w:after="120"/>
    </w:pPr>
    <w:rPr>
      <w:rFonts w:ascii="Arial" w:hAnsi="Arial"/>
      <w:b/>
      <w:color w:val="918585"/>
      <w:sz w:val="24"/>
    </w:rPr>
  </w:style>
  <w:style w:type="paragraph" w:styleId="Header">
    <w:name w:val="header"/>
    <w:basedOn w:val="Normal"/>
    <w:link w:val="HeaderChar"/>
    <w:rsid w:val="00F53E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3EE2"/>
    <w:rPr>
      <w:rFonts w:ascii="Times New Roman" w:eastAsia="Times New Roman" w:hAnsi="Times New Roman" w:cs="Times New Roman"/>
      <w:sz w:val="16"/>
      <w:szCs w:val="20"/>
      <w:lang w:val="en-GB" w:eastAsia="en-US"/>
    </w:rPr>
  </w:style>
  <w:style w:type="paragraph" w:customStyle="1" w:styleId="Chapter">
    <w:name w:val="Chapter"/>
    <w:basedOn w:val="Normal"/>
    <w:rsid w:val="00F53EE2"/>
    <w:pPr>
      <w:spacing w:before="240"/>
    </w:pPr>
    <w:rPr>
      <w:rFonts w:ascii="Times New Roman" w:hAnsi="Times New Roman"/>
      <w:smallCaps/>
      <w:spacing w:val="80"/>
      <w:sz w:val="28"/>
    </w:rPr>
  </w:style>
  <w:style w:type="paragraph" w:customStyle="1" w:styleId="InChapter">
    <w:name w:val="InChapter"/>
    <w:basedOn w:val="Heading3"/>
    <w:rsid w:val="00F53EE2"/>
    <w:pPr>
      <w:spacing w:after="240"/>
      <w:outlineLvl w:val="9"/>
    </w:pPr>
    <w:rPr>
      <w:noProof/>
    </w:rPr>
  </w:style>
  <w:style w:type="paragraph" w:styleId="Index2">
    <w:name w:val="index 2"/>
    <w:basedOn w:val="Normal"/>
    <w:next w:val="Normal"/>
    <w:semiHidden/>
    <w:rsid w:val="00F53EE2"/>
    <w:pPr>
      <w:tabs>
        <w:tab w:val="right" w:pos="4176"/>
      </w:tabs>
      <w:ind w:left="568" w:hanging="284"/>
    </w:pPr>
    <w:rPr>
      <w:rFonts w:ascii="Garamond" w:hAnsi="Garamond"/>
    </w:rPr>
  </w:style>
  <w:style w:type="paragraph" w:customStyle="1" w:styleId="Byline">
    <w:name w:val="Byline"/>
    <w:rsid w:val="00F53E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EE2"/>
    <w:pPr>
      <w:tabs>
        <w:tab w:val="clear" w:pos="3600"/>
        <w:tab w:val="clear" w:pos="3958"/>
      </w:tabs>
      <w:jc w:val="right"/>
    </w:pPr>
  </w:style>
  <w:style w:type="character" w:styleId="Emphasis">
    <w:name w:val="Emphasis"/>
    <w:basedOn w:val="DefaultParagraphFont"/>
    <w:qFormat/>
    <w:rsid w:val="00F53EE2"/>
    <w:rPr>
      <w:i/>
    </w:rPr>
  </w:style>
  <w:style w:type="paragraph" w:styleId="Caption">
    <w:name w:val="caption"/>
    <w:basedOn w:val="BodyText"/>
    <w:next w:val="Normal"/>
    <w:qFormat/>
    <w:rsid w:val="00F53EE2"/>
    <w:pPr>
      <w:framePr w:w="2268" w:hSpace="181" w:vSpace="181" w:wrap="around" w:vAnchor="text" w:hAnchor="page" w:x="1135" w:y="285" w:anchorLock="1"/>
    </w:pPr>
    <w:rPr>
      <w:i/>
    </w:rPr>
  </w:style>
  <w:style w:type="paragraph" w:customStyle="1" w:styleId="MiniTOCTitle">
    <w:name w:val="MiniTOCTitle"/>
    <w:basedOn w:val="Heading4"/>
    <w:rsid w:val="00F53EE2"/>
    <w:pPr>
      <w:spacing w:before="240"/>
      <w:outlineLvl w:val="9"/>
    </w:pPr>
    <w:rPr>
      <w:noProof/>
      <w:sz w:val="24"/>
    </w:rPr>
  </w:style>
  <w:style w:type="paragraph" w:customStyle="1" w:styleId="MiniTOCItem">
    <w:name w:val="MiniTOCItem"/>
    <w:basedOn w:val="ListBullet"/>
    <w:rsid w:val="00F53EE2"/>
    <w:pPr>
      <w:numPr>
        <w:numId w:val="0"/>
      </w:numPr>
      <w:tabs>
        <w:tab w:val="right" w:leader="dot" w:pos="6521"/>
      </w:tabs>
      <w:spacing w:before="0" w:after="0"/>
    </w:pPr>
  </w:style>
  <w:style w:type="paragraph" w:customStyle="1" w:styleId="TOFTitle">
    <w:name w:val="TOFTitle"/>
    <w:basedOn w:val="TOCTitle"/>
    <w:rsid w:val="00F53EE2"/>
  </w:style>
  <w:style w:type="paragraph" w:styleId="TableofFigures">
    <w:name w:val="table of figures"/>
    <w:basedOn w:val="Normal"/>
    <w:next w:val="Normal"/>
    <w:semiHidden/>
    <w:rsid w:val="00F53EE2"/>
    <w:pPr>
      <w:tabs>
        <w:tab w:val="right" w:leader="dot" w:pos="9072"/>
      </w:tabs>
      <w:ind w:left="970" w:hanging="403"/>
    </w:pPr>
    <w:rPr>
      <w:rFonts w:ascii="Times New Roman" w:hAnsi="Times New Roman"/>
      <w:b/>
    </w:rPr>
  </w:style>
  <w:style w:type="paragraph" w:styleId="ListNumber">
    <w:name w:val="List Number"/>
    <w:basedOn w:val="List"/>
    <w:rsid w:val="00F53EE2"/>
    <w:pPr>
      <w:numPr>
        <w:numId w:val="10"/>
      </w:numPr>
    </w:pPr>
  </w:style>
  <w:style w:type="character" w:customStyle="1" w:styleId="WingdingSymbols">
    <w:name w:val="Wingding Symbols"/>
    <w:rsid w:val="00F53EE2"/>
    <w:rPr>
      <w:rFonts w:ascii="Wingdings" w:hAnsi="Wingdings"/>
    </w:rPr>
  </w:style>
  <w:style w:type="paragraph" w:customStyle="1" w:styleId="TableHeading">
    <w:name w:val="Table Heading"/>
    <w:basedOn w:val="HeadingBase"/>
    <w:rsid w:val="00F53EE2"/>
    <w:pPr>
      <w:keepLines/>
      <w:pBdr>
        <w:bottom w:val="single" w:sz="6" w:space="1" w:color="918585"/>
      </w:pBdr>
      <w:spacing w:before="240"/>
    </w:pPr>
  </w:style>
  <w:style w:type="character" w:customStyle="1" w:styleId="HotSpot">
    <w:name w:val="HotSpot"/>
    <w:rsid w:val="00F53EE2"/>
    <w:rPr>
      <w:color w:val="0033CC"/>
      <w:u w:val="none"/>
    </w:rPr>
  </w:style>
  <w:style w:type="paragraph" w:customStyle="1" w:styleId="BodyTextRight">
    <w:name w:val="Body Text Right"/>
    <w:basedOn w:val="BodyText"/>
    <w:rsid w:val="00F53EE2"/>
    <w:pPr>
      <w:spacing w:before="0" w:after="0"/>
      <w:jc w:val="right"/>
    </w:pPr>
  </w:style>
  <w:style w:type="paragraph" w:styleId="Index3">
    <w:name w:val="index 3"/>
    <w:basedOn w:val="ListNumber2"/>
    <w:next w:val="Normal"/>
    <w:semiHidden/>
    <w:rsid w:val="00F53EE2"/>
    <w:pPr>
      <w:numPr>
        <w:numId w:val="0"/>
      </w:numPr>
      <w:tabs>
        <w:tab w:val="right" w:leader="dot" w:pos="4176"/>
      </w:tabs>
    </w:pPr>
  </w:style>
  <w:style w:type="paragraph" w:styleId="ListNumber2">
    <w:name w:val="List Number 2"/>
    <w:basedOn w:val="List2"/>
    <w:rsid w:val="00F53EE2"/>
    <w:pPr>
      <w:numPr>
        <w:numId w:val="9"/>
      </w:numPr>
      <w:tabs>
        <w:tab w:val="clear" w:pos="1060"/>
      </w:tabs>
    </w:pPr>
  </w:style>
  <w:style w:type="paragraph" w:customStyle="1" w:styleId="MarginNote">
    <w:name w:val="Margin Note"/>
    <w:basedOn w:val="BodyText"/>
    <w:rsid w:val="00F53E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E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3E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3EE2"/>
    <w:rPr>
      <w:sz w:val="32"/>
    </w:rPr>
  </w:style>
  <w:style w:type="paragraph" w:customStyle="1" w:styleId="HeadingProcedure">
    <w:name w:val="Heading Procedure"/>
    <w:basedOn w:val="HeadingBase"/>
    <w:next w:val="Normal"/>
    <w:rsid w:val="00F53EE2"/>
    <w:pPr>
      <w:tabs>
        <w:tab w:val="left" w:pos="0"/>
      </w:tabs>
      <w:spacing w:before="120" w:after="60"/>
    </w:pPr>
    <w:rPr>
      <w:i/>
      <w:color w:val="918585"/>
      <w:sz w:val="22"/>
    </w:rPr>
  </w:style>
  <w:style w:type="paragraph" w:customStyle="1" w:styleId="TableBodyText">
    <w:name w:val="Table Body Text"/>
    <w:basedOn w:val="BodyText"/>
    <w:rsid w:val="00F53EE2"/>
    <w:pPr>
      <w:spacing w:before="60" w:after="60"/>
    </w:pPr>
  </w:style>
  <w:style w:type="paragraph" w:styleId="ListContinue">
    <w:name w:val="List Continue"/>
    <w:basedOn w:val="List"/>
    <w:rsid w:val="00F53EE2"/>
    <w:pPr>
      <w:ind w:firstLine="0"/>
    </w:pPr>
  </w:style>
  <w:style w:type="paragraph" w:customStyle="1" w:styleId="ListNote">
    <w:name w:val="List Note"/>
    <w:basedOn w:val="List"/>
    <w:rsid w:val="00F53EE2"/>
    <w:pPr>
      <w:pBdr>
        <w:top w:val="single" w:sz="6" w:space="2" w:color="918585"/>
        <w:bottom w:val="single" w:sz="6" w:space="2" w:color="918585"/>
      </w:pBdr>
      <w:tabs>
        <w:tab w:val="left" w:pos="1021"/>
      </w:tabs>
      <w:ind w:firstLine="0"/>
    </w:pPr>
  </w:style>
  <w:style w:type="paragraph" w:customStyle="1" w:styleId="Warning">
    <w:name w:val="Warning"/>
    <w:basedOn w:val="BodyText"/>
    <w:rsid w:val="00F53EE2"/>
    <w:pPr>
      <w:shd w:val="clear" w:color="auto" w:fill="D9D9D9"/>
      <w:tabs>
        <w:tab w:val="left" w:pos="992"/>
      </w:tabs>
      <w:ind w:left="119" w:right="119"/>
    </w:pPr>
    <w:rPr>
      <w:sz w:val="20"/>
    </w:rPr>
  </w:style>
  <w:style w:type="paragraph" w:customStyle="1" w:styleId="MarginIcons">
    <w:name w:val="Margin Icons"/>
    <w:basedOn w:val="BodyText"/>
    <w:rsid w:val="00F53E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3EE2"/>
    <w:rPr>
      <w:rFonts w:ascii="Courier New" w:hAnsi="Courier New"/>
    </w:rPr>
  </w:style>
  <w:style w:type="paragraph" w:customStyle="1" w:styleId="NoteBullet">
    <w:name w:val="Note Bullet"/>
    <w:basedOn w:val="Note"/>
    <w:rsid w:val="00F53EE2"/>
    <w:pPr>
      <w:tabs>
        <w:tab w:val="clear" w:pos="680"/>
      </w:tabs>
      <w:spacing w:before="60" w:after="60"/>
    </w:pPr>
  </w:style>
  <w:style w:type="paragraph" w:customStyle="1" w:styleId="SubHeading2">
    <w:name w:val="SubHeading2"/>
    <w:basedOn w:val="HeadingBase"/>
    <w:rsid w:val="00F53EE2"/>
    <w:pPr>
      <w:spacing w:before="240" w:after="60"/>
    </w:pPr>
    <w:rPr>
      <w:sz w:val="20"/>
    </w:rPr>
  </w:style>
  <w:style w:type="paragraph" w:customStyle="1" w:styleId="SubHeading1">
    <w:name w:val="SubHeading1"/>
    <w:basedOn w:val="HeadingBase"/>
    <w:rsid w:val="00F53EE2"/>
    <w:pPr>
      <w:spacing w:before="240" w:after="60"/>
    </w:pPr>
    <w:rPr>
      <w:color w:val="918585"/>
      <w:sz w:val="22"/>
    </w:rPr>
  </w:style>
  <w:style w:type="paragraph" w:customStyle="1" w:styleId="SideHeading">
    <w:name w:val="Side Heading"/>
    <w:basedOn w:val="HeadingBase"/>
    <w:rsid w:val="00F53E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EE2"/>
    <w:pPr>
      <w:tabs>
        <w:tab w:val="num" w:pos="360"/>
      </w:tabs>
    </w:pPr>
  </w:style>
  <w:style w:type="paragraph" w:styleId="PlainText">
    <w:name w:val="Plain Text"/>
    <w:basedOn w:val="Normal"/>
    <w:link w:val="PlainTextChar"/>
    <w:rsid w:val="00F53EE2"/>
    <w:rPr>
      <w:sz w:val="20"/>
    </w:rPr>
  </w:style>
  <w:style w:type="character" w:customStyle="1" w:styleId="PlainTextChar">
    <w:name w:val="Plain Text Char"/>
    <w:basedOn w:val="DefaultParagraphFont"/>
    <w:link w:val="PlainText"/>
    <w:rsid w:val="00F53EE2"/>
    <w:rPr>
      <w:rFonts w:ascii="Courier New" w:eastAsia="Times New Roman" w:hAnsi="Courier New" w:cs="Times New Roman"/>
      <w:sz w:val="20"/>
      <w:szCs w:val="20"/>
      <w:lang w:eastAsia="en-US"/>
    </w:rPr>
  </w:style>
  <w:style w:type="character" w:customStyle="1" w:styleId="MenuOption">
    <w:name w:val="Menu Option"/>
    <w:basedOn w:val="DefaultParagraphFont"/>
    <w:rsid w:val="00F53EE2"/>
    <w:rPr>
      <w:b/>
      <w:smallCaps/>
    </w:rPr>
  </w:style>
  <w:style w:type="paragraph" w:customStyle="1" w:styleId="TableListNumber">
    <w:name w:val="Table List Number"/>
    <w:basedOn w:val="ListNumber"/>
    <w:rsid w:val="00F53EE2"/>
    <w:pPr>
      <w:numPr>
        <w:numId w:val="0"/>
      </w:numPr>
    </w:pPr>
  </w:style>
  <w:style w:type="paragraph" w:styleId="TOC4">
    <w:name w:val="toc 4"/>
    <w:basedOn w:val="TOCBase"/>
    <w:next w:val="Normal"/>
    <w:semiHidden/>
    <w:rsid w:val="00F53EE2"/>
    <w:pPr>
      <w:tabs>
        <w:tab w:val="right" w:leader="dot" w:pos="9071"/>
      </w:tabs>
      <w:ind w:left="1701"/>
    </w:pPr>
  </w:style>
  <w:style w:type="paragraph" w:customStyle="1" w:styleId="ListAlpha">
    <w:name w:val="List Alpha"/>
    <w:basedOn w:val="List"/>
    <w:rsid w:val="00F53EE2"/>
    <w:pPr>
      <w:numPr>
        <w:numId w:val="8"/>
      </w:numPr>
    </w:pPr>
  </w:style>
  <w:style w:type="paragraph" w:customStyle="1" w:styleId="ListAlpha2">
    <w:name w:val="List Alpha 2"/>
    <w:basedOn w:val="List2"/>
    <w:rsid w:val="00F53EE2"/>
    <w:pPr>
      <w:numPr>
        <w:numId w:val="7"/>
      </w:numPr>
    </w:pPr>
  </w:style>
  <w:style w:type="paragraph" w:styleId="List2">
    <w:name w:val="List 2"/>
    <w:basedOn w:val="BodyText"/>
    <w:rsid w:val="00F53EE2"/>
    <w:pPr>
      <w:tabs>
        <w:tab w:val="left" w:pos="680"/>
      </w:tabs>
      <w:spacing w:before="60" w:after="60"/>
      <w:ind w:left="680" w:hanging="340"/>
    </w:pPr>
  </w:style>
  <w:style w:type="paragraph" w:styleId="List3">
    <w:name w:val="List 3"/>
    <w:basedOn w:val="BodyText"/>
    <w:rsid w:val="00F53EE2"/>
    <w:pPr>
      <w:tabs>
        <w:tab w:val="left" w:pos="1021"/>
      </w:tabs>
      <w:spacing w:before="60" w:after="60"/>
      <w:ind w:left="1020" w:hanging="340"/>
    </w:pPr>
  </w:style>
  <w:style w:type="paragraph" w:styleId="List4">
    <w:name w:val="List 4"/>
    <w:basedOn w:val="BodyText"/>
    <w:rsid w:val="00F53EE2"/>
    <w:pPr>
      <w:tabs>
        <w:tab w:val="left" w:pos="1361"/>
      </w:tabs>
      <w:spacing w:before="60" w:after="60"/>
      <w:ind w:left="1361" w:hanging="340"/>
    </w:pPr>
  </w:style>
  <w:style w:type="paragraph" w:styleId="List5">
    <w:name w:val="List 5"/>
    <w:basedOn w:val="BodyText"/>
    <w:rsid w:val="00F53EE2"/>
    <w:pPr>
      <w:tabs>
        <w:tab w:val="left" w:pos="1701"/>
      </w:tabs>
      <w:spacing w:before="60" w:after="60"/>
      <w:ind w:left="1701" w:hanging="340"/>
    </w:pPr>
  </w:style>
  <w:style w:type="paragraph" w:styleId="ListBullet3">
    <w:name w:val="List Bullet 3"/>
    <w:basedOn w:val="List3"/>
    <w:rsid w:val="00F53EE2"/>
    <w:pPr>
      <w:numPr>
        <w:numId w:val="14"/>
      </w:numPr>
      <w:tabs>
        <w:tab w:val="clear" w:pos="1021"/>
      </w:tabs>
      <w:ind w:left="1037" w:hanging="357"/>
    </w:pPr>
  </w:style>
  <w:style w:type="paragraph" w:styleId="ListBullet4">
    <w:name w:val="List Bullet 4"/>
    <w:basedOn w:val="List4"/>
    <w:rsid w:val="00F53EE2"/>
    <w:pPr>
      <w:numPr>
        <w:numId w:val="2"/>
      </w:numPr>
      <w:tabs>
        <w:tab w:val="clear" w:pos="1361"/>
      </w:tabs>
    </w:pPr>
  </w:style>
  <w:style w:type="paragraph" w:styleId="ListBullet5">
    <w:name w:val="List Bullet 5"/>
    <w:basedOn w:val="List5"/>
    <w:rsid w:val="00F53EE2"/>
    <w:pPr>
      <w:numPr>
        <w:numId w:val="3"/>
      </w:numPr>
    </w:pPr>
  </w:style>
  <w:style w:type="paragraph" w:styleId="ListContinue2">
    <w:name w:val="List Continue 2"/>
    <w:basedOn w:val="List2"/>
    <w:rsid w:val="00F53EE2"/>
    <w:pPr>
      <w:ind w:firstLine="0"/>
    </w:pPr>
  </w:style>
  <w:style w:type="paragraph" w:styleId="ListContinue3">
    <w:name w:val="List Continue 3"/>
    <w:basedOn w:val="List3"/>
    <w:rsid w:val="00F53EE2"/>
    <w:pPr>
      <w:ind w:left="1021" w:firstLine="0"/>
    </w:pPr>
  </w:style>
  <w:style w:type="paragraph" w:styleId="ListContinue4">
    <w:name w:val="List Continue 4"/>
    <w:basedOn w:val="List4"/>
    <w:rsid w:val="00F53EE2"/>
    <w:pPr>
      <w:ind w:firstLine="0"/>
    </w:pPr>
  </w:style>
  <w:style w:type="paragraph" w:styleId="ListContinue5">
    <w:name w:val="List Continue 5"/>
    <w:basedOn w:val="List5"/>
    <w:rsid w:val="00F53EE2"/>
    <w:pPr>
      <w:ind w:firstLine="0"/>
    </w:pPr>
  </w:style>
  <w:style w:type="paragraph" w:styleId="ListNumber3">
    <w:name w:val="List Number 3"/>
    <w:basedOn w:val="List3"/>
    <w:rsid w:val="00F53EE2"/>
    <w:pPr>
      <w:numPr>
        <w:numId w:val="4"/>
      </w:numPr>
    </w:pPr>
  </w:style>
  <w:style w:type="paragraph" w:styleId="ListNumber4">
    <w:name w:val="List Number 4"/>
    <w:basedOn w:val="List4"/>
    <w:rsid w:val="00F53EE2"/>
    <w:pPr>
      <w:numPr>
        <w:numId w:val="5"/>
      </w:numPr>
    </w:pPr>
  </w:style>
  <w:style w:type="paragraph" w:styleId="ListNumber5">
    <w:name w:val="List Number 5"/>
    <w:basedOn w:val="List5"/>
    <w:rsid w:val="00F53EE2"/>
    <w:pPr>
      <w:numPr>
        <w:numId w:val="6"/>
      </w:numPr>
    </w:pPr>
  </w:style>
  <w:style w:type="paragraph" w:styleId="BlockText">
    <w:name w:val="Block Text"/>
    <w:basedOn w:val="Normal"/>
    <w:rsid w:val="00F53EE2"/>
    <w:pPr>
      <w:spacing w:after="120"/>
      <w:ind w:left="1440" w:right="1440"/>
    </w:pPr>
  </w:style>
  <w:style w:type="character" w:customStyle="1" w:styleId="Subscript">
    <w:name w:val="Subscript"/>
    <w:basedOn w:val="DefaultParagraphFont"/>
    <w:rsid w:val="00F53EE2"/>
    <w:rPr>
      <w:sz w:val="16"/>
      <w:vertAlign w:val="subscript"/>
    </w:rPr>
  </w:style>
  <w:style w:type="character" w:customStyle="1" w:styleId="Superscript">
    <w:name w:val="Superscript"/>
    <w:basedOn w:val="DefaultParagraphFont"/>
    <w:rsid w:val="00F53EE2"/>
    <w:rPr>
      <w:sz w:val="16"/>
      <w:vertAlign w:val="superscript"/>
    </w:rPr>
  </w:style>
  <w:style w:type="character" w:customStyle="1" w:styleId="Symbols">
    <w:name w:val="Symbols"/>
    <w:basedOn w:val="DefaultParagraphFont"/>
    <w:rsid w:val="00F53EE2"/>
    <w:rPr>
      <w:rFonts w:ascii="Symbol" w:hAnsi="Symbol"/>
    </w:rPr>
  </w:style>
  <w:style w:type="character" w:customStyle="1" w:styleId="MenuOptions">
    <w:name w:val="Menu Options"/>
    <w:basedOn w:val="DefaultParagraphFont"/>
    <w:rsid w:val="00F53EE2"/>
    <w:rPr>
      <w:rFonts w:ascii="Arial Narrow" w:hAnsi="Arial Narrow"/>
      <w:smallCaps/>
    </w:rPr>
  </w:style>
  <w:style w:type="character" w:customStyle="1" w:styleId="Buttons">
    <w:name w:val="Buttons"/>
    <w:basedOn w:val="DefaultParagraphFont"/>
    <w:rsid w:val="00F53EE2"/>
    <w:rPr>
      <w:b/>
    </w:rPr>
  </w:style>
  <w:style w:type="character" w:customStyle="1" w:styleId="Underlined">
    <w:name w:val="Underlined"/>
    <w:basedOn w:val="DefaultParagraphFont"/>
    <w:rsid w:val="00F53EE2"/>
    <w:rPr>
      <w:u w:val="single"/>
    </w:rPr>
  </w:style>
  <w:style w:type="paragraph" w:customStyle="1" w:styleId="TableBodyTextRight">
    <w:name w:val="Table Body Text Right"/>
    <w:basedOn w:val="TableBodyText"/>
    <w:rsid w:val="00F53EE2"/>
    <w:pPr>
      <w:widowControl w:val="0"/>
      <w:autoSpaceDE w:val="0"/>
      <w:autoSpaceDN w:val="0"/>
      <w:adjustRightInd w:val="0"/>
      <w:jc w:val="right"/>
    </w:pPr>
    <w:rPr>
      <w:rFonts w:cs="Arial"/>
      <w:szCs w:val="18"/>
    </w:rPr>
  </w:style>
  <w:style w:type="paragraph" w:customStyle="1" w:styleId="CopyrightText">
    <w:name w:val="Copyright Text"/>
    <w:basedOn w:val="BodyText"/>
    <w:rsid w:val="00F53EE2"/>
    <w:rPr>
      <w:sz w:val="18"/>
    </w:rPr>
  </w:style>
  <w:style w:type="paragraph" w:customStyle="1" w:styleId="BodySmallRight">
    <w:name w:val="Body Small Right"/>
    <w:basedOn w:val="BodyTextRight"/>
    <w:rsid w:val="00F53EE2"/>
    <w:rPr>
      <w:sz w:val="18"/>
      <w:szCs w:val="18"/>
    </w:rPr>
  </w:style>
  <w:style w:type="paragraph" w:customStyle="1" w:styleId="MarginEdition">
    <w:name w:val="Margin Edition"/>
    <w:basedOn w:val="MarginNote"/>
    <w:rsid w:val="00F53EE2"/>
    <w:pPr>
      <w:spacing w:before="0" w:after="0"/>
    </w:pPr>
    <w:rPr>
      <w:rFonts w:ascii="Times New Roman" w:hAnsi="Times New Roman"/>
      <w:color w:val="999999"/>
    </w:rPr>
  </w:style>
  <w:style w:type="paragraph" w:customStyle="1" w:styleId="Spacer">
    <w:name w:val="Spacer"/>
    <w:basedOn w:val="Normal"/>
    <w:rsid w:val="00F53EE2"/>
    <w:rPr>
      <w:sz w:val="2"/>
      <w:szCs w:val="2"/>
    </w:rPr>
  </w:style>
  <w:style w:type="character" w:customStyle="1" w:styleId="Small">
    <w:name w:val="Small"/>
    <w:basedOn w:val="DefaultParagraphFont"/>
    <w:rsid w:val="00F53EE2"/>
    <w:rPr>
      <w:sz w:val="16"/>
    </w:rPr>
  </w:style>
  <w:style w:type="paragraph" w:customStyle="1" w:styleId="WideTable">
    <w:name w:val="Wide Table"/>
    <w:basedOn w:val="Normal"/>
    <w:rsid w:val="00F53EE2"/>
    <w:pPr>
      <w:ind w:left="-1418"/>
    </w:pPr>
    <w:rPr>
      <w:sz w:val="2"/>
      <w:szCs w:val="2"/>
    </w:rPr>
  </w:style>
  <w:style w:type="character" w:styleId="PageNumber">
    <w:name w:val="page number"/>
    <w:basedOn w:val="DefaultParagraphFont"/>
    <w:rsid w:val="00F53EE2"/>
  </w:style>
  <w:style w:type="paragraph" w:styleId="Quote">
    <w:name w:val="Quote"/>
    <w:basedOn w:val="Heading1"/>
    <w:link w:val="QuoteChar"/>
    <w:qFormat/>
    <w:rsid w:val="00F53EE2"/>
    <w:rPr>
      <w:b w:val="0"/>
      <w:sz w:val="72"/>
      <w:szCs w:val="72"/>
      <w:lang w:val="en-NZ"/>
    </w:rPr>
  </w:style>
  <w:style w:type="character" w:customStyle="1" w:styleId="QuoteChar">
    <w:name w:val="Quote Char"/>
    <w:basedOn w:val="DefaultParagraphFont"/>
    <w:link w:val="Quote"/>
    <w:rsid w:val="00F53E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EE2"/>
    <w:pPr>
      <w:pageBreakBefore/>
    </w:pPr>
  </w:style>
  <w:style w:type="paragraph" w:customStyle="1" w:styleId="Border">
    <w:name w:val="Border"/>
    <w:basedOn w:val="Normal"/>
    <w:qFormat/>
    <w:rsid w:val="00F53E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3EE2"/>
    <w:rPr>
      <w:b/>
      <w:bCs/>
      <w:i/>
      <w:iCs/>
      <w:color w:val="auto"/>
    </w:rPr>
  </w:style>
  <w:style w:type="paragraph" w:styleId="IntenseQuote">
    <w:name w:val="Intense Quote"/>
    <w:basedOn w:val="Normal"/>
    <w:next w:val="Normal"/>
    <w:link w:val="IntenseQuoteChar"/>
    <w:uiPriority w:val="30"/>
    <w:qFormat/>
    <w:rsid w:val="00F53E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3E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3EE2"/>
    <w:rPr>
      <w:smallCaps/>
      <w:color w:val="auto"/>
      <w:u w:val="single"/>
    </w:rPr>
  </w:style>
  <w:style w:type="character" w:styleId="IntenseReference">
    <w:name w:val="Intense Reference"/>
    <w:basedOn w:val="DefaultParagraphFont"/>
    <w:uiPriority w:val="32"/>
    <w:qFormat/>
    <w:rsid w:val="00F53EE2"/>
    <w:rPr>
      <w:b/>
      <w:bCs/>
      <w:smallCaps/>
      <w:color w:val="auto"/>
      <w:spacing w:val="5"/>
      <w:u w:val="single"/>
    </w:rPr>
  </w:style>
  <w:style w:type="paragraph" w:customStyle="1" w:styleId="2ColumnHeading">
    <w:name w:val="2Column Heading"/>
    <w:basedOn w:val="BodyText"/>
    <w:qFormat/>
    <w:rsid w:val="00F53EE2"/>
    <w:pPr>
      <w:spacing w:after="60"/>
      <w:ind w:left="-2268"/>
    </w:pPr>
    <w:rPr>
      <w:b/>
    </w:rPr>
  </w:style>
  <w:style w:type="paragraph" w:customStyle="1" w:styleId="Heading1TOC">
    <w:name w:val="Heading1 TOC"/>
    <w:basedOn w:val="Normal"/>
    <w:qFormat/>
    <w:rsid w:val="00F53EE2"/>
    <w:pPr>
      <w:spacing w:before="240" w:after="120"/>
    </w:pPr>
    <w:rPr>
      <w:rFonts w:ascii="Times New Roman" w:hAnsi="Times New Roman"/>
      <w:b/>
      <w:sz w:val="32"/>
    </w:rPr>
  </w:style>
  <w:style w:type="paragraph" w:customStyle="1" w:styleId="Heading2TOC">
    <w:name w:val="Heading2 TOC"/>
    <w:basedOn w:val="Normal"/>
    <w:qFormat/>
    <w:rsid w:val="00F53EE2"/>
    <w:pPr>
      <w:spacing w:before="240" w:after="60"/>
    </w:pPr>
    <w:rPr>
      <w:rFonts w:ascii="Times New Roman" w:hAnsi="Times New Roman"/>
      <w:b/>
      <w:sz w:val="28"/>
    </w:rPr>
  </w:style>
  <w:style w:type="character" w:customStyle="1" w:styleId="Underline">
    <w:name w:val="Underline"/>
    <w:basedOn w:val="DefaultParagraphFont"/>
    <w:qFormat/>
    <w:rsid w:val="00F53EE2"/>
    <w:rPr>
      <w:u w:val="single"/>
    </w:rPr>
  </w:style>
  <w:style w:type="character" w:customStyle="1" w:styleId="BoldandItalics">
    <w:name w:val="Bold and Italics"/>
    <w:qFormat/>
    <w:rsid w:val="00F53EE2"/>
    <w:rPr>
      <w:b/>
      <w:i/>
      <w:u w:val="none"/>
    </w:rPr>
  </w:style>
  <w:style w:type="paragraph" w:styleId="BalloonText">
    <w:name w:val="Balloon Text"/>
    <w:basedOn w:val="Normal"/>
    <w:link w:val="BalloonTextChar"/>
    <w:rsid w:val="00F53EE2"/>
    <w:rPr>
      <w:rFonts w:ascii="Tahoma" w:hAnsi="Tahoma" w:cs="Tahoma"/>
      <w:sz w:val="16"/>
      <w:szCs w:val="16"/>
    </w:rPr>
  </w:style>
  <w:style w:type="character" w:customStyle="1" w:styleId="BalloonTextChar">
    <w:name w:val="Balloon Text Char"/>
    <w:basedOn w:val="DefaultParagraphFont"/>
    <w:link w:val="BalloonText"/>
    <w:rsid w:val="00F53E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3E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3E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3EE2"/>
    <w:rPr>
      <w:b/>
      <w:color w:val="660033"/>
      <w:spacing w:val="0"/>
    </w:rPr>
  </w:style>
  <w:style w:type="paragraph" w:customStyle="1" w:styleId="Nameditemlist">
    <w:name w:val="Named item list"/>
    <w:basedOn w:val="BodyText"/>
    <w:qFormat/>
    <w:rsid w:val="00F53E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739</Words>
  <Characters>4732</Characters>
  <Application>Microsoft Office Word</Application>
  <DocSecurity>0</DocSecurity>
  <Lines>234</Lines>
  <Paragraphs>120</Paragraphs>
  <ScaleCrop>false</ScaleCrop>
  <Company>Author-it Software Corporation Ltd.</Company>
  <LinksUpToDate>false</LinksUpToDate>
  <CharactersWithSpaces>5402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MARC009 Operate and monitor marine internal combustion engines, propulsion plant and auxiliary systems</dc:title>
  <dc:subject>Approved</dc:subject>
  <dc:creator>Transport &amp; Logistics Industry Skills Council</dc:creator>
  <cp:keywords>Release: 2</cp:keywords>
  <dc:description>Review Date: 12 April 2008</dc:description>
  <cp:lastModifiedBy>HSD_TPCMSd.prod</cp:lastModifiedBy>
  <cp:revision>3</cp:revision>
  <dcterms:created xsi:type="dcterms:W3CDTF">2016-02-24T03:46:00Z</dcterms:created>
  <dcterms:modified xsi:type="dcterms:W3CDTF">2016-02-24T03:46:00Z</dcterms:modified>
</cp:coreProperties>
</file>