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351E" w:rsidP="0006351E">
      <w:pPr>
        <w:pStyle w:val="Title"/>
      </w:pPr>
      <w:r>
        <w:fldChar w:fldCharType="begin"/>
      </w:r>
      <w:r>
        <w:instrText xml:space="preserve"> TITLE   \* MERGEFORMAT </w:instrText>
      </w:r>
      <w:r>
        <w:fldChar w:fldCharType="separate"/>
      </w:r>
      <w:r>
        <w:t>MARC008 Manage fuel systems</w:t>
      </w:r>
      <w:r>
        <w:fldChar w:fldCharType="end"/>
      </w:r>
    </w:p>
    <w:p w:rsidR="0006351E" w:rsidP="0006351E">
      <w:pPr>
        <w:pStyle w:val="Version"/>
        <w:sectPr w:rsidSect="00C40C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40CEC" w:rsidP="00C40CEC">
      <w:pPr>
        <w:pStyle w:val="SuperHeading"/>
      </w:pPr>
      <w:r w:rsidRPr="00C40CEC">
        <w:t>MARC008 Manage fuel systems</w:t>
      </w:r>
    </w:p>
    <w:p w:rsidR="00000000" w:rsidRPr="00C40CEC" w:rsidP="00C40CEC">
      <w:pPr>
        <w:pStyle w:val="Heading1"/>
      </w:pPr>
      <w:bookmarkStart w:id="1" w:name="O_634060"/>
      <w:bookmarkEnd w:id="1"/>
      <w:r w:rsidRPr="00C40CEC">
        <w:t>Modification History</w:t>
      </w:r>
    </w:p>
    <w:p w:rsidR="00000000" w:rsidRPr="00C40CEC" w:rsidP="00C40CEC">
      <w:pPr>
        <w:pStyle w:val="BodyText"/>
      </w:pPr>
      <w:r w:rsidRPr="00C40CEC">
        <w:t xml:space="preserve">Release 2. Range of Conditions updated to include relevant information. </w:t>
      </w:r>
    </w:p>
    <w:p w:rsidR="00000000" w:rsidRPr="00C40CEC" w:rsidP="00C40CEC">
      <w:pPr>
        <w:pStyle w:val="BodyText"/>
      </w:pPr>
      <w:r w:rsidRPr="00C40CEC">
        <w:t>Release 1. New unit of competency.</w:t>
      </w:r>
    </w:p>
    <w:p w:rsidR="00000000" w:rsidRPr="00C40CEC" w:rsidP="00C40CEC">
      <w:pPr>
        <w:pStyle w:val="AllowPageBreak"/>
      </w:pPr>
    </w:p>
    <w:p w:rsidR="00000000" w:rsidRPr="00C40CEC" w:rsidP="00C40CEC">
      <w:pPr>
        <w:pStyle w:val="Heading1"/>
      </w:pPr>
      <w:bookmarkStart w:id="2" w:name="O_634059"/>
      <w:bookmarkEnd w:id="2"/>
      <w:r w:rsidRPr="00C40CEC">
        <w:t>Application</w:t>
      </w:r>
    </w:p>
    <w:p w:rsidR="00000000" w:rsidRPr="00C40CEC" w:rsidP="00C40CEC">
      <w:pPr>
        <w:pStyle w:val="BodyText"/>
      </w:pPr>
      <w:r w:rsidRPr="00C40CEC">
        <w:t xml:space="preserve">This unit involves the skills and knowledge required to manage the fuel and fuel oil systems of a </w:t>
      </w:r>
      <w:r w:rsidRPr="00C40CEC">
        <w:t>vessel to ensure safety of operation and to avoid pollution of the marine environment.</w:t>
      </w:r>
    </w:p>
    <w:p w:rsidR="00000000" w:rsidRPr="00C40CEC" w:rsidP="00C40CEC">
      <w:pPr>
        <w:pStyle w:val="BodyText"/>
      </w:pPr>
    </w:p>
    <w:p w:rsidR="00000000" w:rsidRPr="00C40CEC" w:rsidP="00C40CEC">
      <w:pPr>
        <w:pStyle w:val="BodyText"/>
      </w:pPr>
      <w:r w:rsidRPr="00C40CEC">
        <w:t>This unit applies to engine workers in the maritime industry working as a Marine Engine Driver Grade 2 Near Coastal on vessels up to 750 kW or as a Marine Engine Driver</w:t>
      </w:r>
      <w:r w:rsidRPr="00C40CEC">
        <w:t xml:space="preserve"> Grade 1 Near Coastal on vessels up to 1500 kW or as a Marine Engine Driver Steam.</w:t>
      </w:r>
    </w:p>
    <w:p w:rsidR="00000000" w:rsidRPr="00C40CEC" w:rsidP="00C40CEC">
      <w:pPr>
        <w:pStyle w:val="BodyText"/>
      </w:pPr>
    </w:p>
    <w:p w:rsidR="00000000" w:rsidRPr="00C40CEC" w:rsidP="00C40CEC">
      <w:pPr>
        <w:pStyle w:val="BodyText"/>
      </w:pPr>
      <w:r w:rsidRPr="00C40CEC">
        <w:t>This unit has links to legislative and certification requirements.</w:t>
      </w:r>
    </w:p>
    <w:p w:rsidR="00000000" w:rsidRPr="00C40CEC" w:rsidP="00C40CEC">
      <w:pPr>
        <w:pStyle w:val="AllowPageBreak"/>
      </w:pPr>
    </w:p>
    <w:p w:rsidR="00000000" w:rsidRPr="00C40CEC" w:rsidP="00C40CEC">
      <w:pPr>
        <w:pStyle w:val="Heading1"/>
      </w:pPr>
      <w:bookmarkStart w:id="3" w:name="O_634058"/>
      <w:bookmarkEnd w:id="3"/>
      <w:r w:rsidRPr="00C40CEC">
        <w:t>Pre-requisite Unit</w:t>
      </w:r>
    </w:p>
    <w:p w:rsidR="00000000" w:rsidRPr="00C40CEC" w:rsidP="00C40CEC">
      <w:pPr>
        <w:pStyle w:val="BodyText"/>
      </w:pPr>
      <w:r w:rsidRPr="00C40CEC">
        <w:t>Not applicable.</w:t>
      </w:r>
    </w:p>
    <w:p w:rsidR="00000000" w:rsidRPr="00C40CEC" w:rsidP="00C40CEC">
      <w:pPr>
        <w:pStyle w:val="AllowPageBreak"/>
      </w:pPr>
    </w:p>
    <w:p w:rsidR="00000000" w:rsidRPr="00C40CEC" w:rsidP="00C40CEC">
      <w:pPr>
        <w:pStyle w:val="Heading1"/>
      </w:pPr>
      <w:bookmarkStart w:id="4" w:name="O_634057"/>
      <w:bookmarkEnd w:id="4"/>
      <w:r w:rsidRPr="00C40CEC">
        <w:t>Competency Field</w:t>
      </w:r>
    </w:p>
    <w:p w:rsidR="00000000" w:rsidRPr="00C40CEC" w:rsidP="00C40CEC">
      <w:pPr>
        <w:pStyle w:val="BodyText"/>
      </w:pPr>
      <w:r w:rsidRPr="00C40CEC">
        <w:t>C - Equipment Opera</w:t>
      </w:r>
      <w:r w:rsidRPr="00C40CEC">
        <w:t>tions</w:t>
      </w:r>
    </w:p>
    <w:p w:rsidR="00000000" w:rsidRPr="00C40CEC" w:rsidP="00C40CEC">
      <w:pPr>
        <w:pStyle w:val="AllowPageBreak"/>
      </w:pPr>
    </w:p>
    <w:p w:rsidR="00000000" w:rsidRPr="00C40CEC" w:rsidP="00C40CEC">
      <w:pPr>
        <w:pStyle w:val="Heading1"/>
      </w:pPr>
      <w:bookmarkStart w:id="5" w:name="O_634056"/>
      <w:bookmarkEnd w:id="5"/>
      <w:r w:rsidRPr="00C40CEC">
        <w:t>Unit Sector</w:t>
      </w:r>
    </w:p>
    <w:p w:rsidR="00000000" w:rsidRPr="00C40CEC" w:rsidP="00C40CEC">
      <w:pPr>
        <w:pStyle w:val="BodyText"/>
      </w:pPr>
      <w:r w:rsidRPr="00C40CEC">
        <w:t>Not applicable.</w:t>
      </w:r>
    </w:p>
    <w:p w:rsidR="00000000" w:rsidRPr="00C40CEC" w:rsidP="00C40CEC">
      <w:pPr>
        <w:pStyle w:val="AllowPageBreak"/>
      </w:pPr>
    </w:p>
    <w:p w:rsidR="00000000" w:rsidRPr="00C40CEC" w:rsidP="00C40CEC">
      <w:pPr>
        <w:pStyle w:val="Heading1"/>
      </w:pPr>
      <w:bookmarkStart w:id="6" w:name="O_634055"/>
      <w:bookmarkEnd w:id="6"/>
      <w:r w:rsidRPr="00C40CEC">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06351E">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C40CEC">
            <w:pPr>
              <w:pStyle w:val="BodyText"/>
              <w:rPr>
                <w:lang w:val="en-NZ"/>
              </w:rPr>
            </w:pPr>
            <w:r w:rsidRPr="00C40CEC">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C40CEC">
            <w:pPr>
              <w:pStyle w:val="BodyText"/>
              <w:rPr>
                <w:lang w:val="en-NZ"/>
              </w:rPr>
            </w:pPr>
            <w:r w:rsidRPr="00C40CEC">
              <w:t>Performance criteria describe the performance needed to demonstrate achievement of the element.</w:t>
            </w:r>
          </w:p>
        </w:tc>
      </w:tr>
      <w:tr w:rsidTr="0006351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40CEC" w:rsidP="00C40CEC">
            <w:pPr>
              <w:pStyle w:val="BodyText"/>
            </w:pPr>
            <w:r w:rsidRPr="00C40CEC">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C40CEC">
            <w:pPr>
              <w:pStyle w:val="BodyText"/>
              <w:rPr>
                <w:lang w:val="en-NZ"/>
              </w:rPr>
            </w:pPr>
            <w:r w:rsidRPr="00C40CEC">
              <w:rPr>
                <w:rStyle w:val="SpecialBold"/>
              </w:rPr>
              <w:t>Plan refuelling</w:t>
            </w:r>
          </w:p>
        </w:tc>
        <w:tc>
          <w:tcPr>
            <w:tcW w:w="719" w:type="dxa"/>
            <w:tcBorders>
              <w:top w:val="nil"/>
              <w:left w:val="nil"/>
              <w:bottom w:val="nil"/>
              <w:right w:val="nil"/>
            </w:tcBorders>
            <w:tcMar>
              <w:top w:w="0" w:type="dxa"/>
              <w:left w:w="62" w:type="dxa"/>
              <w:bottom w:w="0" w:type="dxa"/>
              <w:right w:w="62" w:type="dxa"/>
            </w:tcMar>
          </w:tcPr>
          <w:p w:rsidR="00000000" w:rsidP="00C40CEC">
            <w:pPr>
              <w:pStyle w:val="BodyText"/>
              <w:rPr>
                <w:lang w:val="en-NZ"/>
              </w:rPr>
            </w:pPr>
            <w:r w:rsidRPr="00C40CEC">
              <w:t>1.1</w:t>
            </w:r>
          </w:p>
        </w:tc>
        <w:tc>
          <w:tcPr>
            <w:tcW w:w="6045" w:type="dxa"/>
            <w:tcBorders>
              <w:top w:val="nil"/>
              <w:left w:val="nil"/>
              <w:bottom w:val="nil"/>
              <w:right w:val="nil"/>
            </w:tcBorders>
            <w:tcMar>
              <w:top w:w="0" w:type="dxa"/>
              <w:left w:w="62" w:type="dxa"/>
              <w:bottom w:w="0" w:type="dxa"/>
              <w:right w:w="62" w:type="dxa"/>
            </w:tcMar>
          </w:tcPr>
          <w:p w:rsidR="00000000" w:rsidP="00C40CEC">
            <w:pPr>
              <w:pStyle w:val="BodyText"/>
              <w:rPr>
                <w:lang w:val="en-NZ"/>
              </w:rPr>
            </w:pPr>
            <w:r w:rsidRPr="00C40CEC">
              <w:t>Fuel tanks are dipped to establish current level of fuel</w:t>
            </w:r>
          </w:p>
        </w:tc>
      </w:tr>
      <w:tr w:rsidTr="0006351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CEC">
            <w:pPr>
              <w:pStyle w:val="BodyText"/>
              <w:rPr>
                <w:lang w:val="en-NZ"/>
              </w:rPr>
            </w:pPr>
            <w:r w:rsidRPr="00C40CEC">
              <w:t>1.2</w:t>
            </w:r>
          </w:p>
        </w:tc>
        <w:tc>
          <w:tcPr>
            <w:tcW w:w="6045" w:type="dxa"/>
            <w:tcBorders>
              <w:top w:val="nil"/>
              <w:left w:val="nil"/>
              <w:bottom w:val="nil"/>
              <w:right w:val="nil"/>
            </w:tcBorders>
            <w:tcMar>
              <w:top w:w="0" w:type="dxa"/>
              <w:left w:w="62" w:type="dxa"/>
              <w:bottom w:w="0" w:type="dxa"/>
              <w:right w:w="62" w:type="dxa"/>
            </w:tcMar>
          </w:tcPr>
          <w:p w:rsidR="00000000" w:rsidP="00C40CEC">
            <w:pPr>
              <w:pStyle w:val="BodyText"/>
              <w:rPr>
                <w:lang w:val="en-NZ"/>
              </w:rPr>
            </w:pPr>
            <w:r w:rsidRPr="00C40CEC">
              <w:t>Amount of fuel on board vessel is calculated and positioning of fuel is determined</w:t>
            </w:r>
          </w:p>
        </w:tc>
      </w:tr>
      <w:tr w:rsidTr="0006351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CEC">
            <w:pPr>
              <w:pStyle w:val="BodyText"/>
              <w:rPr>
                <w:lang w:val="en-NZ"/>
              </w:rPr>
            </w:pPr>
            <w:r w:rsidRPr="00C40CEC">
              <w:t>1.3</w:t>
            </w:r>
          </w:p>
        </w:tc>
        <w:tc>
          <w:tcPr>
            <w:tcW w:w="6045" w:type="dxa"/>
            <w:tcBorders>
              <w:top w:val="nil"/>
              <w:left w:val="nil"/>
              <w:bottom w:val="nil"/>
              <w:right w:val="nil"/>
            </w:tcBorders>
            <w:tcMar>
              <w:top w:w="0" w:type="dxa"/>
              <w:left w:w="62" w:type="dxa"/>
              <w:bottom w:w="0" w:type="dxa"/>
              <w:right w:w="62" w:type="dxa"/>
            </w:tcMar>
          </w:tcPr>
          <w:p w:rsidR="00000000" w:rsidP="00C40CEC">
            <w:pPr>
              <w:pStyle w:val="BodyText"/>
              <w:rPr>
                <w:lang w:val="en-NZ"/>
              </w:rPr>
            </w:pPr>
            <w:r w:rsidRPr="00C40CEC">
              <w:t>Impact of refuelling on vessel safety is determined</w:t>
            </w:r>
          </w:p>
        </w:tc>
      </w:tr>
      <w:tr w:rsidTr="0006351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CEC">
            <w:pPr>
              <w:pStyle w:val="BodyText"/>
              <w:rPr>
                <w:lang w:val="en-NZ"/>
              </w:rPr>
            </w:pPr>
            <w:r w:rsidRPr="00C40CEC">
              <w:t>1.4</w:t>
            </w:r>
          </w:p>
        </w:tc>
        <w:tc>
          <w:tcPr>
            <w:tcW w:w="6045" w:type="dxa"/>
            <w:tcBorders>
              <w:top w:val="nil"/>
              <w:left w:val="nil"/>
              <w:bottom w:val="nil"/>
              <w:right w:val="nil"/>
            </w:tcBorders>
            <w:tcMar>
              <w:top w:w="0" w:type="dxa"/>
              <w:left w:w="62" w:type="dxa"/>
              <w:bottom w:w="0" w:type="dxa"/>
              <w:right w:w="62" w:type="dxa"/>
            </w:tcMar>
          </w:tcPr>
          <w:p w:rsidR="00000000" w:rsidP="00C40CEC">
            <w:pPr>
              <w:pStyle w:val="BodyText"/>
              <w:rPr>
                <w:lang w:val="en-NZ"/>
              </w:rPr>
            </w:pPr>
            <w:r w:rsidRPr="00C40CEC">
              <w:t>Fuel is ordered according to organisational procedures</w:t>
            </w:r>
          </w:p>
        </w:tc>
      </w:tr>
      <w:tr w:rsidTr="0006351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40CEC" w:rsidP="00C40CEC">
            <w:pPr>
              <w:pStyle w:val="BodyText"/>
            </w:pPr>
            <w:r w:rsidRPr="00C40CEC">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C40CEC">
            <w:pPr>
              <w:pStyle w:val="BodyText"/>
              <w:rPr>
                <w:lang w:val="en-NZ"/>
              </w:rPr>
            </w:pPr>
            <w:r w:rsidRPr="00C40CEC">
              <w:rPr>
                <w:rStyle w:val="SpecialBold"/>
              </w:rPr>
              <w:t>Prepare vessel for refuelling</w:t>
            </w:r>
          </w:p>
        </w:tc>
        <w:tc>
          <w:tcPr>
            <w:tcW w:w="719" w:type="dxa"/>
            <w:tcBorders>
              <w:top w:val="nil"/>
              <w:left w:val="nil"/>
              <w:bottom w:val="nil"/>
              <w:right w:val="nil"/>
            </w:tcBorders>
            <w:tcMar>
              <w:top w:w="0" w:type="dxa"/>
              <w:left w:w="62" w:type="dxa"/>
              <w:bottom w:w="0" w:type="dxa"/>
              <w:right w:w="62" w:type="dxa"/>
            </w:tcMar>
          </w:tcPr>
          <w:p w:rsidR="00000000" w:rsidP="00C40CEC">
            <w:pPr>
              <w:pStyle w:val="BodyText"/>
              <w:rPr>
                <w:lang w:val="en-NZ"/>
              </w:rPr>
            </w:pPr>
            <w:r w:rsidRPr="00C40CEC">
              <w:t>2.1</w:t>
            </w:r>
          </w:p>
        </w:tc>
        <w:tc>
          <w:tcPr>
            <w:tcW w:w="6045" w:type="dxa"/>
            <w:tcBorders>
              <w:top w:val="nil"/>
              <w:left w:val="nil"/>
              <w:bottom w:val="nil"/>
              <w:right w:val="nil"/>
            </w:tcBorders>
            <w:tcMar>
              <w:top w:w="0" w:type="dxa"/>
              <w:left w:w="62" w:type="dxa"/>
              <w:bottom w:w="0" w:type="dxa"/>
              <w:right w:w="62" w:type="dxa"/>
            </w:tcMar>
          </w:tcPr>
          <w:p w:rsidR="00000000" w:rsidP="00C40CEC">
            <w:pPr>
              <w:pStyle w:val="BodyText"/>
              <w:rPr>
                <w:lang w:val="en-NZ"/>
              </w:rPr>
            </w:pPr>
            <w:r w:rsidRPr="00C40CEC">
              <w:t>Vessel is positioned and secured for refuelling</w:t>
            </w:r>
          </w:p>
        </w:tc>
      </w:tr>
      <w:tr w:rsidTr="0006351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CEC">
            <w:pPr>
              <w:pStyle w:val="BodyText"/>
              <w:rPr>
                <w:lang w:val="en-NZ"/>
              </w:rPr>
            </w:pPr>
            <w:r w:rsidRPr="00C40CEC">
              <w:t>2.2</w:t>
            </w:r>
          </w:p>
        </w:tc>
        <w:tc>
          <w:tcPr>
            <w:tcW w:w="6045" w:type="dxa"/>
            <w:tcBorders>
              <w:top w:val="nil"/>
              <w:left w:val="nil"/>
              <w:bottom w:val="nil"/>
              <w:right w:val="nil"/>
            </w:tcBorders>
            <w:tcMar>
              <w:top w:w="0" w:type="dxa"/>
              <w:left w:w="62" w:type="dxa"/>
              <w:bottom w:w="0" w:type="dxa"/>
              <w:right w:w="62" w:type="dxa"/>
            </w:tcMar>
          </w:tcPr>
          <w:p w:rsidR="00000000" w:rsidP="00C40CEC">
            <w:pPr>
              <w:pStyle w:val="BodyText"/>
              <w:rPr>
                <w:lang w:val="en-NZ"/>
              </w:rPr>
            </w:pPr>
            <w:r w:rsidRPr="00C40CEC">
              <w:t>Refuelling equipment is correctly deployed according to organisational procedures</w:t>
            </w:r>
          </w:p>
        </w:tc>
      </w:tr>
      <w:tr w:rsidTr="0006351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CEC">
            <w:pPr>
              <w:pStyle w:val="BodyText"/>
              <w:rPr>
                <w:lang w:val="en-NZ"/>
              </w:rPr>
            </w:pPr>
            <w:r w:rsidRPr="00C40CEC">
              <w:t>2.3</w:t>
            </w:r>
          </w:p>
        </w:tc>
        <w:tc>
          <w:tcPr>
            <w:tcW w:w="6045" w:type="dxa"/>
            <w:tcBorders>
              <w:top w:val="nil"/>
              <w:left w:val="nil"/>
              <w:bottom w:val="nil"/>
              <w:right w:val="nil"/>
            </w:tcBorders>
            <w:tcMar>
              <w:top w:w="0" w:type="dxa"/>
              <w:left w:w="62" w:type="dxa"/>
              <w:bottom w:w="0" w:type="dxa"/>
              <w:right w:w="62" w:type="dxa"/>
            </w:tcMar>
          </w:tcPr>
          <w:p w:rsidR="00000000" w:rsidP="00C40CEC">
            <w:pPr>
              <w:pStyle w:val="BodyText"/>
              <w:rPr>
                <w:lang w:val="en-NZ"/>
              </w:rPr>
            </w:pPr>
            <w:r w:rsidRPr="00C40CEC">
              <w:t>Communication between all people involved in refuelling procedures is established</w:t>
            </w:r>
          </w:p>
        </w:tc>
      </w:tr>
      <w:tr w:rsidTr="0006351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CEC">
            <w:pPr>
              <w:pStyle w:val="BodyText"/>
              <w:rPr>
                <w:lang w:val="en-NZ"/>
              </w:rPr>
            </w:pPr>
            <w:r w:rsidRPr="00C40CEC">
              <w:t>2.4</w:t>
            </w:r>
          </w:p>
        </w:tc>
        <w:tc>
          <w:tcPr>
            <w:tcW w:w="6045" w:type="dxa"/>
            <w:tcBorders>
              <w:top w:val="nil"/>
              <w:left w:val="nil"/>
              <w:bottom w:val="nil"/>
              <w:right w:val="nil"/>
            </w:tcBorders>
            <w:tcMar>
              <w:top w:w="0" w:type="dxa"/>
              <w:left w:w="62" w:type="dxa"/>
              <w:bottom w:w="0" w:type="dxa"/>
              <w:right w:w="62" w:type="dxa"/>
            </w:tcMar>
          </w:tcPr>
          <w:p w:rsidR="00000000" w:rsidP="00C40CEC">
            <w:pPr>
              <w:pStyle w:val="BodyText"/>
              <w:rPr>
                <w:lang w:val="en-NZ"/>
              </w:rPr>
            </w:pPr>
            <w:r w:rsidRPr="00C40CEC">
              <w:t>Tank valves are opened as necessary and refuelling operations are performed according to organisational procedures and regulatory requirements</w:t>
            </w:r>
          </w:p>
        </w:tc>
      </w:tr>
      <w:tr w:rsidTr="0006351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CEC">
            <w:pPr>
              <w:pStyle w:val="BodyText"/>
              <w:rPr>
                <w:lang w:val="en-NZ"/>
              </w:rPr>
            </w:pPr>
            <w:r w:rsidRPr="00C40CEC">
              <w:t>2.5</w:t>
            </w:r>
          </w:p>
        </w:tc>
        <w:tc>
          <w:tcPr>
            <w:tcW w:w="6045" w:type="dxa"/>
            <w:tcBorders>
              <w:top w:val="nil"/>
              <w:left w:val="nil"/>
              <w:bottom w:val="nil"/>
              <w:right w:val="nil"/>
            </w:tcBorders>
            <w:tcMar>
              <w:top w:w="0" w:type="dxa"/>
              <w:left w:w="62" w:type="dxa"/>
              <w:bottom w:w="0" w:type="dxa"/>
              <w:right w:w="62" w:type="dxa"/>
            </w:tcMar>
          </w:tcPr>
          <w:p w:rsidR="00000000" w:rsidP="00C40CEC">
            <w:pPr>
              <w:pStyle w:val="BodyText"/>
              <w:rPr>
                <w:lang w:val="en-NZ"/>
              </w:rPr>
            </w:pPr>
            <w:r w:rsidRPr="00C40CEC">
              <w:t>Tanks are dipped to ensure correct amount of fuel has been received</w:t>
            </w:r>
          </w:p>
        </w:tc>
      </w:tr>
      <w:tr w:rsidTr="0006351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40CEC" w:rsidP="00C40CEC">
            <w:pPr>
              <w:pStyle w:val="BodyText"/>
            </w:pPr>
            <w:r w:rsidRPr="00C40CEC">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C40CEC">
            <w:pPr>
              <w:pStyle w:val="BodyText"/>
              <w:rPr>
                <w:lang w:val="en-NZ"/>
              </w:rPr>
            </w:pPr>
            <w:r w:rsidRPr="00C40CEC">
              <w:rPr>
                <w:rStyle w:val="SpecialBold"/>
              </w:rPr>
              <w:t>Complete refuelling operations</w:t>
            </w:r>
          </w:p>
        </w:tc>
        <w:tc>
          <w:tcPr>
            <w:tcW w:w="719" w:type="dxa"/>
            <w:tcBorders>
              <w:top w:val="nil"/>
              <w:left w:val="nil"/>
              <w:bottom w:val="nil"/>
              <w:right w:val="nil"/>
            </w:tcBorders>
            <w:tcMar>
              <w:top w:w="0" w:type="dxa"/>
              <w:left w:w="62" w:type="dxa"/>
              <w:bottom w:w="0" w:type="dxa"/>
              <w:right w:w="62" w:type="dxa"/>
            </w:tcMar>
          </w:tcPr>
          <w:p w:rsidR="00000000" w:rsidP="00C40CEC">
            <w:pPr>
              <w:pStyle w:val="BodyText"/>
              <w:rPr>
                <w:lang w:val="en-NZ"/>
              </w:rPr>
            </w:pPr>
            <w:r w:rsidRPr="00C40CEC">
              <w:t>3.1</w:t>
            </w:r>
          </w:p>
        </w:tc>
        <w:tc>
          <w:tcPr>
            <w:tcW w:w="6045" w:type="dxa"/>
            <w:tcBorders>
              <w:top w:val="nil"/>
              <w:left w:val="nil"/>
              <w:bottom w:val="nil"/>
              <w:right w:val="nil"/>
            </w:tcBorders>
            <w:tcMar>
              <w:top w:w="0" w:type="dxa"/>
              <w:left w:w="62" w:type="dxa"/>
              <w:bottom w:w="0" w:type="dxa"/>
              <w:right w:w="62" w:type="dxa"/>
            </w:tcMar>
          </w:tcPr>
          <w:p w:rsidR="00000000" w:rsidP="00C40CEC">
            <w:pPr>
              <w:pStyle w:val="BodyText"/>
              <w:rPr>
                <w:lang w:val="en-NZ"/>
              </w:rPr>
            </w:pPr>
            <w:r w:rsidRPr="00C40CEC">
              <w:t>Shut-down procedures are conducted according to organisational procedures</w:t>
            </w:r>
          </w:p>
        </w:tc>
      </w:tr>
      <w:tr w:rsidTr="0006351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CEC">
            <w:pPr>
              <w:pStyle w:val="BodyText"/>
              <w:rPr>
                <w:lang w:val="en-NZ"/>
              </w:rPr>
            </w:pPr>
            <w:r w:rsidRPr="00C40CEC">
              <w:t>3.2</w:t>
            </w:r>
          </w:p>
        </w:tc>
        <w:tc>
          <w:tcPr>
            <w:tcW w:w="6045" w:type="dxa"/>
            <w:tcBorders>
              <w:top w:val="nil"/>
              <w:left w:val="nil"/>
              <w:bottom w:val="nil"/>
              <w:right w:val="nil"/>
            </w:tcBorders>
            <w:tcMar>
              <w:top w:w="0" w:type="dxa"/>
              <w:left w:w="62" w:type="dxa"/>
              <w:bottom w:w="0" w:type="dxa"/>
              <w:right w:w="62" w:type="dxa"/>
            </w:tcMar>
          </w:tcPr>
          <w:p w:rsidR="00000000" w:rsidP="00C40CEC">
            <w:pPr>
              <w:pStyle w:val="BodyText"/>
              <w:rPr>
                <w:lang w:val="en-NZ"/>
              </w:rPr>
            </w:pPr>
            <w:r w:rsidRPr="00C40CEC">
              <w:t xml:space="preserve">Refuelling equipment is secured according to organisational procedures </w:t>
            </w:r>
          </w:p>
        </w:tc>
      </w:tr>
      <w:tr w:rsidTr="0006351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CEC">
            <w:pPr>
              <w:pStyle w:val="BodyText"/>
              <w:rPr>
                <w:lang w:val="en-NZ"/>
              </w:rPr>
            </w:pPr>
            <w:r w:rsidRPr="00C40CEC">
              <w:t>3.3</w:t>
            </w:r>
          </w:p>
        </w:tc>
        <w:tc>
          <w:tcPr>
            <w:tcW w:w="6045" w:type="dxa"/>
            <w:tcBorders>
              <w:top w:val="nil"/>
              <w:left w:val="nil"/>
              <w:bottom w:val="nil"/>
              <w:right w:val="nil"/>
            </w:tcBorders>
            <w:tcMar>
              <w:top w:w="0" w:type="dxa"/>
              <w:left w:w="62" w:type="dxa"/>
              <w:bottom w:w="0" w:type="dxa"/>
              <w:right w:w="62" w:type="dxa"/>
            </w:tcMar>
          </w:tcPr>
          <w:p w:rsidR="00000000" w:rsidP="00C40CEC">
            <w:pPr>
              <w:pStyle w:val="BodyText"/>
              <w:rPr>
                <w:lang w:val="en-NZ"/>
              </w:rPr>
            </w:pPr>
            <w:r w:rsidRPr="00C40CEC">
              <w:t xml:space="preserve">Refuelling records are completed according to organisational procedures and regulatory requirements </w:t>
            </w:r>
          </w:p>
        </w:tc>
      </w:tr>
      <w:tr w:rsidTr="0006351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CEC">
            <w:pPr>
              <w:pStyle w:val="BodyText"/>
              <w:rPr>
                <w:lang w:val="en-NZ"/>
              </w:rPr>
            </w:pPr>
            <w:r w:rsidRPr="00C40CEC">
              <w:t>3.4</w:t>
            </w:r>
          </w:p>
        </w:tc>
        <w:tc>
          <w:tcPr>
            <w:tcW w:w="6045" w:type="dxa"/>
            <w:tcBorders>
              <w:top w:val="nil"/>
              <w:left w:val="nil"/>
              <w:bottom w:val="nil"/>
              <w:right w:val="nil"/>
            </w:tcBorders>
            <w:tcMar>
              <w:top w:w="0" w:type="dxa"/>
              <w:left w:w="62" w:type="dxa"/>
              <w:bottom w:w="0" w:type="dxa"/>
              <w:right w:w="62" w:type="dxa"/>
            </w:tcMar>
          </w:tcPr>
          <w:p w:rsidR="00000000" w:rsidP="00C40CEC">
            <w:pPr>
              <w:pStyle w:val="BodyText"/>
              <w:rPr>
                <w:lang w:val="en-NZ"/>
              </w:rPr>
            </w:pPr>
            <w:r w:rsidRPr="00C40CEC">
              <w:t>Malfunctions, faults, irregular performance or damage to refuelling e</w:t>
            </w:r>
            <w:r w:rsidRPr="00C40CEC">
              <w:t xml:space="preserve">quipment are recorded according to organisational procedures </w:t>
            </w:r>
          </w:p>
        </w:tc>
      </w:tr>
      <w:tr w:rsidTr="0006351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40CEC" w:rsidP="00C40CEC">
            <w:pPr>
              <w:pStyle w:val="BodyText"/>
            </w:pPr>
            <w:r w:rsidRPr="00C40CEC">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C40CEC">
            <w:pPr>
              <w:pStyle w:val="BodyText"/>
              <w:rPr>
                <w:lang w:val="en-NZ"/>
              </w:rPr>
            </w:pPr>
            <w:r w:rsidRPr="00C40CEC">
              <w:rPr>
                <w:rStyle w:val="SpecialBold"/>
              </w:rPr>
              <w:t>Manage an emergency</w:t>
            </w:r>
          </w:p>
        </w:tc>
        <w:tc>
          <w:tcPr>
            <w:tcW w:w="719" w:type="dxa"/>
            <w:tcBorders>
              <w:top w:val="nil"/>
              <w:left w:val="nil"/>
              <w:bottom w:val="nil"/>
              <w:right w:val="nil"/>
            </w:tcBorders>
            <w:tcMar>
              <w:top w:w="0" w:type="dxa"/>
              <w:left w:w="62" w:type="dxa"/>
              <w:bottom w:w="0" w:type="dxa"/>
              <w:right w:w="62" w:type="dxa"/>
            </w:tcMar>
          </w:tcPr>
          <w:p w:rsidR="00000000" w:rsidP="00C40CEC">
            <w:pPr>
              <w:pStyle w:val="BodyText"/>
              <w:rPr>
                <w:lang w:val="en-NZ"/>
              </w:rPr>
            </w:pPr>
            <w:r w:rsidRPr="00C40CEC">
              <w:t>4.1</w:t>
            </w:r>
          </w:p>
        </w:tc>
        <w:tc>
          <w:tcPr>
            <w:tcW w:w="6045" w:type="dxa"/>
            <w:tcBorders>
              <w:top w:val="nil"/>
              <w:left w:val="nil"/>
              <w:bottom w:val="nil"/>
              <w:right w:val="nil"/>
            </w:tcBorders>
            <w:tcMar>
              <w:top w:w="0" w:type="dxa"/>
              <w:left w:w="62" w:type="dxa"/>
              <w:bottom w:w="0" w:type="dxa"/>
              <w:right w:w="62" w:type="dxa"/>
            </w:tcMar>
          </w:tcPr>
          <w:p w:rsidR="00000000" w:rsidP="00C40CEC">
            <w:pPr>
              <w:pStyle w:val="BodyText"/>
              <w:rPr>
                <w:lang w:val="en-NZ"/>
              </w:rPr>
            </w:pPr>
            <w:r w:rsidRPr="00C40CEC">
              <w:t>Appropriate response is made to emergency situation according to organisational procedures</w:t>
            </w:r>
          </w:p>
        </w:tc>
      </w:tr>
      <w:tr w:rsidTr="0006351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CEC">
            <w:pPr>
              <w:pStyle w:val="BodyText"/>
              <w:rPr>
                <w:lang w:val="en-NZ"/>
              </w:rPr>
            </w:pPr>
            <w:r w:rsidRPr="00C40CEC">
              <w:t>4.2</w:t>
            </w:r>
          </w:p>
        </w:tc>
        <w:tc>
          <w:tcPr>
            <w:tcW w:w="6045" w:type="dxa"/>
            <w:tcBorders>
              <w:top w:val="nil"/>
              <w:left w:val="nil"/>
              <w:bottom w:val="nil"/>
              <w:right w:val="nil"/>
            </w:tcBorders>
            <w:tcMar>
              <w:top w:w="0" w:type="dxa"/>
              <w:left w:w="62" w:type="dxa"/>
              <w:bottom w:w="0" w:type="dxa"/>
              <w:right w:w="62" w:type="dxa"/>
            </w:tcMar>
          </w:tcPr>
          <w:p w:rsidR="00000000" w:rsidP="00C40CEC">
            <w:pPr>
              <w:pStyle w:val="BodyText"/>
              <w:rPr>
                <w:lang w:val="en-NZ"/>
              </w:rPr>
            </w:pPr>
            <w:r w:rsidRPr="00C40CEC">
              <w:t>All personnel are correctly notified and their activities are ma</w:t>
            </w:r>
            <w:r w:rsidRPr="00C40CEC">
              <w:t>naged to ensure their safety, according to organisational procedures</w:t>
            </w:r>
          </w:p>
        </w:tc>
      </w:tr>
      <w:tr w:rsidTr="0006351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CEC">
            <w:pPr>
              <w:pStyle w:val="BodyText"/>
              <w:rPr>
                <w:lang w:val="en-NZ"/>
              </w:rPr>
            </w:pPr>
            <w:r w:rsidRPr="00C40CEC">
              <w:t>4.3</w:t>
            </w:r>
          </w:p>
        </w:tc>
        <w:tc>
          <w:tcPr>
            <w:tcW w:w="6045" w:type="dxa"/>
            <w:tcBorders>
              <w:top w:val="nil"/>
              <w:left w:val="nil"/>
              <w:bottom w:val="nil"/>
              <w:right w:val="nil"/>
            </w:tcBorders>
            <w:tcMar>
              <w:top w:w="0" w:type="dxa"/>
              <w:left w:w="62" w:type="dxa"/>
              <w:bottom w:w="0" w:type="dxa"/>
              <w:right w:w="62" w:type="dxa"/>
            </w:tcMar>
          </w:tcPr>
          <w:p w:rsidR="00000000" w:rsidP="00C40CEC">
            <w:pPr>
              <w:pStyle w:val="BodyText"/>
              <w:rPr>
                <w:lang w:val="en-NZ"/>
              </w:rPr>
            </w:pPr>
            <w:r w:rsidRPr="00C40CEC">
              <w:t>Waste containment measures are implemented to protect the environment</w:t>
            </w:r>
          </w:p>
        </w:tc>
      </w:tr>
      <w:tr w:rsidTr="0006351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CEC">
            <w:pPr>
              <w:pStyle w:val="BodyText"/>
              <w:rPr>
                <w:lang w:val="en-NZ"/>
              </w:rPr>
            </w:pPr>
            <w:r w:rsidRPr="00C40CEC">
              <w:t>4.4</w:t>
            </w:r>
          </w:p>
        </w:tc>
        <w:tc>
          <w:tcPr>
            <w:tcW w:w="6045" w:type="dxa"/>
            <w:tcBorders>
              <w:top w:val="nil"/>
              <w:left w:val="nil"/>
              <w:bottom w:val="nil"/>
              <w:right w:val="nil"/>
            </w:tcBorders>
            <w:tcMar>
              <w:top w:w="0" w:type="dxa"/>
              <w:left w:w="62" w:type="dxa"/>
              <w:bottom w:w="0" w:type="dxa"/>
              <w:right w:w="62" w:type="dxa"/>
            </w:tcMar>
          </w:tcPr>
          <w:p w:rsidR="00000000" w:rsidP="00C40CEC">
            <w:pPr>
              <w:pStyle w:val="BodyText"/>
              <w:rPr>
                <w:lang w:val="en-NZ"/>
              </w:rPr>
            </w:pPr>
            <w:r w:rsidRPr="00C40CEC">
              <w:t>Appropriate authorities are notified when applicable</w:t>
            </w:r>
          </w:p>
        </w:tc>
      </w:tr>
      <w:tr w:rsidTr="0006351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0CEC">
            <w:pPr>
              <w:pStyle w:val="BodyText"/>
              <w:rPr>
                <w:lang w:val="en-NZ"/>
              </w:rPr>
            </w:pPr>
            <w:r w:rsidRPr="00C40CEC">
              <w:t>4.5</w:t>
            </w:r>
          </w:p>
        </w:tc>
        <w:tc>
          <w:tcPr>
            <w:tcW w:w="6045" w:type="dxa"/>
            <w:tcBorders>
              <w:top w:val="nil"/>
              <w:left w:val="nil"/>
              <w:bottom w:val="nil"/>
              <w:right w:val="nil"/>
            </w:tcBorders>
            <w:tcMar>
              <w:top w:w="0" w:type="dxa"/>
              <w:left w:w="62" w:type="dxa"/>
              <w:bottom w:w="0" w:type="dxa"/>
              <w:right w:w="62" w:type="dxa"/>
            </w:tcMar>
          </w:tcPr>
          <w:p w:rsidR="00000000" w:rsidRPr="00C40CEC" w:rsidP="00C40CEC">
            <w:pPr>
              <w:pStyle w:val="BodyText"/>
            </w:pPr>
            <w:r w:rsidRPr="00C40CEC">
              <w:t>Incident is recorded according to regulatory requirements and organisational procedures</w:t>
            </w:r>
          </w:p>
        </w:tc>
      </w:tr>
    </w:tbl>
    <w:p w:rsidR="00000000" w:rsidRPr="00C40CEC" w:rsidP="00C40CEC">
      <w:pPr>
        <w:pStyle w:val="BodyText"/>
      </w:pPr>
    </w:p>
    <w:p w:rsidR="00000000" w:rsidRPr="00C40CEC" w:rsidP="00C40CEC">
      <w:pPr>
        <w:pStyle w:val="AllowPageBreak"/>
      </w:pPr>
    </w:p>
    <w:p w:rsidR="00000000" w:rsidRPr="00C40CEC" w:rsidP="00C40CEC">
      <w:pPr>
        <w:pStyle w:val="Heading1"/>
      </w:pPr>
      <w:bookmarkStart w:id="7" w:name="O_634054"/>
      <w:bookmarkEnd w:id="7"/>
      <w:r w:rsidRPr="00C40CEC">
        <w:t>Foundation Skills</w:t>
      </w:r>
    </w:p>
    <w:tbl>
      <w:tblPr>
        <w:tblW w:w="9498" w:type="dxa"/>
        <w:tblLayout w:type="fixed"/>
        <w:tblCellMar>
          <w:left w:w="62" w:type="dxa"/>
          <w:right w:w="62" w:type="dxa"/>
        </w:tblCellMar>
        <w:tblLook w:val="0000"/>
      </w:tblPr>
      <w:tblGrid>
        <w:gridCol w:w="9498"/>
      </w:tblGrid>
      <w:tr w:rsidTr="00C40CE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C40CEC">
            <w:pPr>
              <w:pStyle w:val="BodyText"/>
              <w:rPr>
                <w:lang w:val="en-NZ"/>
              </w:rPr>
            </w:pPr>
            <w:r w:rsidRPr="00C40CEC">
              <w:t>This section describes those language, literacy, numeracy and employment skills that are essential to performance.</w:t>
            </w:r>
          </w:p>
        </w:tc>
      </w:tr>
      <w:tr w:rsidTr="00C40CE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C40CEC" w:rsidP="00C40CEC">
            <w:pPr>
              <w:pStyle w:val="BodyText"/>
            </w:pPr>
            <w:r w:rsidRPr="00C40CEC">
              <w:t>Foundation skil</w:t>
            </w:r>
            <w:r w:rsidRPr="00C40CEC">
              <w:t>ls essential to performance are explicit in the performance criteria of this unit of competency.</w:t>
            </w:r>
          </w:p>
        </w:tc>
      </w:tr>
    </w:tbl>
    <w:p w:rsidR="00000000" w:rsidRPr="00C40CEC" w:rsidP="00C40CEC">
      <w:pPr>
        <w:pStyle w:val="BodyText"/>
      </w:pPr>
    </w:p>
    <w:p w:rsidR="00000000" w:rsidRPr="00C40CEC" w:rsidP="00C40CEC">
      <w:pPr>
        <w:pStyle w:val="AllowPageBreak"/>
      </w:pPr>
    </w:p>
    <w:p w:rsidR="00000000" w:rsidRPr="00C40CEC" w:rsidP="00C40CEC">
      <w:pPr>
        <w:pStyle w:val="Heading1"/>
      </w:pPr>
      <w:bookmarkStart w:id="8" w:name="O_634053"/>
      <w:bookmarkEnd w:id="8"/>
      <w:r w:rsidRPr="00C40CEC">
        <w:t>Range of Conditions</w:t>
      </w:r>
    </w:p>
    <w:tbl>
      <w:tblPr>
        <w:tblW w:w="9498" w:type="dxa"/>
        <w:tblLayout w:type="fixed"/>
        <w:tblCellMar>
          <w:left w:w="62" w:type="dxa"/>
          <w:right w:w="62" w:type="dxa"/>
        </w:tblCellMar>
        <w:tblLook w:val="0000"/>
      </w:tblPr>
      <w:tblGrid>
        <w:gridCol w:w="2735"/>
        <w:gridCol w:w="6763"/>
      </w:tblGrid>
      <w:tr w:rsidTr="00C40CEC">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C40CEC" w:rsidP="00C40CEC">
            <w:pPr>
              <w:pStyle w:val="BodyText"/>
            </w:pPr>
            <w:r w:rsidRPr="00C40CEC">
              <w:t>Specifies different work environments and conditions that may affect performance. Essential operating conditions that may be present (depending on the work situation, needs of the candidate, accessibility of the item, and local industry and regional contex</w:t>
            </w:r>
            <w:r w:rsidRPr="00C40CEC">
              <w:t>ts) are included.</w:t>
            </w:r>
          </w:p>
          <w:p w:rsidR="00000000" w:rsidRPr="00C40CEC" w:rsidP="00C40CEC">
            <w:pPr>
              <w:pStyle w:val="BodyText"/>
            </w:pPr>
          </w:p>
          <w:p w:rsidR="00000000" w:rsidP="00C40CEC">
            <w:pPr>
              <w:pStyle w:val="BodyText"/>
              <w:rPr>
                <w:lang w:val="en-NZ"/>
              </w:rPr>
            </w:pPr>
            <w:r w:rsidRPr="00C40CEC">
              <w:t>Range is restricted to essential operating conditions and any other variables essential to the work environment.</w:t>
            </w:r>
          </w:p>
        </w:tc>
      </w:tr>
      <w:tr w:rsidTr="00C40CE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40CEC">
            <w:pPr>
              <w:pStyle w:val="BodyText"/>
              <w:rPr>
                <w:lang w:val="en-NZ"/>
              </w:rPr>
            </w:pPr>
            <w:r w:rsidRPr="00C40CEC">
              <w:t>Impact of refuelling on vessel safety  include one of the following:</w:t>
            </w:r>
          </w:p>
        </w:tc>
        <w:tc>
          <w:tcPr>
            <w:tcW w:w="6763" w:type="dxa"/>
            <w:tcBorders>
              <w:top w:val="nil"/>
              <w:left w:val="nil"/>
              <w:bottom w:val="nil"/>
              <w:right w:val="nil"/>
            </w:tcBorders>
            <w:tcMar>
              <w:top w:w="0" w:type="dxa"/>
              <w:left w:w="62" w:type="dxa"/>
              <w:bottom w:w="0" w:type="dxa"/>
              <w:right w:w="62" w:type="dxa"/>
            </w:tcMar>
          </w:tcPr>
          <w:p w:rsidR="00000000" w:rsidRPr="00C40CEC" w:rsidP="00C40CEC">
            <w:pPr>
              <w:pStyle w:val="ListBullet"/>
            </w:pPr>
            <w:r w:rsidRPr="00C40CEC">
              <w:t xml:space="preserve">ignition of released fuel vapours </w:t>
            </w:r>
          </w:p>
          <w:p w:rsidR="00000000" w:rsidP="00C40CEC">
            <w:pPr>
              <w:pStyle w:val="ListBullet"/>
              <w:rPr>
                <w:lang w:val="en-NZ"/>
              </w:rPr>
            </w:pPr>
            <w:r w:rsidRPr="00C40CEC">
              <w:t>loss of stability</w:t>
            </w:r>
          </w:p>
        </w:tc>
      </w:tr>
      <w:tr w:rsidTr="00C40CE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40CEC">
            <w:pPr>
              <w:pStyle w:val="BodyText"/>
              <w:rPr>
                <w:lang w:val="en-NZ"/>
              </w:rPr>
            </w:pPr>
            <w:r w:rsidRPr="00C40CEC">
              <w:t>Refuelling equipment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C40CEC" w:rsidP="00C40CEC">
            <w:pPr>
              <w:pStyle w:val="ListBullet"/>
            </w:pPr>
            <w:r w:rsidRPr="00C40CEC">
              <w:t>bunding</w:t>
            </w:r>
          </w:p>
          <w:p w:rsidR="00000000" w:rsidRPr="00C40CEC" w:rsidP="00C40CEC">
            <w:pPr>
              <w:pStyle w:val="ListBullet"/>
            </w:pPr>
            <w:r w:rsidRPr="00C40CEC">
              <w:t>bunker flag (B Flag)</w:t>
            </w:r>
          </w:p>
          <w:p w:rsidR="00000000" w:rsidRPr="00C40CEC" w:rsidP="00C40CEC">
            <w:pPr>
              <w:pStyle w:val="ListBullet"/>
            </w:pPr>
            <w:r w:rsidRPr="00C40CEC">
              <w:t>firefighting equipment</w:t>
            </w:r>
          </w:p>
          <w:p w:rsidR="00000000" w:rsidRPr="00C40CEC" w:rsidP="00C40CEC">
            <w:pPr>
              <w:pStyle w:val="ListBullet"/>
            </w:pPr>
            <w:r w:rsidRPr="00C40CEC">
              <w:t>no smoking signs</w:t>
            </w:r>
          </w:p>
          <w:p w:rsidR="00000000" w:rsidRPr="00C40CEC" w:rsidP="00C40CEC">
            <w:pPr>
              <w:pStyle w:val="ListBullet"/>
            </w:pPr>
            <w:r w:rsidRPr="00C40CEC">
              <w:t>scupper plugs</w:t>
            </w:r>
          </w:p>
          <w:p w:rsidR="00000000" w:rsidP="00C40CEC">
            <w:pPr>
              <w:pStyle w:val="ListBullet"/>
              <w:rPr>
                <w:lang w:val="en-NZ"/>
              </w:rPr>
            </w:pPr>
            <w:r w:rsidRPr="00C40CEC">
              <w:t>spill kit</w:t>
            </w:r>
          </w:p>
        </w:tc>
      </w:tr>
      <w:tr w:rsidTr="00C40CE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40CEC">
            <w:pPr>
              <w:pStyle w:val="BodyText"/>
              <w:rPr>
                <w:lang w:val="en-NZ"/>
              </w:rPr>
            </w:pPr>
            <w:r w:rsidRPr="00C40CEC">
              <w:t>Shut-down procedures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C40CEC" w:rsidP="00C40CEC">
            <w:pPr>
              <w:pStyle w:val="ListBullet"/>
            </w:pPr>
            <w:r w:rsidRPr="00C40CEC">
              <w:t>communications with fuel supplier</w:t>
            </w:r>
          </w:p>
          <w:p w:rsidR="00000000" w:rsidP="00C40CEC">
            <w:pPr>
              <w:pStyle w:val="ListBullet"/>
              <w:rPr>
                <w:lang w:val="en-NZ"/>
              </w:rPr>
            </w:pPr>
            <w:r w:rsidRPr="00C40CEC">
              <w:t>valve closure</w:t>
            </w:r>
          </w:p>
        </w:tc>
      </w:tr>
      <w:tr w:rsidTr="00C40CE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40CEC">
            <w:pPr>
              <w:pStyle w:val="BodyText"/>
              <w:rPr>
                <w:lang w:val="en-NZ"/>
              </w:rPr>
            </w:pPr>
            <w:r w:rsidRPr="00C40CEC">
              <w:t>Refuelling records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C40CEC" w:rsidP="00C40CEC">
            <w:pPr>
              <w:pStyle w:val="ListBullet"/>
            </w:pPr>
            <w:r w:rsidRPr="00C40CEC">
              <w:t>logbook</w:t>
            </w:r>
          </w:p>
          <w:p w:rsidR="00000000" w:rsidRPr="00C40CEC" w:rsidP="00C40CEC">
            <w:pPr>
              <w:pStyle w:val="ListBullet"/>
            </w:pPr>
            <w:r w:rsidRPr="00C40CEC">
              <w:t>oil record book</w:t>
            </w:r>
          </w:p>
          <w:p w:rsidR="00000000" w:rsidP="00C40CEC">
            <w:pPr>
              <w:pStyle w:val="ListBullet"/>
              <w:rPr>
                <w:lang w:val="en-NZ"/>
              </w:rPr>
            </w:pPr>
            <w:r w:rsidRPr="00C40CEC">
              <w:t>port authority documentation</w:t>
            </w:r>
          </w:p>
        </w:tc>
      </w:tr>
      <w:tr w:rsidTr="00C40CE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40CEC">
            <w:pPr>
              <w:pStyle w:val="BodyText"/>
              <w:rPr>
                <w:lang w:val="en-NZ"/>
              </w:rPr>
            </w:pPr>
            <w:r w:rsidRPr="00C40CEC">
              <w:t>Emergency situations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C40CEC" w:rsidP="00C40CEC">
            <w:pPr>
              <w:pStyle w:val="ListBullet"/>
            </w:pPr>
            <w:r w:rsidRPr="00C40CEC">
              <w:t>fire</w:t>
            </w:r>
          </w:p>
          <w:p w:rsidR="00000000" w:rsidRPr="00C40CEC" w:rsidP="00C40CEC">
            <w:pPr>
              <w:pStyle w:val="ListBullet"/>
            </w:pPr>
            <w:r w:rsidRPr="00C40CEC">
              <w:t>hose rupture</w:t>
            </w:r>
          </w:p>
          <w:p w:rsidR="00000000" w:rsidP="00C40CEC">
            <w:pPr>
              <w:pStyle w:val="ListBullet"/>
              <w:rPr>
                <w:lang w:val="en-NZ"/>
              </w:rPr>
            </w:pPr>
            <w:r w:rsidRPr="00C40CEC">
              <w:t>spillage</w:t>
            </w:r>
          </w:p>
        </w:tc>
      </w:tr>
      <w:tr w:rsidTr="00C40CE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40CEC">
            <w:pPr>
              <w:pStyle w:val="BodyText"/>
              <w:rPr>
                <w:lang w:val="en-NZ"/>
              </w:rPr>
            </w:pPr>
            <w:r w:rsidRPr="00C40CEC">
              <w:t>Appropriate authorities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C40CEC" w:rsidP="00C40CEC">
            <w:pPr>
              <w:pStyle w:val="ListBullet"/>
            </w:pPr>
            <w:r w:rsidRPr="00C40CEC">
              <w:t xml:space="preserve">environmental protection authority </w:t>
            </w:r>
          </w:p>
          <w:p w:rsidR="00000000" w:rsidRPr="00C40CEC" w:rsidP="00C40CEC">
            <w:pPr>
              <w:pStyle w:val="ListBullet"/>
            </w:pPr>
            <w:r w:rsidRPr="00C40CEC">
              <w:t>fire and emergency services</w:t>
            </w:r>
          </w:p>
          <w:p w:rsidR="00000000" w:rsidRPr="00C40CEC" w:rsidP="00C40CEC">
            <w:pPr>
              <w:pStyle w:val="ListBullet"/>
            </w:pPr>
            <w:r w:rsidRPr="00C40CEC">
              <w:t>port authority</w:t>
            </w:r>
          </w:p>
        </w:tc>
      </w:tr>
    </w:tbl>
    <w:p w:rsidR="00000000" w:rsidRPr="00C40CEC" w:rsidP="00C40CEC">
      <w:pPr>
        <w:pStyle w:val="BodyText"/>
      </w:pPr>
    </w:p>
    <w:p w:rsidR="00000000" w:rsidRPr="00C40CEC" w:rsidP="00C40CEC">
      <w:pPr>
        <w:pStyle w:val="AllowPageBreak"/>
      </w:pPr>
    </w:p>
    <w:p w:rsidR="00000000" w:rsidRPr="00C40CEC" w:rsidP="00C40CEC">
      <w:pPr>
        <w:pStyle w:val="Heading1"/>
      </w:pPr>
      <w:bookmarkStart w:id="9" w:name="O_634052"/>
      <w:bookmarkEnd w:id="9"/>
      <w:r w:rsidRPr="00C40CEC">
        <w:t>Unit Mapping Information</w:t>
      </w:r>
    </w:p>
    <w:p w:rsidR="00000000" w:rsidRPr="00C40CEC" w:rsidP="00C40CEC">
      <w:pPr>
        <w:pStyle w:val="BodyText"/>
      </w:pPr>
      <w:r w:rsidRPr="00C40CEC">
        <w:t>This is a new unit. This unit is equivalent to MARC3001A Manage fuel systems.</w:t>
      </w:r>
    </w:p>
    <w:p w:rsidR="00000000" w:rsidRPr="00C40CEC" w:rsidP="00C40CEC">
      <w:pPr>
        <w:pStyle w:val="AllowPageBreak"/>
      </w:pPr>
    </w:p>
    <w:p w:rsidR="00000000" w:rsidRPr="00C40CEC" w:rsidP="00C40CEC">
      <w:pPr>
        <w:pStyle w:val="Heading1"/>
      </w:pPr>
      <w:bookmarkStart w:id="10" w:name="O_634061"/>
      <w:bookmarkEnd w:id="10"/>
      <w:r w:rsidRPr="00C40CEC">
        <w:t>Links</w:t>
      </w:r>
    </w:p>
    <w:p w:rsidR="00000000" w:rsidRPr="00C40CEC" w:rsidP="00C40CEC">
      <w:pPr>
        <w:pStyle w:val="BodyText"/>
      </w:pPr>
      <w:r w:rsidRPr="00C40CEC">
        <w:t>MAR Maritime Training Package Companion Volume Implementation Guide at: - http://companion_volumes.vetnet.education.gov.au/Pages/TrainingPackage.aspx?pid=2</w:t>
      </w:r>
      <w:r w:rsidRPr="00C40CEC">
        <w:t>2</w:t>
      </w:r>
    </w:p>
    <w:p w:rsidR="00000000" w:rsidRPr="00C40CEC" w:rsidP="00C40CEC"/>
    <w:sectPr w:rsidSect="00C40C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C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CEC" w:rsidRPr="0006351E" w:rsidP="000635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C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51E" w:rsidP="00C40C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6351E" w:rsidP="00C40CE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6351E" w:rsidP="00C40C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C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CEC" w:rsidRPr="0006351E" w:rsidP="0006351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C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51E" w:rsidRPr="002D2AF8" w:rsidP="00C40CEC">
    <w:pPr>
      <w:pStyle w:val="Header"/>
      <w:framePr w:wrap="around"/>
    </w:pPr>
    <w:r>
      <w:fldChar w:fldCharType="begin"/>
    </w:r>
    <w:r>
      <w:instrText xml:space="preserve"> TITLE   \* MERGEFORMAT </w:instrText>
    </w:r>
    <w:r>
      <w:fldChar w:fldCharType="separate"/>
    </w:r>
    <w:r>
      <w:t>MARC008 Manage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February 2016</w:t>
    </w:r>
    <w:r>
      <w:fldChar w:fldCharType="end"/>
    </w:r>
  </w:p>
  <w:p w:rsidR="0006351E" w:rsidP="00C40C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BAE6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9EF0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0C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0CEC"/>
    <w:pPr>
      <w:spacing w:before="360" w:after="60"/>
      <w:outlineLvl w:val="0"/>
    </w:pPr>
    <w:rPr>
      <w:sz w:val="32"/>
    </w:rPr>
  </w:style>
  <w:style w:type="paragraph" w:styleId="Heading2">
    <w:name w:val="heading 2"/>
    <w:basedOn w:val="HeadingBase"/>
    <w:next w:val="BodyText"/>
    <w:link w:val="Heading2Char"/>
    <w:qFormat/>
    <w:rsid w:val="00C40CEC"/>
    <w:pPr>
      <w:keepLines/>
      <w:spacing w:before="240" w:after="120"/>
      <w:outlineLvl w:val="1"/>
    </w:pPr>
    <w:rPr>
      <w:sz w:val="28"/>
      <w:szCs w:val="40"/>
    </w:rPr>
  </w:style>
  <w:style w:type="paragraph" w:styleId="Heading3">
    <w:name w:val="heading 3"/>
    <w:basedOn w:val="HeadingBase"/>
    <w:next w:val="BodyText"/>
    <w:link w:val="Heading3Char"/>
    <w:qFormat/>
    <w:rsid w:val="00C40CEC"/>
    <w:pPr>
      <w:spacing w:before="180" w:after="120"/>
      <w:outlineLvl w:val="2"/>
    </w:pPr>
    <w:rPr>
      <w:spacing w:val="-10"/>
      <w:kern w:val="32"/>
    </w:rPr>
  </w:style>
  <w:style w:type="paragraph" w:styleId="Heading4">
    <w:name w:val="heading 4"/>
    <w:basedOn w:val="HeadingBase"/>
    <w:next w:val="BodyText"/>
    <w:link w:val="Heading4Char"/>
    <w:qFormat/>
    <w:rsid w:val="00C40CEC"/>
    <w:pPr>
      <w:spacing w:before="160" w:after="120"/>
      <w:outlineLvl w:val="3"/>
    </w:pPr>
    <w:rPr>
      <w:sz w:val="22"/>
    </w:rPr>
  </w:style>
  <w:style w:type="paragraph" w:styleId="Heading5">
    <w:name w:val="heading 5"/>
    <w:basedOn w:val="HeadingBase"/>
    <w:next w:val="Normal"/>
    <w:link w:val="Heading5Char"/>
    <w:qFormat/>
    <w:rsid w:val="00C40CEC"/>
    <w:pPr>
      <w:spacing w:before="80"/>
      <w:outlineLvl w:val="4"/>
    </w:pPr>
    <w:rPr>
      <w:color w:val="918585"/>
      <w:sz w:val="20"/>
    </w:rPr>
  </w:style>
  <w:style w:type="paragraph" w:styleId="Heading6">
    <w:name w:val="heading 6"/>
    <w:basedOn w:val="HeadingBase"/>
    <w:next w:val="Normal"/>
    <w:link w:val="Heading6Char"/>
    <w:qFormat/>
    <w:rsid w:val="00C40CEC"/>
    <w:pPr>
      <w:spacing w:before="60"/>
      <w:outlineLvl w:val="5"/>
    </w:pPr>
    <w:rPr>
      <w:color w:val="918585"/>
      <w:sz w:val="20"/>
    </w:rPr>
  </w:style>
  <w:style w:type="paragraph" w:styleId="Heading7">
    <w:name w:val="heading 7"/>
    <w:basedOn w:val="Normal"/>
    <w:next w:val="Normal"/>
    <w:link w:val="Heading7Char"/>
    <w:qFormat/>
    <w:rsid w:val="00C40CEC"/>
    <w:pPr>
      <w:ind w:left="720"/>
      <w:outlineLvl w:val="6"/>
    </w:pPr>
    <w:rPr>
      <w:i/>
    </w:rPr>
  </w:style>
  <w:style w:type="paragraph" w:styleId="Heading8">
    <w:name w:val="heading 8"/>
    <w:basedOn w:val="Normal"/>
    <w:next w:val="Normal"/>
    <w:link w:val="Heading8Char"/>
    <w:qFormat/>
    <w:rsid w:val="00C40CEC"/>
    <w:pPr>
      <w:ind w:left="720"/>
      <w:outlineLvl w:val="7"/>
    </w:pPr>
    <w:rPr>
      <w:i/>
    </w:rPr>
  </w:style>
  <w:style w:type="paragraph" w:styleId="Heading9">
    <w:name w:val="heading 9"/>
    <w:basedOn w:val="Normal"/>
    <w:next w:val="Normal"/>
    <w:link w:val="Heading9Char"/>
    <w:qFormat/>
    <w:rsid w:val="00C40CEC"/>
    <w:pPr>
      <w:ind w:left="720"/>
      <w:outlineLvl w:val="8"/>
    </w:pPr>
    <w:rPr>
      <w:i/>
    </w:rPr>
  </w:style>
  <w:style w:type="character" w:default="1" w:styleId="DefaultParagraphFont">
    <w:name w:val="Default Paragraph Font"/>
    <w:uiPriority w:val="1"/>
    <w:unhideWhenUsed/>
    <w:rsid w:val="00C40C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0CEC"/>
  </w:style>
  <w:style w:type="character" w:customStyle="1" w:styleId="Heading1Char">
    <w:name w:val="Heading 1 Char"/>
    <w:basedOn w:val="DefaultParagraphFont"/>
    <w:link w:val="Heading1"/>
    <w:rsid w:val="00C40CEC"/>
    <w:rPr>
      <w:rFonts w:ascii="Times New Roman" w:eastAsia="Times New Roman" w:hAnsi="Times New Roman" w:cs="Times New Roman"/>
      <w:b/>
      <w:sz w:val="32"/>
      <w:szCs w:val="20"/>
      <w:lang w:eastAsia="en-US"/>
    </w:rPr>
  </w:style>
  <w:style w:type="paragraph" w:styleId="BodyText">
    <w:name w:val="Body Text"/>
    <w:basedOn w:val="Normal"/>
    <w:link w:val="BodyTextChar"/>
    <w:rsid w:val="00C40C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0CEC"/>
    <w:rPr>
      <w:rFonts w:ascii="Times New Roman" w:eastAsia="Times New Roman" w:hAnsi="Times New Roman" w:cs="Times New Roman"/>
      <w:sz w:val="24"/>
      <w:lang w:eastAsia="en-US"/>
    </w:rPr>
  </w:style>
  <w:style w:type="paragraph" w:styleId="ListBullet">
    <w:name w:val="List Bullet"/>
    <w:basedOn w:val="List"/>
    <w:rsid w:val="00C40CEC"/>
    <w:pPr>
      <w:numPr>
        <w:numId w:val="12"/>
      </w:numPr>
      <w:tabs>
        <w:tab w:val="clear" w:pos="340"/>
      </w:tabs>
      <w:spacing w:before="40" w:after="40"/>
    </w:pPr>
  </w:style>
  <w:style w:type="character" w:customStyle="1" w:styleId="SpecialBold">
    <w:name w:val="Special Bold"/>
    <w:basedOn w:val="DefaultParagraphFont"/>
    <w:rsid w:val="00C40CEC"/>
    <w:rPr>
      <w:b/>
      <w:spacing w:val="0"/>
    </w:rPr>
  </w:style>
  <w:style w:type="paragraph" w:customStyle="1" w:styleId="SuperHeading">
    <w:name w:val="SuperHeading"/>
    <w:basedOn w:val="Normal"/>
    <w:rsid w:val="00C40CEC"/>
    <w:pPr>
      <w:spacing w:before="240" w:after="120"/>
      <w:outlineLvl w:val="0"/>
    </w:pPr>
    <w:rPr>
      <w:rFonts w:ascii="Times New Roman" w:hAnsi="Times New Roman"/>
      <w:b/>
      <w:sz w:val="32"/>
    </w:rPr>
  </w:style>
  <w:style w:type="paragraph" w:customStyle="1" w:styleId="AllowPageBreak">
    <w:name w:val="AllowPageBreak"/>
    <w:rsid w:val="00C40C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0C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0C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0C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0C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0C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0C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0C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0CEC"/>
    <w:rPr>
      <w:rFonts w:ascii="Courier New" w:eastAsia="Times New Roman" w:hAnsi="Courier New" w:cs="Times New Roman"/>
      <w:i/>
      <w:szCs w:val="20"/>
      <w:lang w:eastAsia="en-US"/>
    </w:rPr>
  </w:style>
  <w:style w:type="paragraph" w:customStyle="1" w:styleId="HeadingBase">
    <w:name w:val="Heading Base"/>
    <w:rsid w:val="00C40C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0CEC"/>
    <w:pPr>
      <w:tabs>
        <w:tab w:val="right" w:leader="dot" w:pos="9072"/>
      </w:tabs>
      <w:ind w:left="567"/>
    </w:pPr>
    <w:rPr>
      <w:szCs w:val="22"/>
    </w:rPr>
  </w:style>
  <w:style w:type="paragraph" w:customStyle="1" w:styleId="TOCBase">
    <w:name w:val="TOC Base"/>
    <w:rsid w:val="00C40C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0CEC"/>
    <w:pPr>
      <w:tabs>
        <w:tab w:val="right" w:leader="dot" w:pos="9072"/>
      </w:tabs>
      <w:spacing w:before="40" w:after="40"/>
      <w:ind w:left="284"/>
    </w:pPr>
    <w:rPr>
      <w:rFonts w:ascii="Times New Roman" w:hAnsi="Times New Roman"/>
    </w:rPr>
  </w:style>
  <w:style w:type="paragraph" w:styleId="TOC1">
    <w:name w:val="toc 1"/>
    <w:basedOn w:val="TOCBase"/>
    <w:next w:val="Normal"/>
    <w:rsid w:val="00C40C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0C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0CEC"/>
    <w:rPr>
      <w:rFonts w:ascii="Times New Roman" w:eastAsia="Times New Roman" w:hAnsi="Times New Roman" w:cs="Times New Roman"/>
      <w:sz w:val="16"/>
      <w:lang w:eastAsia="en-US"/>
    </w:rPr>
  </w:style>
  <w:style w:type="paragraph" w:styleId="Title">
    <w:name w:val="Title"/>
    <w:basedOn w:val="HeadingBase"/>
    <w:link w:val="TitleChar"/>
    <w:qFormat/>
    <w:rsid w:val="00C40CEC"/>
    <w:pPr>
      <w:spacing w:before="5040"/>
      <w:jc w:val="center"/>
    </w:pPr>
    <w:rPr>
      <w:sz w:val="48"/>
      <w:szCs w:val="72"/>
      <w:lang w:val="en-US"/>
    </w:rPr>
  </w:style>
  <w:style w:type="character" w:customStyle="1" w:styleId="TitleChar">
    <w:name w:val="Title Char"/>
    <w:basedOn w:val="DefaultParagraphFont"/>
    <w:link w:val="Title"/>
    <w:rsid w:val="00C40C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0CEC"/>
    <w:pPr>
      <w:tabs>
        <w:tab w:val="left" w:pos="3600"/>
        <w:tab w:val="left" w:pos="3958"/>
      </w:tabs>
    </w:pPr>
  </w:style>
  <w:style w:type="paragraph" w:styleId="List">
    <w:name w:val="List"/>
    <w:basedOn w:val="BodyText"/>
    <w:next w:val="BodyText"/>
    <w:rsid w:val="00C40CEC"/>
    <w:pPr>
      <w:tabs>
        <w:tab w:val="left" w:pos="340"/>
      </w:tabs>
      <w:spacing w:before="60" w:after="60"/>
      <w:ind w:left="340" w:hanging="340"/>
    </w:pPr>
  </w:style>
  <w:style w:type="paragraph" w:customStyle="1" w:styleId="Note">
    <w:name w:val="Note"/>
    <w:basedOn w:val="BodyText"/>
    <w:rsid w:val="00C40C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0CEC"/>
    <w:pPr>
      <w:framePr w:wrap="auto" w:hAnchor="text" w:y="6049"/>
    </w:pPr>
    <w:rPr>
      <w:color w:val="000000"/>
      <w:sz w:val="40"/>
    </w:rPr>
  </w:style>
  <w:style w:type="paragraph" w:customStyle="1" w:styleId="TOCTitle">
    <w:name w:val="TOCTitle"/>
    <w:basedOn w:val="Heading1"/>
    <w:rsid w:val="00C40CEC"/>
    <w:pPr>
      <w:spacing w:after="240"/>
      <w:jc w:val="center"/>
      <w:outlineLvl w:val="9"/>
    </w:pPr>
    <w:rPr>
      <w:caps/>
    </w:rPr>
  </w:style>
  <w:style w:type="paragraph" w:customStyle="1" w:styleId="Version">
    <w:name w:val="Version"/>
    <w:rsid w:val="00C40C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0CEC"/>
    <w:pPr>
      <w:numPr>
        <w:numId w:val="13"/>
      </w:numPr>
      <w:tabs>
        <w:tab w:val="clear" w:pos="680"/>
      </w:tabs>
    </w:pPr>
  </w:style>
  <w:style w:type="paragraph" w:styleId="Index1">
    <w:name w:val="index 1"/>
    <w:basedOn w:val="Normal"/>
    <w:next w:val="Normal"/>
    <w:semiHidden/>
    <w:rsid w:val="00C40CEC"/>
    <w:pPr>
      <w:keepNext w:val="0"/>
      <w:tabs>
        <w:tab w:val="right" w:pos="4176"/>
      </w:tabs>
      <w:ind w:left="198" w:hanging="198"/>
    </w:pPr>
    <w:rPr>
      <w:rFonts w:ascii="Garamond" w:hAnsi="Garamond"/>
    </w:rPr>
  </w:style>
  <w:style w:type="paragraph" w:styleId="IndexHeading">
    <w:name w:val="index heading"/>
    <w:basedOn w:val="Normal"/>
    <w:next w:val="Index1"/>
    <w:semiHidden/>
    <w:rsid w:val="00C40CEC"/>
    <w:pPr>
      <w:spacing w:before="120" w:after="120"/>
    </w:pPr>
    <w:rPr>
      <w:rFonts w:ascii="Arial" w:hAnsi="Arial"/>
      <w:b/>
      <w:color w:val="918585"/>
      <w:sz w:val="24"/>
    </w:rPr>
  </w:style>
  <w:style w:type="paragraph" w:styleId="Header">
    <w:name w:val="header"/>
    <w:basedOn w:val="Normal"/>
    <w:link w:val="HeaderChar"/>
    <w:rsid w:val="00C40C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0CEC"/>
    <w:rPr>
      <w:rFonts w:ascii="Times New Roman" w:eastAsia="Times New Roman" w:hAnsi="Times New Roman" w:cs="Times New Roman"/>
      <w:sz w:val="16"/>
      <w:szCs w:val="20"/>
      <w:lang w:val="en-GB" w:eastAsia="en-US"/>
    </w:rPr>
  </w:style>
  <w:style w:type="paragraph" w:customStyle="1" w:styleId="Chapter">
    <w:name w:val="Chapter"/>
    <w:basedOn w:val="Normal"/>
    <w:rsid w:val="00C40CEC"/>
    <w:pPr>
      <w:spacing w:before="240"/>
    </w:pPr>
    <w:rPr>
      <w:rFonts w:ascii="Times New Roman" w:hAnsi="Times New Roman"/>
      <w:smallCaps/>
      <w:spacing w:val="80"/>
      <w:sz w:val="28"/>
    </w:rPr>
  </w:style>
  <w:style w:type="paragraph" w:customStyle="1" w:styleId="InChapter">
    <w:name w:val="InChapter"/>
    <w:basedOn w:val="Heading3"/>
    <w:rsid w:val="00C40CEC"/>
    <w:pPr>
      <w:spacing w:after="240"/>
      <w:outlineLvl w:val="9"/>
    </w:pPr>
    <w:rPr>
      <w:noProof/>
    </w:rPr>
  </w:style>
  <w:style w:type="paragraph" w:styleId="Index2">
    <w:name w:val="index 2"/>
    <w:basedOn w:val="Normal"/>
    <w:next w:val="Normal"/>
    <w:semiHidden/>
    <w:rsid w:val="00C40CEC"/>
    <w:pPr>
      <w:tabs>
        <w:tab w:val="right" w:pos="4176"/>
      </w:tabs>
      <w:ind w:left="568" w:hanging="284"/>
    </w:pPr>
    <w:rPr>
      <w:rFonts w:ascii="Garamond" w:hAnsi="Garamond"/>
    </w:rPr>
  </w:style>
  <w:style w:type="paragraph" w:customStyle="1" w:styleId="Byline">
    <w:name w:val="Byline"/>
    <w:rsid w:val="00C40C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0CEC"/>
    <w:pPr>
      <w:tabs>
        <w:tab w:val="clear" w:pos="3600"/>
        <w:tab w:val="clear" w:pos="3958"/>
      </w:tabs>
      <w:jc w:val="right"/>
    </w:pPr>
  </w:style>
  <w:style w:type="character" w:styleId="Emphasis">
    <w:name w:val="Emphasis"/>
    <w:basedOn w:val="DefaultParagraphFont"/>
    <w:qFormat/>
    <w:rsid w:val="00C40CEC"/>
    <w:rPr>
      <w:i/>
    </w:rPr>
  </w:style>
  <w:style w:type="paragraph" w:styleId="Caption">
    <w:name w:val="caption"/>
    <w:basedOn w:val="BodyText"/>
    <w:next w:val="Normal"/>
    <w:qFormat/>
    <w:rsid w:val="00C40CEC"/>
    <w:pPr>
      <w:framePr w:w="2268" w:hSpace="181" w:vSpace="181" w:wrap="around" w:vAnchor="text" w:hAnchor="page" w:x="1135" w:y="285" w:anchorLock="1"/>
    </w:pPr>
    <w:rPr>
      <w:i/>
    </w:rPr>
  </w:style>
  <w:style w:type="paragraph" w:customStyle="1" w:styleId="MiniTOCTitle">
    <w:name w:val="MiniTOCTitle"/>
    <w:basedOn w:val="Heading4"/>
    <w:rsid w:val="00C40CEC"/>
    <w:pPr>
      <w:spacing w:before="240"/>
      <w:outlineLvl w:val="9"/>
    </w:pPr>
    <w:rPr>
      <w:noProof/>
      <w:sz w:val="24"/>
    </w:rPr>
  </w:style>
  <w:style w:type="paragraph" w:customStyle="1" w:styleId="MiniTOCItem">
    <w:name w:val="MiniTOCItem"/>
    <w:basedOn w:val="ListBullet"/>
    <w:rsid w:val="00C40CEC"/>
    <w:pPr>
      <w:numPr>
        <w:numId w:val="0"/>
      </w:numPr>
      <w:tabs>
        <w:tab w:val="right" w:leader="dot" w:pos="6521"/>
      </w:tabs>
      <w:spacing w:before="0" w:after="0"/>
    </w:pPr>
  </w:style>
  <w:style w:type="paragraph" w:customStyle="1" w:styleId="TOFTitle">
    <w:name w:val="TOFTitle"/>
    <w:basedOn w:val="TOCTitle"/>
    <w:rsid w:val="00C40CEC"/>
  </w:style>
  <w:style w:type="paragraph" w:styleId="TableofFigures">
    <w:name w:val="table of figures"/>
    <w:basedOn w:val="Normal"/>
    <w:next w:val="Normal"/>
    <w:semiHidden/>
    <w:rsid w:val="00C40CEC"/>
    <w:pPr>
      <w:tabs>
        <w:tab w:val="right" w:leader="dot" w:pos="9072"/>
      </w:tabs>
      <w:ind w:left="970" w:hanging="403"/>
    </w:pPr>
    <w:rPr>
      <w:rFonts w:ascii="Times New Roman" w:hAnsi="Times New Roman"/>
      <w:b/>
    </w:rPr>
  </w:style>
  <w:style w:type="paragraph" w:styleId="ListNumber">
    <w:name w:val="List Number"/>
    <w:basedOn w:val="List"/>
    <w:rsid w:val="00C40CEC"/>
    <w:pPr>
      <w:numPr>
        <w:numId w:val="10"/>
      </w:numPr>
    </w:pPr>
  </w:style>
  <w:style w:type="character" w:customStyle="1" w:styleId="WingdingSymbols">
    <w:name w:val="Wingding Symbols"/>
    <w:rsid w:val="00C40CEC"/>
    <w:rPr>
      <w:rFonts w:ascii="Wingdings" w:hAnsi="Wingdings"/>
    </w:rPr>
  </w:style>
  <w:style w:type="paragraph" w:customStyle="1" w:styleId="TableHeading">
    <w:name w:val="Table Heading"/>
    <w:basedOn w:val="HeadingBase"/>
    <w:rsid w:val="00C40CEC"/>
    <w:pPr>
      <w:keepLines/>
      <w:pBdr>
        <w:bottom w:val="single" w:sz="6" w:space="1" w:color="918585"/>
      </w:pBdr>
      <w:spacing w:before="240"/>
    </w:pPr>
  </w:style>
  <w:style w:type="character" w:customStyle="1" w:styleId="HotSpot">
    <w:name w:val="HotSpot"/>
    <w:rsid w:val="00C40CEC"/>
    <w:rPr>
      <w:color w:val="0033CC"/>
      <w:u w:val="none"/>
    </w:rPr>
  </w:style>
  <w:style w:type="paragraph" w:customStyle="1" w:styleId="BodyTextRight">
    <w:name w:val="Body Text Right"/>
    <w:basedOn w:val="BodyText"/>
    <w:rsid w:val="00C40CEC"/>
    <w:pPr>
      <w:spacing w:before="0" w:after="0"/>
      <w:jc w:val="right"/>
    </w:pPr>
  </w:style>
  <w:style w:type="paragraph" w:styleId="Index3">
    <w:name w:val="index 3"/>
    <w:basedOn w:val="ListNumber2"/>
    <w:next w:val="Normal"/>
    <w:semiHidden/>
    <w:rsid w:val="00C40CEC"/>
    <w:pPr>
      <w:numPr>
        <w:numId w:val="0"/>
      </w:numPr>
      <w:tabs>
        <w:tab w:val="right" w:leader="dot" w:pos="4176"/>
      </w:tabs>
    </w:pPr>
  </w:style>
  <w:style w:type="paragraph" w:styleId="ListNumber2">
    <w:name w:val="List Number 2"/>
    <w:basedOn w:val="List2"/>
    <w:rsid w:val="00C40CEC"/>
    <w:pPr>
      <w:numPr>
        <w:numId w:val="9"/>
      </w:numPr>
      <w:tabs>
        <w:tab w:val="clear" w:pos="1060"/>
      </w:tabs>
    </w:pPr>
  </w:style>
  <w:style w:type="paragraph" w:customStyle="1" w:styleId="MarginNote">
    <w:name w:val="Margin Note"/>
    <w:basedOn w:val="BodyText"/>
    <w:rsid w:val="00C40C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0C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0C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0CEC"/>
    <w:rPr>
      <w:sz w:val="32"/>
    </w:rPr>
  </w:style>
  <w:style w:type="paragraph" w:customStyle="1" w:styleId="HeadingProcedure">
    <w:name w:val="Heading Procedure"/>
    <w:basedOn w:val="HeadingBase"/>
    <w:next w:val="Normal"/>
    <w:rsid w:val="00C40CEC"/>
    <w:pPr>
      <w:tabs>
        <w:tab w:val="left" w:pos="0"/>
      </w:tabs>
      <w:spacing w:before="120" w:after="60"/>
    </w:pPr>
    <w:rPr>
      <w:i/>
      <w:color w:val="918585"/>
      <w:sz w:val="22"/>
    </w:rPr>
  </w:style>
  <w:style w:type="paragraph" w:customStyle="1" w:styleId="TableBodyText">
    <w:name w:val="Table Body Text"/>
    <w:basedOn w:val="BodyText"/>
    <w:rsid w:val="00C40CEC"/>
    <w:pPr>
      <w:spacing w:before="60" w:after="60"/>
    </w:pPr>
  </w:style>
  <w:style w:type="paragraph" w:styleId="ListContinue">
    <w:name w:val="List Continue"/>
    <w:basedOn w:val="List"/>
    <w:rsid w:val="00C40CEC"/>
    <w:pPr>
      <w:ind w:firstLine="0"/>
    </w:pPr>
  </w:style>
  <w:style w:type="paragraph" w:customStyle="1" w:styleId="ListNote">
    <w:name w:val="List Note"/>
    <w:basedOn w:val="List"/>
    <w:rsid w:val="00C40CEC"/>
    <w:pPr>
      <w:pBdr>
        <w:top w:val="single" w:sz="6" w:space="2" w:color="918585"/>
        <w:bottom w:val="single" w:sz="6" w:space="2" w:color="918585"/>
      </w:pBdr>
      <w:tabs>
        <w:tab w:val="left" w:pos="1021"/>
      </w:tabs>
      <w:ind w:firstLine="0"/>
    </w:pPr>
  </w:style>
  <w:style w:type="paragraph" w:customStyle="1" w:styleId="Warning">
    <w:name w:val="Warning"/>
    <w:basedOn w:val="BodyText"/>
    <w:rsid w:val="00C40CEC"/>
    <w:pPr>
      <w:shd w:val="clear" w:color="auto" w:fill="D9D9D9"/>
      <w:tabs>
        <w:tab w:val="left" w:pos="992"/>
      </w:tabs>
      <w:ind w:left="119" w:right="119"/>
    </w:pPr>
    <w:rPr>
      <w:sz w:val="20"/>
    </w:rPr>
  </w:style>
  <w:style w:type="paragraph" w:customStyle="1" w:styleId="MarginIcons">
    <w:name w:val="Margin Icons"/>
    <w:basedOn w:val="BodyText"/>
    <w:rsid w:val="00C40C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0CEC"/>
    <w:rPr>
      <w:rFonts w:ascii="Courier New" w:hAnsi="Courier New"/>
    </w:rPr>
  </w:style>
  <w:style w:type="paragraph" w:customStyle="1" w:styleId="NoteBullet">
    <w:name w:val="Note Bullet"/>
    <w:basedOn w:val="Note"/>
    <w:rsid w:val="00C40CEC"/>
    <w:pPr>
      <w:tabs>
        <w:tab w:val="clear" w:pos="680"/>
      </w:tabs>
      <w:spacing w:before="60" w:after="60"/>
    </w:pPr>
  </w:style>
  <w:style w:type="paragraph" w:customStyle="1" w:styleId="SubHeading2">
    <w:name w:val="SubHeading2"/>
    <w:basedOn w:val="HeadingBase"/>
    <w:rsid w:val="00C40CEC"/>
    <w:pPr>
      <w:spacing w:before="240" w:after="60"/>
    </w:pPr>
    <w:rPr>
      <w:sz w:val="20"/>
    </w:rPr>
  </w:style>
  <w:style w:type="paragraph" w:customStyle="1" w:styleId="SubHeading1">
    <w:name w:val="SubHeading1"/>
    <w:basedOn w:val="HeadingBase"/>
    <w:rsid w:val="00C40CEC"/>
    <w:pPr>
      <w:spacing w:before="240" w:after="60"/>
    </w:pPr>
    <w:rPr>
      <w:color w:val="918585"/>
      <w:sz w:val="22"/>
    </w:rPr>
  </w:style>
  <w:style w:type="paragraph" w:customStyle="1" w:styleId="SideHeading">
    <w:name w:val="Side Heading"/>
    <w:basedOn w:val="HeadingBase"/>
    <w:rsid w:val="00C40C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0CEC"/>
    <w:pPr>
      <w:tabs>
        <w:tab w:val="num" w:pos="360"/>
      </w:tabs>
    </w:pPr>
  </w:style>
  <w:style w:type="paragraph" w:styleId="PlainText">
    <w:name w:val="Plain Text"/>
    <w:basedOn w:val="Normal"/>
    <w:link w:val="PlainTextChar"/>
    <w:rsid w:val="00C40CEC"/>
    <w:rPr>
      <w:sz w:val="20"/>
    </w:rPr>
  </w:style>
  <w:style w:type="character" w:customStyle="1" w:styleId="PlainTextChar">
    <w:name w:val="Plain Text Char"/>
    <w:basedOn w:val="DefaultParagraphFont"/>
    <w:link w:val="PlainText"/>
    <w:rsid w:val="00C40CEC"/>
    <w:rPr>
      <w:rFonts w:ascii="Courier New" w:eastAsia="Times New Roman" w:hAnsi="Courier New" w:cs="Times New Roman"/>
      <w:sz w:val="20"/>
      <w:szCs w:val="20"/>
      <w:lang w:eastAsia="en-US"/>
    </w:rPr>
  </w:style>
  <w:style w:type="character" w:customStyle="1" w:styleId="MenuOption">
    <w:name w:val="Menu Option"/>
    <w:basedOn w:val="DefaultParagraphFont"/>
    <w:rsid w:val="00C40CEC"/>
    <w:rPr>
      <w:b/>
      <w:smallCaps/>
    </w:rPr>
  </w:style>
  <w:style w:type="paragraph" w:customStyle="1" w:styleId="TableListNumber">
    <w:name w:val="Table List Number"/>
    <w:basedOn w:val="ListNumber"/>
    <w:rsid w:val="00C40CEC"/>
    <w:pPr>
      <w:numPr>
        <w:numId w:val="0"/>
      </w:numPr>
    </w:pPr>
  </w:style>
  <w:style w:type="paragraph" w:styleId="TOC4">
    <w:name w:val="toc 4"/>
    <w:basedOn w:val="TOCBase"/>
    <w:next w:val="Normal"/>
    <w:semiHidden/>
    <w:rsid w:val="00C40CEC"/>
    <w:pPr>
      <w:tabs>
        <w:tab w:val="right" w:leader="dot" w:pos="9071"/>
      </w:tabs>
      <w:ind w:left="1701"/>
    </w:pPr>
  </w:style>
  <w:style w:type="paragraph" w:customStyle="1" w:styleId="ListAlpha">
    <w:name w:val="List Alpha"/>
    <w:basedOn w:val="List"/>
    <w:rsid w:val="00C40CEC"/>
    <w:pPr>
      <w:numPr>
        <w:numId w:val="8"/>
      </w:numPr>
    </w:pPr>
  </w:style>
  <w:style w:type="paragraph" w:customStyle="1" w:styleId="ListAlpha2">
    <w:name w:val="List Alpha 2"/>
    <w:basedOn w:val="List2"/>
    <w:rsid w:val="00C40CEC"/>
    <w:pPr>
      <w:numPr>
        <w:numId w:val="7"/>
      </w:numPr>
    </w:pPr>
  </w:style>
  <w:style w:type="paragraph" w:styleId="List2">
    <w:name w:val="List 2"/>
    <w:basedOn w:val="BodyText"/>
    <w:rsid w:val="00C40CEC"/>
    <w:pPr>
      <w:tabs>
        <w:tab w:val="left" w:pos="680"/>
      </w:tabs>
      <w:spacing w:before="60" w:after="60"/>
      <w:ind w:left="680" w:hanging="340"/>
    </w:pPr>
  </w:style>
  <w:style w:type="paragraph" w:styleId="List3">
    <w:name w:val="List 3"/>
    <w:basedOn w:val="BodyText"/>
    <w:rsid w:val="00C40CEC"/>
    <w:pPr>
      <w:tabs>
        <w:tab w:val="left" w:pos="1021"/>
      </w:tabs>
      <w:spacing w:before="60" w:after="60"/>
      <w:ind w:left="1020" w:hanging="340"/>
    </w:pPr>
  </w:style>
  <w:style w:type="paragraph" w:styleId="List4">
    <w:name w:val="List 4"/>
    <w:basedOn w:val="BodyText"/>
    <w:rsid w:val="00C40CEC"/>
    <w:pPr>
      <w:tabs>
        <w:tab w:val="left" w:pos="1361"/>
      </w:tabs>
      <w:spacing w:before="60" w:after="60"/>
      <w:ind w:left="1361" w:hanging="340"/>
    </w:pPr>
  </w:style>
  <w:style w:type="paragraph" w:styleId="List5">
    <w:name w:val="List 5"/>
    <w:basedOn w:val="BodyText"/>
    <w:rsid w:val="00C40CEC"/>
    <w:pPr>
      <w:tabs>
        <w:tab w:val="left" w:pos="1701"/>
      </w:tabs>
      <w:spacing w:before="60" w:after="60"/>
      <w:ind w:left="1701" w:hanging="340"/>
    </w:pPr>
  </w:style>
  <w:style w:type="paragraph" w:styleId="ListBullet3">
    <w:name w:val="List Bullet 3"/>
    <w:basedOn w:val="List3"/>
    <w:rsid w:val="00C40CEC"/>
    <w:pPr>
      <w:numPr>
        <w:numId w:val="14"/>
      </w:numPr>
      <w:tabs>
        <w:tab w:val="clear" w:pos="1021"/>
      </w:tabs>
      <w:ind w:left="1037" w:hanging="357"/>
    </w:pPr>
  </w:style>
  <w:style w:type="paragraph" w:styleId="ListBullet4">
    <w:name w:val="List Bullet 4"/>
    <w:basedOn w:val="List4"/>
    <w:rsid w:val="00C40CEC"/>
    <w:pPr>
      <w:numPr>
        <w:numId w:val="2"/>
      </w:numPr>
      <w:tabs>
        <w:tab w:val="clear" w:pos="1361"/>
      </w:tabs>
    </w:pPr>
  </w:style>
  <w:style w:type="paragraph" w:styleId="ListBullet5">
    <w:name w:val="List Bullet 5"/>
    <w:basedOn w:val="List5"/>
    <w:rsid w:val="00C40CEC"/>
    <w:pPr>
      <w:numPr>
        <w:numId w:val="3"/>
      </w:numPr>
    </w:pPr>
  </w:style>
  <w:style w:type="paragraph" w:styleId="ListContinue2">
    <w:name w:val="List Continue 2"/>
    <w:basedOn w:val="List2"/>
    <w:rsid w:val="00C40CEC"/>
    <w:pPr>
      <w:ind w:firstLine="0"/>
    </w:pPr>
  </w:style>
  <w:style w:type="paragraph" w:styleId="ListContinue3">
    <w:name w:val="List Continue 3"/>
    <w:basedOn w:val="List3"/>
    <w:rsid w:val="00C40CEC"/>
    <w:pPr>
      <w:ind w:left="1021" w:firstLine="0"/>
    </w:pPr>
  </w:style>
  <w:style w:type="paragraph" w:styleId="ListContinue4">
    <w:name w:val="List Continue 4"/>
    <w:basedOn w:val="List4"/>
    <w:rsid w:val="00C40CEC"/>
    <w:pPr>
      <w:ind w:firstLine="0"/>
    </w:pPr>
  </w:style>
  <w:style w:type="paragraph" w:styleId="ListContinue5">
    <w:name w:val="List Continue 5"/>
    <w:basedOn w:val="List5"/>
    <w:rsid w:val="00C40CEC"/>
    <w:pPr>
      <w:ind w:firstLine="0"/>
    </w:pPr>
  </w:style>
  <w:style w:type="paragraph" w:styleId="ListNumber3">
    <w:name w:val="List Number 3"/>
    <w:basedOn w:val="List3"/>
    <w:rsid w:val="00C40CEC"/>
    <w:pPr>
      <w:numPr>
        <w:numId w:val="4"/>
      </w:numPr>
    </w:pPr>
  </w:style>
  <w:style w:type="paragraph" w:styleId="ListNumber4">
    <w:name w:val="List Number 4"/>
    <w:basedOn w:val="List4"/>
    <w:rsid w:val="00C40CEC"/>
    <w:pPr>
      <w:numPr>
        <w:numId w:val="5"/>
      </w:numPr>
    </w:pPr>
  </w:style>
  <w:style w:type="paragraph" w:styleId="ListNumber5">
    <w:name w:val="List Number 5"/>
    <w:basedOn w:val="List5"/>
    <w:rsid w:val="00C40CEC"/>
    <w:pPr>
      <w:numPr>
        <w:numId w:val="6"/>
      </w:numPr>
    </w:pPr>
  </w:style>
  <w:style w:type="paragraph" w:styleId="BlockText">
    <w:name w:val="Block Text"/>
    <w:basedOn w:val="Normal"/>
    <w:rsid w:val="00C40CEC"/>
    <w:pPr>
      <w:spacing w:after="120"/>
      <w:ind w:left="1440" w:right="1440"/>
    </w:pPr>
  </w:style>
  <w:style w:type="character" w:customStyle="1" w:styleId="Subscript">
    <w:name w:val="Subscript"/>
    <w:basedOn w:val="DefaultParagraphFont"/>
    <w:rsid w:val="00C40CEC"/>
    <w:rPr>
      <w:sz w:val="16"/>
      <w:vertAlign w:val="subscript"/>
    </w:rPr>
  </w:style>
  <w:style w:type="character" w:customStyle="1" w:styleId="Superscript">
    <w:name w:val="Superscript"/>
    <w:basedOn w:val="DefaultParagraphFont"/>
    <w:rsid w:val="00C40CEC"/>
    <w:rPr>
      <w:sz w:val="16"/>
      <w:vertAlign w:val="superscript"/>
    </w:rPr>
  </w:style>
  <w:style w:type="character" w:customStyle="1" w:styleId="Symbols">
    <w:name w:val="Symbols"/>
    <w:basedOn w:val="DefaultParagraphFont"/>
    <w:rsid w:val="00C40CEC"/>
    <w:rPr>
      <w:rFonts w:ascii="Symbol" w:hAnsi="Symbol"/>
    </w:rPr>
  </w:style>
  <w:style w:type="character" w:customStyle="1" w:styleId="MenuOptions">
    <w:name w:val="Menu Options"/>
    <w:basedOn w:val="DefaultParagraphFont"/>
    <w:rsid w:val="00C40CEC"/>
    <w:rPr>
      <w:rFonts w:ascii="Arial Narrow" w:hAnsi="Arial Narrow"/>
      <w:smallCaps/>
    </w:rPr>
  </w:style>
  <w:style w:type="character" w:customStyle="1" w:styleId="Buttons">
    <w:name w:val="Buttons"/>
    <w:basedOn w:val="DefaultParagraphFont"/>
    <w:rsid w:val="00C40CEC"/>
    <w:rPr>
      <w:b/>
    </w:rPr>
  </w:style>
  <w:style w:type="character" w:customStyle="1" w:styleId="Underlined">
    <w:name w:val="Underlined"/>
    <w:basedOn w:val="DefaultParagraphFont"/>
    <w:rsid w:val="00C40CEC"/>
    <w:rPr>
      <w:u w:val="single"/>
    </w:rPr>
  </w:style>
  <w:style w:type="paragraph" w:customStyle="1" w:styleId="TableBodyTextRight">
    <w:name w:val="Table Body Text Right"/>
    <w:basedOn w:val="TableBodyText"/>
    <w:rsid w:val="00C40CEC"/>
    <w:pPr>
      <w:widowControl w:val="0"/>
      <w:autoSpaceDE w:val="0"/>
      <w:autoSpaceDN w:val="0"/>
      <w:adjustRightInd w:val="0"/>
      <w:jc w:val="right"/>
    </w:pPr>
    <w:rPr>
      <w:rFonts w:cs="Arial"/>
      <w:szCs w:val="18"/>
    </w:rPr>
  </w:style>
  <w:style w:type="paragraph" w:customStyle="1" w:styleId="CopyrightText">
    <w:name w:val="Copyright Text"/>
    <w:basedOn w:val="BodyText"/>
    <w:rsid w:val="00C40CEC"/>
    <w:rPr>
      <w:sz w:val="18"/>
    </w:rPr>
  </w:style>
  <w:style w:type="paragraph" w:customStyle="1" w:styleId="BodySmallRight">
    <w:name w:val="Body Small Right"/>
    <w:basedOn w:val="BodyTextRight"/>
    <w:rsid w:val="00C40CEC"/>
    <w:rPr>
      <w:sz w:val="18"/>
      <w:szCs w:val="18"/>
    </w:rPr>
  </w:style>
  <w:style w:type="paragraph" w:customStyle="1" w:styleId="MarginEdition">
    <w:name w:val="Margin Edition"/>
    <w:basedOn w:val="MarginNote"/>
    <w:rsid w:val="00C40CEC"/>
    <w:pPr>
      <w:spacing w:before="0" w:after="0"/>
    </w:pPr>
    <w:rPr>
      <w:rFonts w:ascii="Times New Roman" w:hAnsi="Times New Roman"/>
      <w:color w:val="999999"/>
    </w:rPr>
  </w:style>
  <w:style w:type="paragraph" w:customStyle="1" w:styleId="Spacer">
    <w:name w:val="Spacer"/>
    <w:basedOn w:val="Normal"/>
    <w:rsid w:val="00C40CEC"/>
    <w:rPr>
      <w:sz w:val="2"/>
      <w:szCs w:val="2"/>
    </w:rPr>
  </w:style>
  <w:style w:type="character" w:customStyle="1" w:styleId="Small">
    <w:name w:val="Small"/>
    <w:basedOn w:val="DefaultParagraphFont"/>
    <w:rsid w:val="00C40CEC"/>
    <w:rPr>
      <w:sz w:val="16"/>
    </w:rPr>
  </w:style>
  <w:style w:type="paragraph" w:customStyle="1" w:styleId="WideTable">
    <w:name w:val="Wide Table"/>
    <w:basedOn w:val="Normal"/>
    <w:rsid w:val="00C40CEC"/>
    <w:pPr>
      <w:ind w:left="-1418"/>
    </w:pPr>
    <w:rPr>
      <w:sz w:val="2"/>
      <w:szCs w:val="2"/>
    </w:rPr>
  </w:style>
  <w:style w:type="character" w:styleId="PageNumber">
    <w:name w:val="page number"/>
    <w:basedOn w:val="DefaultParagraphFont"/>
    <w:rsid w:val="00C40CEC"/>
  </w:style>
  <w:style w:type="paragraph" w:styleId="Quote">
    <w:name w:val="Quote"/>
    <w:basedOn w:val="Heading1"/>
    <w:link w:val="QuoteChar"/>
    <w:qFormat/>
    <w:rsid w:val="00C40CEC"/>
    <w:rPr>
      <w:b w:val="0"/>
      <w:sz w:val="72"/>
      <w:szCs w:val="72"/>
      <w:lang w:val="en-NZ"/>
    </w:rPr>
  </w:style>
  <w:style w:type="character" w:customStyle="1" w:styleId="QuoteChar">
    <w:name w:val="Quote Char"/>
    <w:basedOn w:val="DefaultParagraphFont"/>
    <w:link w:val="Quote"/>
    <w:rsid w:val="00C40C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0CEC"/>
    <w:pPr>
      <w:pageBreakBefore/>
    </w:pPr>
  </w:style>
  <w:style w:type="paragraph" w:customStyle="1" w:styleId="Border">
    <w:name w:val="Border"/>
    <w:basedOn w:val="Normal"/>
    <w:qFormat/>
    <w:rsid w:val="00C40C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0CEC"/>
    <w:rPr>
      <w:b/>
      <w:bCs/>
      <w:i/>
      <w:iCs/>
      <w:color w:val="auto"/>
    </w:rPr>
  </w:style>
  <w:style w:type="paragraph" w:styleId="IntenseQuote">
    <w:name w:val="Intense Quote"/>
    <w:basedOn w:val="Normal"/>
    <w:next w:val="Normal"/>
    <w:link w:val="IntenseQuoteChar"/>
    <w:uiPriority w:val="30"/>
    <w:qFormat/>
    <w:rsid w:val="00C40C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0C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0CEC"/>
    <w:rPr>
      <w:smallCaps/>
      <w:color w:val="auto"/>
      <w:u w:val="single"/>
    </w:rPr>
  </w:style>
  <w:style w:type="character" w:styleId="IntenseReference">
    <w:name w:val="Intense Reference"/>
    <w:basedOn w:val="DefaultParagraphFont"/>
    <w:uiPriority w:val="32"/>
    <w:qFormat/>
    <w:rsid w:val="00C40CEC"/>
    <w:rPr>
      <w:b/>
      <w:bCs/>
      <w:smallCaps/>
      <w:color w:val="auto"/>
      <w:spacing w:val="5"/>
      <w:u w:val="single"/>
    </w:rPr>
  </w:style>
  <w:style w:type="paragraph" w:customStyle="1" w:styleId="2ColumnHeading">
    <w:name w:val="2Column Heading"/>
    <w:basedOn w:val="BodyText"/>
    <w:qFormat/>
    <w:rsid w:val="00C40CEC"/>
    <w:pPr>
      <w:spacing w:after="60"/>
      <w:ind w:left="-2268"/>
    </w:pPr>
    <w:rPr>
      <w:b/>
    </w:rPr>
  </w:style>
  <w:style w:type="paragraph" w:customStyle="1" w:styleId="Heading1TOC">
    <w:name w:val="Heading1 TOC"/>
    <w:basedOn w:val="Normal"/>
    <w:qFormat/>
    <w:rsid w:val="00C40CEC"/>
    <w:pPr>
      <w:spacing w:before="240" w:after="120"/>
    </w:pPr>
    <w:rPr>
      <w:rFonts w:ascii="Times New Roman" w:hAnsi="Times New Roman"/>
      <w:b/>
      <w:sz w:val="32"/>
    </w:rPr>
  </w:style>
  <w:style w:type="paragraph" w:customStyle="1" w:styleId="Heading2TOC">
    <w:name w:val="Heading2 TOC"/>
    <w:basedOn w:val="Normal"/>
    <w:qFormat/>
    <w:rsid w:val="00C40CEC"/>
    <w:pPr>
      <w:spacing w:before="240" w:after="60"/>
    </w:pPr>
    <w:rPr>
      <w:rFonts w:ascii="Times New Roman" w:hAnsi="Times New Roman"/>
      <w:b/>
      <w:sz w:val="28"/>
    </w:rPr>
  </w:style>
  <w:style w:type="character" w:customStyle="1" w:styleId="Underline">
    <w:name w:val="Underline"/>
    <w:basedOn w:val="DefaultParagraphFont"/>
    <w:qFormat/>
    <w:rsid w:val="00C40CEC"/>
    <w:rPr>
      <w:u w:val="single"/>
    </w:rPr>
  </w:style>
  <w:style w:type="character" w:customStyle="1" w:styleId="BoldandItalics">
    <w:name w:val="Bold and Italics"/>
    <w:qFormat/>
    <w:rsid w:val="00C40CEC"/>
    <w:rPr>
      <w:b/>
      <w:i/>
      <w:u w:val="none"/>
    </w:rPr>
  </w:style>
  <w:style w:type="paragraph" w:styleId="BalloonText">
    <w:name w:val="Balloon Text"/>
    <w:basedOn w:val="Normal"/>
    <w:link w:val="BalloonTextChar"/>
    <w:rsid w:val="00C40CEC"/>
    <w:rPr>
      <w:rFonts w:ascii="Tahoma" w:hAnsi="Tahoma" w:cs="Tahoma"/>
      <w:sz w:val="16"/>
      <w:szCs w:val="16"/>
    </w:rPr>
  </w:style>
  <w:style w:type="character" w:customStyle="1" w:styleId="BalloonTextChar">
    <w:name w:val="Balloon Text Char"/>
    <w:basedOn w:val="DefaultParagraphFont"/>
    <w:link w:val="BalloonText"/>
    <w:rsid w:val="00C40C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0C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0C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0CEC"/>
    <w:rPr>
      <w:b/>
      <w:color w:val="660033"/>
      <w:spacing w:val="0"/>
    </w:rPr>
  </w:style>
  <w:style w:type="paragraph" w:customStyle="1" w:styleId="Nameditemlist">
    <w:name w:val="Named item list"/>
    <w:basedOn w:val="BodyText"/>
    <w:qFormat/>
    <w:rsid w:val="00C40CE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602</Words>
  <Characters>3694</Characters>
  <Application>Microsoft Office Word</Application>
  <DocSecurity>0</DocSecurity>
  <Lines>184</Lines>
  <Paragraphs>98</Paragraphs>
  <ScaleCrop>false</ScaleCrop>
  <Company>Author-it Software Corporation Ltd.</Company>
  <LinksUpToDate>false</LinksUpToDate>
  <CharactersWithSpaces>4226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MARC008 Manage fuel systems</dc:title>
  <dc:subject>Approved</dc:subject>
  <dc:creator>Transport &amp; Logistics Industry Skills Council</dc:creator>
  <cp:keywords>Release: 2</cp:keywords>
  <dc:description>Review Date: 12 April 2008</dc:description>
  <cp:lastModifiedBy>HSD_TPCMSd.prod</cp:lastModifiedBy>
  <cp:revision>3</cp:revision>
  <dcterms:created xsi:type="dcterms:W3CDTF">2016-02-24T03:38:00Z</dcterms:created>
  <dcterms:modified xsi:type="dcterms:W3CDTF">2016-02-24T03:38:00Z</dcterms:modified>
</cp:coreProperties>
</file>