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F16" w:rsidP="00AD0F16">
      <w:pPr>
        <w:pStyle w:val="Title"/>
      </w:pPr>
      <w:r>
        <w:fldChar w:fldCharType="begin"/>
      </w:r>
      <w:r>
        <w:instrText xml:space="preserve"> TITLE   \* MERGEFORMAT </w:instrText>
      </w:r>
      <w:r>
        <w:fldChar w:fldCharType="separate"/>
      </w:r>
      <w:r>
        <w:t>MARC006 Operate main propulsion unit and auxiliary systems</w:t>
      </w:r>
      <w:r>
        <w:fldChar w:fldCharType="end"/>
      </w:r>
    </w:p>
    <w:p w:rsidR="00AD0F16" w:rsidP="00AD0F16">
      <w:pPr>
        <w:pStyle w:val="Version"/>
        <w:sectPr w:rsidSect="00EC7B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B49" w:rsidP="00EC7B49">
      <w:pPr>
        <w:pStyle w:val="SuperHeading"/>
      </w:pPr>
      <w:r w:rsidRPr="00EC7B49">
        <w:t>MARC006 Operate main propulsion unit and auxiliary systems</w:t>
      </w:r>
    </w:p>
    <w:p w:rsidR="00000000" w:rsidRPr="00EC7B49" w:rsidP="00EC7B49">
      <w:pPr>
        <w:pStyle w:val="Heading1"/>
      </w:pPr>
      <w:bookmarkStart w:id="1" w:name="O_596986"/>
      <w:bookmarkEnd w:id="1"/>
      <w:r w:rsidRPr="00EC7B49">
        <w:t>Modification History</w:t>
      </w:r>
    </w:p>
    <w:p w:rsidR="00000000" w:rsidRPr="00EC7B49" w:rsidP="00EC7B49">
      <w:pPr>
        <w:pStyle w:val="BodyText"/>
      </w:pPr>
      <w:r w:rsidRPr="00EC7B49">
        <w:t>Release 1. New unit of competency.</w:t>
      </w:r>
    </w:p>
    <w:p w:rsidR="00000000" w:rsidRPr="00EC7B49" w:rsidP="00EC7B49">
      <w:pPr>
        <w:pStyle w:val="AllowPageBreak"/>
      </w:pPr>
    </w:p>
    <w:p w:rsidR="00000000" w:rsidRPr="00EC7B49" w:rsidP="00EC7B49">
      <w:pPr>
        <w:pStyle w:val="Heading1"/>
      </w:pPr>
      <w:bookmarkStart w:id="2" w:name="O_596987"/>
      <w:bookmarkEnd w:id="2"/>
      <w:r w:rsidRPr="00EC7B49">
        <w:t>Application</w:t>
      </w:r>
    </w:p>
    <w:p w:rsidR="00000000" w:rsidRPr="00EC7B49" w:rsidP="00EC7B49">
      <w:pPr>
        <w:pStyle w:val="BodyText"/>
      </w:pPr>
      <w:r w:rsidRPr="00EC7B49">
        <w:t>This unit involves the skills and knowledge required to safely operate the main propulsion unit and auxiliary systems on a vessel up to 12 metres with a pr</w:t>
      </w:r>
      <w:r w:rsidRPr="00EC7B49">
        <w:t xml:space="preserve">opulsion power: </w:t>
      </w:r>
    </w:p>
    <w:p w:rsidR="00000000" w:rsidRPr="00EC7B49" w:rsidP="00EC7B49">
      <w:pPr>
        <w:pStyle w:val="ListBullet2"/>
      </w:pPr>
      <w:r w:rsidRPr="00EC7B49">
        <w:t>for an inboard engine &lt; 500 kW</w:t>
      </w:r>
    </w:p>
    <w:p w:rsidR="00000000" w:rsidRPr="00EC7B49" w:rsidP="00EC7B49">
      <w:pPr>
        <w:pStyle w:val="ListBullet2"/>
      </w:pPr>
      <w:r w:rsidRPr="00EC7B49">
        <w:t>for an outboard engine of unlimited power.</w:t>
      </w:r>
    </w:p>
    <w:p w:rsidR="00000000" w:rsidRPr="00EC7B49" w:rsidP="00EC7B49">
      <w:pPr>
        <w:pStyle w:val="BodyText"/>
      </w:pPr>
    </w:p>
    <w:p w:rsidR="00000000" w:rsidRPr="00EC7B49" w:rsidP="00EC7B49">
      <w:pPr>
        <w:pStyle w:val="BodyText"/>
      </w:pPr>
      <w:r w:rsidRPr="00EC7B49">
        <w:t>This unit applies to deck and engine workers working in the maritime industry on vessels up to 12 metres.</w:t>
      </w:r>
    </w:p>
    <w:p w:rsidR="00000000" w:rsidRPr="00EC7B49" w:rsidP="00EC7B49">
      <w:pPr>
        <w:pStyle w:val="BodyText"/>
      </w:pPr>
    </w:p>
    <w:p w:rsidR="00000000" w:rsidRPr="00EC7B49" w:rsidP="00EC7B49">
      <w:pPr>
        <w:pStyle w:val="BodyText"/>
      </w:pPr>
      <w:r w:rsidRPr="00EC7B49">
        <w:t>This unit has links to legislative and certification req</w:t>
      </w:r>
      <w:r w:rsidRPr="00EC7B49">
        <w:t>uirements.</w:t>
      </w:r>
    </w:p>
    <w:p w:rsidR="00000000" w:rsidRPr="00EC7B49" w:rsidP="00EC7B49">
      <w:pPr>
        <w:pStyle w:val="AllowPageBreak"/>
      </w:pPr>
    </w:p>
    <w:p w:rsidR="00000000" w:rsidRPr="00EC7B49" w:rsidP="00EC7B49">
      <w:pPr>
        <w:pStyle w:val="Heading1"/>
      </w:pPr>
      <w:bookmarkStart w:id="3" w:name="O_596988"/>
      <w:bookmarkEnd w:id="3"/>
      <w:r w:rsidRPr="00EC7B49">
        <w:t>Pre-requisite Unit</w:t>
      </w:r>
    </w:p>
    <w:p w:rsidR="00000000" w:rsidRPr="00EC7B49" w:rsidP="00EC7B49">
      <w:pPr>
        <w:pStyle w:val="BodyText"/>
      </w:pPr>
      <w:r w:rsidRPr="00EC7B49">
        <w:t>Not applicable.</w:t>
      </w:r>
    </w:p>
    <w:p w:rsidR="00000000" w:rsidRPr="00EC7B49" w:rsidP="00EC7B49">
      <w:pPr>
        <w:pStyle w:val="AllowPageBreak"/>
      </w:pPr>
    </w:p>
    <w:p w:rsidR="00000000" w:rsidRPr="00EC7B49" w:rsidP="00EC7B49">
      <w:pPr>
        <w:pStyle w:val="Heading1"/>
      </w:pPr>
      <w:bookmarkStart w:id="4" w:name="O_596989"/>
      <w:bookmarkEnd w:id="4"/>
      <w:r w:rsidRPr="00EC7B49">
        <w:t>Competency Field</w:t>
      </w:r>
    </w:p>
    <w:p w:rsidR="00000000" w:rsidRPr="00EC7B49" w:rsidP="00EC7B49">
      <w:pPr>
        <w:pStyle w:val="BodyText"/>
      </w:pPr>
      <w:r w:rsidRPr="00EC7B49">
        <w:t>C – Equipment Operations</w:t>
      </w:r>
    </w:p>
    <w:p w:rsidR="00000000" w:rsidRPr="00EC7B49" w:rsidP="00EC7B49">
      <w:pPr>
        <w:pStyle w:val="AllowPageBreak"/>
      </w:pPr>
    </w:p>
    <w:p w:rsidR="00000000" w:rsidRPr="00EC7B49" w:rsidP="00EC7B49">
      <w:pPr>
        <w:pStyle w:val="Heading1"/>
      </w:pPr>
      <w:bookmarkStart w:id="5" w:name="O_596990"/>
      <w:bookmarkEnd w:id="5"/>
      <w:r w:rsidRPr="00EC7B49">
        <w:t>Unit Sector</w:t>
      </w:r>
    </w:p>
    <w:p w:rsidR="00000000" w:rsidRPr="00EC7B49" w:rsidP="00EC7B49">
      <w:pPr>
        <w:pStyle w:val="BodyText"/>
      </w:pPr>
      <w:r w:rsidRPr="00EC7B49">
        <w:t>Not applicable.</w:t>
      </w:r>
    </w:p>
    <w:p w:rsidR="00000000" w:rsidRPr="00EC7B49" w:rsidP="00EC7B49">
      <w:pPr>
        <w:pStyle w:val="AllowPageBreak"/>
      </w:pPr>
    </w:p>
    <w:p w:rsidR="00000000" w:rsidRPr="00EC7B49" w:rsidP="00EC7B49">
      <w:pPr>
        <w:pStyle w:val="Heading1"/>
      </w:pPr>
      <w:bookmarkStart w:id="6" w:name="O_596991"/>
      <w:bookmarkEnd w:id="6"/>
      <w:r w:rsidRPr="00EC7B49">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AD0F16">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Performance criteria describe the performance needed to demonstrate achievement of the element.</w:t>
            </w:r>
          </w:p>
        </w:tc>
      </w:tr>
      <w:tr w:rsidTr="00AD0F1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C7B49" w:rsidP="00EC7B49">
            <w:pPr>
              <w:pStyle w:val="BodyText"/>
            </w:pPr>
            <w:r w:rsidRPr="00EC7B49">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rPr>
                <w:rStyle w:val="SpecialBold"/>
              </w:rPr>
              <w:t>Prepare propulsion unit and auxiliary system for use</w:t>
            </w: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1.1</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Appropriate personal protective clothing and equipment i</w:t>
            </w:r>
            <w:r w:rsidRPr="00EC7B49">
              <w:t>s selected, used, maintained and stored according to work health and safety (WHS)/occupational health and safety (OHS) requirements</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1.2</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Routine pre-operational checks are carried out on equipment according to manufacturer specifications an</w:t>
            </w:r>
            <w:r w:rsidRPr="00EC7B49">
              <w:t>d workplace requirements</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1.3</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Deviations from the norm are promptly identified and rectified</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1.4</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Adjustments are made to achieve a safe and efficient operation</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1.5</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Inability to start up equipment is reported promptly and accurately to appropriate personnel</w:t>
            </w:r>
          </w:p>
        </w:tc>
      </w:tr>
      <w:tr w:rsidTr="00AD0F1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C7B49" w:rsidP="00EC7B49">
            <w:pPr>
              <w:pStyle w:val="BodyText"/>
            </w:pPr>
            <w:r w:rsidRPr="00EC7B49">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rPr>
                <w:rStyle w:val="SpecialBold"/>
              </w:rPr>
              <w:t>Operate propulsion unit and auxiliary system</w:t>
            </w: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2.1</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Equipment is operated in a safe and controlled manner</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2.2</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Performance and efficiency of equipment is monitored according to manufacturer instructions</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2.3</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Equipment is maintained within defined operating limits when running, to achieve optimum safety and efficiency</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2.4</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Environmental implications associated w</w:t>
            </w:r>
            <w:r w:rsidRPr="00EC7B49">
              <w:t>ith operating equipment are identified and controlled</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2.5</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 xml:space="preserve">Deviations from normal operations are promptly identified </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2.6</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Action is taken to rectify irregularities to maintain optimum safety and efficiency</w:t>
            </w:r>
          </w:p>
        </w:tc>
      </w:tr>
      <w:tr w:rsidTr="00AD0F1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C7B49" w:rsidP="00EC7B49">
            <w:pPr>
              <w:pStyle w:val="BodyText"/>
            </w:pPr>
            <w:r w:rsidRPr="00EC7B49">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rPr>
                <w:rStyle w:val="SpecialBold"/>
              </w:rPr>
              <w:t>Check and complete propulsion unit and auxiliary system operation</w:t>
            </w: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3.1</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Equipment shut-down procedures are carried out according to manufacturer specifications and workplace procedures</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3.2</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Equipment operational records are maintained according to workplac</w:t>
            </w:r>
            <w:r w:rsidRPr="00EC7B49">
              <w:t>e procedures</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3.3</w:t>
            </w:r>
          </w:p>
        </w:tc>
        <w:tc>
          <w:tcPr>
            <w:tcW w:w="595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 xml:space="preserve">Equipment damage, malfunctions or irregular performance are recorded and reported according to workplace procedures </w:t>
            </w:r>
          </w:p>
        </w:tc>
      </w:tr>
      <w:tr w:rsidTr="00AD0F1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3.4</w:t>
            </w:r>
          </w:p>
        </w:tc>
        <w:tc>
          <w:tcPr>
            <w:tcW w:w="5954" w:type="dxa"/>
            <w:tcBorders>
              <w:top w:val="nil"/>
              <w:left w:val="nil"/>
              <w:bottom w:val="nil"/>
              <w:right w:val="nil"/>
            </w:tcBorders>
            <w:tcMar>
              <w:top w:w="0" w:type="dxa"/>
              <w:left w:w="62" w:type="dxa"/>
              <w:bottom w:w="0" w:type="dxa"/>
              <w:right w:w="62" w:type="dxa"/>
            </w:tcMar>
          </w:tcPr>
          <w:p w:rsidR="00000000" w:rsidRPr="00EC7B49" w:rsidP="00EC7B49">
            <w:pPr>
              <w:pStyle w:val="BodyText"/>
            </w:pPr>
            <w:r w:rsidRPr="00EC7B49">
              <w:t>Equipment is cleaned according to manufacturer specifications and workplace procedures</w:t>
            </w:r>
          </w:p>
        </w:tc>
      </w:tr>
    </w:tbl>
    <w:p w:rsidR="00000000" w:rsidRPr="00EC7B49" w:rsidP="00EC7B49">
      <w:pPr>
        <w:pStyle w:val="BodyText"/>
      </w:pPr>
    </w:p>
    <w:p w:rsidR="00000000" w:rsidRPr="00EC7B49" w:rsidP="00EC7B49">
      <w:pPr>
        <w:pStyle w:val="AllowPageBreak"/>
      </w:pPr>
    </w:p>
    <w:p w:rsidR="00000000" w:rsidRPr="00EC7B49" w:rsidP="00EC7B49">
      <w:pPr>
        <w:pStyle w:val="Heading1"/>
      </w:pPr>
      <w:bookmarkStart w:id="7" w:name="O_596992"/>
      <w:bookmarkEnd w:id="7"/>
      <w:r w:rsidRPr="00EC7B49">
        <w:t>Foundation Skills</w:t>
      </w:r>
    </w:p>
    <w:tbl>
      <w:tblPr>
        <w:tblW w:w="9356" w:type="dxa"/>
        <w:tblLayout w:type="fixed"/>
        <w:tblCellMar>
          <w:left w:w="62" w:type="dxa"/>
          <w:right w:w="62" w:type="dxa"/>
        </w:tblCellMar>
        <w:tblLook w:val="0000"/>
      </w:tblPr>
      <w:tblGrid>
        <w:gridCol w:w="9356"/>
      </w:tblGrid>
      <w:tr w:rsidTr="00EC7B49">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This section describes those language, literacy, numeracy and employment skills that are essential to performance.</w:t>
            </w:r>
          </w:p>
        </w:tc>
      </w:tr>
      <w:tr w:rsidTr="00EC7B49">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EC7B49" w:rsidP="00EC7B49">
            <w:pPr>
              <w:pStyle w:val="BodyText"/>
            </w:pPr>
            <w:r w:rsidRPr="00EC7B49">
              <w:t xml:space="preserve">Foundation skills essential to performance are explicit in the performance criteria of this unit of competency. </w:t>
            </w:r>
          </w:p>
        </w:tc>
      </w:tr>
    </w:tbl>
    <w:p w:rsidR="00000000" w:rsidRPr="00EC7B49" w:rsidP="00EC7B49">
      <w:pPr>
        <w:pStyle w:val="BodyText"/>
      </w:pPr>
    </w:p>
    <w:p w:rsidR="00000000" w:rsidRPr="00EC7B49" w:rsidP="00EC7B49">
      <w:pPr>
        <w:pStyle w:val="AllowPageBreak"/>
      </w:pPr>
    </w:p>
    <w:p w:rsidR="00000000" w:rsidRPr="00EC7B49" w:rsidP="00EC7B49">
      <w:pPr>
        <w:pStyle w:val="Heading1"/>
      </w:pPr>
      <w:bookmarkStart w:id="8" w:name="O_596993"/>
      <w:bookmarkEnd w:id="8"/>
      <w:r w:rsidRPr="00EC7B49">
        <w:t>Range of Conditions</w:t>
      </w:r>
    </w:p>
    <w:tbl>
      <w:tblPr>
        <w:tblW w:w="9356" w:type="dxa"/>
        <w:tblLayout w:type="fixed"/>
        <w:tblCellMar>
          <w:left w:w="62" w:type="dxa"/>
          <w:right w:w="62" w:type="dxa"/>
        </w:tblCellMar>
        <w:tblLook w:val="0000"/>
      </w:tblPr>
      <w:tblGrid>
        <w:gridCol w:w="2694"/>
        <w:gridCol w:w="6662"/>
      </w:tblGrid>
      <w:tr w:rsidTr="00AD0F16">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EC7B49" w:rsidP="00EC7B49">
            <w:pPr>
              <w:pStyle w:val="BodyText"/>
            </w:pPr>
            <w:r w:rsidRPr="00EC7B49">
              <w:t>Specifies different work environments and conditions that may affect performance. Essential operating conditions that may be present (depending on the work situation, needs of the candidate, accessibility of the item, an</w:t>
            </w:r>
            <w:r w:rsidRPr="00EC7B49">
              <w:t>d local industry and regional contexts) are included.</w:t>
            </w:r>
          </w:p>
          <w:p w:rsidR="00000000" w:rsidRPr="00EC7B49" w:rsidP="00EC7B49">
            <w:pPr>
              <w:pStyle w:val="BodyText"/>
            </w:pPr>
          </w:p>
          <w:p w:rsidR="00000000" w:rsidP="00EC7B49">
            <w:pPr>
              <w:pStyle w:val="BodyText"/>
              <w:rPr>
                <w:lang w:val="en-NZ"/>
              </w:rPr>
            </w:pPr>
            <w:r w:rsidRPr="00EC7B49">
              <w:t>Range is restricted to essential operating conditions and any other variables essential to the work environment.</w:t>
            </w: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Personal protective clothing and equipment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EC7B49" w:rsidP="00EC7B49">
            <w:pPr>
              <w:pStyle w:val="ListBullet"/>
            </w:pPr>
            <w:r w:rsidRPr="00EC7B49">
              <w:t>boot</w:t>
            </w:r>
            <w:r w:rsidRPr="00EC7B49">
              <w:t>s</w:t>
            </w:r>
          </w:p>
          <w:p w:rsidR="00000000" w:rsidRPr="00EC7B49" w:rsidP="00EC7B49">
            <w:pPr>
              <w:pStyle w:val="ListBullet"/>
            </w:pPr>
            <w:r w:rsidRPr="00EC7B49">
              <w:t>gloves</w:t>
            </w:r>
          </w:p>
          <w:p w:rsidR="00000000" w:rsidRPr="00EC7B49" w:rsidP="00EC7B49">
            <w:pPr>
              <w:pStyle w:val="ListBullet"/>
            </w:pPr>
            <w:r w:rsidRPr="00EC7B49">
              <w:t>hard hat</w:t>
            </w:r>
          </w:p>
          <w:p w:rsidR="00000000" w:rsidRPr="00EC7B49" w:rsidP="00EC7B49">
            <w:pPr>
              <w:pStyle w:val="ListBullet"/>
            </w:pPr>
            <w:r w:rsidRPr="00EC7B49">
              <w:t>hearing protection</w:t>
            </w:r>
          </w:p>
          <w:p w:rsidR="00000000" w:rsidRPr="00EC7B49" w:rsidP="00EC7B49">
            <w:pPr>
              <w:pStyle w:val="ListBullet"/>
            </w:pPr>
            <w:r w:rsidRPr="00EC7B49">
              <w:t xml:space="preserve">overalls </w:t>
            </w:r>
          </w:p>
          <w:p w:rsidR="00000000" w:rsidRPr="00EC7B49" w:rsidP="00EC7B49">
            <w:pPr>
              <w:pStyle w:val="ListBullet"/>
            </w:pPr>
            <w:r w:rsidRPr="00EC7B49">
              <w:t>protective eyewear</w:t>
            </w:r>
          </w:p>
          <w:p w:rsidR="00000000" w:rsidP="00EC7B49">
            <w:pPr>
              <w:pStyle w:val="ListBullet"/>
              <w:rPr>
                <w:lang w:val="en-NZ"/>
              </w:rPr>
            </w:pPr>
            <w:r w:rsidRPr="00EC7B49">
              <w:t>respirator or facemask</w:t>
            </w: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 xml:space="preserve">Pre-operational checks include one or more of the following: </w:t>
            </w:r>
          </w:p>
        </w:tc>
        <w:tc>
          <w:tcPr>
            <w:tcW w:w="6662" w:type="dxa"/>
            <w:tcBorders>
              <w:top w:val="nil"/>
              <w:left w:val="nil"/>
              <w:bottom w:val="nil"/>
              <w:right w:val="nil"/>
            </w:tcBorders>
            <w:tcMar>
              <w:top w:w="0" w:type="dxa"/>
              <w:left w:w="62" w:type="dxa"/>
              <w:bottom w:w="0" w:type="dxa"/>
              <w:right w:w="62" w:type="dxa"/>
            </w:tcMar>
          </w:tcPr>
          <w:p w:rsidR="00000000" w:rsidRPr="00EC7B49" w:rsidP="00EC7B49">
            <w:pPr>
              <w:pStyle w:val="ListBullet"/>
            </w:pPr>
            <w:r w:rsidRPr="00EC7B49">
              <w:t>checking and confirming equipment calibration settings</w:t>
            </w:r>
          </w:p>
          <w:p w:rsidR="00000000" w:rsidRPr="00EC7B49" w:rsidP="00EC7B49">
            <w:pPr>
              <w:pStyle w:val="ListBullet"/>
            </w:pPr>
            <w:r w:rsidRPr="00EC7B49">
              <w:t>inspecting safety guards, power take off stubs and shafts</w:t>
            </w:r>
          </w:p>
          <w:p w:rsidR="00000000" w:rsidRPr="00EC7B49" w:rsidP="00EC7B49">
            <w:pPr>
              <w:pStyle w:val="ListBullet"/>
            </w:pPr>
            <w:r w:rsidRPr="00EC7B49">
              <w:t xml:space="preserve">observing and monitoring noise levels for correct operation </w:t>
            </w:r>
          </w:p>
          <w:p w:rsidR="00000000" w:rsidRPr="00EC7B49" w:rsidP="00EC7B49">
            <w:pPr>
              <w:pStyle w:val="ListBullet"/>
            </w:pPr>
            <w:r w:rsidRPr="00EC7B49">
              <w:t>pre-start and safety checks including:</w:t>
            </w:r>
          </w:p>
          <w:p w:rsidR="00000000" w:rsidRPr="00EC7B49" w:rsidP="00EC7B49">
            <w:pPr>
              <w:pStyle w:val="ListBullet2"/>
            </w:pPr>
            <w:r w:rsidRPr="00EC7B49">
              <w:t>oils and lubricants</w:t>
            </w:r>
          </w:p>
          <w:p w:rsidR="00000000" w:rsidRPr="00EC7B49" w:rsidP="00EC7B49">
            <w:pPr>
              <w:pStyle w:val="ListBullet2"/>
            </w:pPr>
            <w:r w:rsidRPr="00EC7B49">
              <w:t>fuel systems</w:t>
            </w:r>
          </w:p>
          <w:p w:rsidR="00000000" w:rsidRPr="00EC7B49" w:rsidP="00EC7B49">
            <w:pPr>
              <w:pStyle w:val="ListBullet2"/>
            </w:pPr>
            <w:r w:rsidRPr="00EC7B49">
              <w:t>leads</w:t>
            </w:r>
          </w:p>
          <w:p w:rsidR="00000000" w:rsidRPr="00EC7B49" w:rsidP="00EC7B49">
            <w:pPr>
              <w:pStyle w:val="ListBullet2"/>
            </w:pPr>
            <w:r w:rsidRPr="00EC7B49">
              <w:t>lines</w:t>
            </w:r>
          </w:p>
          <w:p w:rsidR="00000000" w:rsidP="00EC7B49">
            <w:pPr>
              <w:pStyle w:val="ListBullet2"/>
              <w:rPr>
                <w:lang w:val="en-NZ"/>
              </w:rPr>
            </w:pPr>
            <w:r w:rsidRPr="00EC7B49">
              <w:t>connections</w:t>
            </w: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Equipment must include:</w:t>
            </w:r>
          </w:p>
        </w:tc>
        <w:tc>
          <w:tcPr>
            <w:tcW w:w="6662" w:type="dxa"/>
            <w:tcBorders>
              <w:top w:val="nil"/>
              <w:left w:val="nil"/>
              <w:bottom w:val="nil"/>
              <w:right w:val="nil"/>
            </w:tcBorders>
            <w:tcMar>
              <w:top w:w="0" w:type="dxa"/>
              <w:left w:w="62" w:type="dxa"/>
              <w:bottom w:w="0" w:type="dxa"/>
              <w:right w:w="62" w:type="dxa"/>
            </w:tcMar>
          </w:tcPr>
          <w:p w:rsidR="00000000" w:rsidRPr="00EC7B49" w:rsidP="00EC7B49">
            <w:pPr>
              <w:pStyle w:val="ListBullet"/>
            </w:pPr>
            <w:r w:rsidRPr="00EC7B49">
              <w:t>auxiliary equipment</w:t>
            </w:r>
          </w:p>
          <w:p w:rsidR="00000000" w:rsidRPr="00EC7B49" w:rsidP="00EC7B49">
            <w:pPr>
              <w:pStyle w:val="ListBullet"/>
            </w:pPr>
            <w:r w:rsidRPr="00EC7B49">
              <w:t>bilge systems</w:t>
            </w:r>
          </w:p>
          <w:p w:rsidR="00000000" w:rsidRPr="00EC7B49" w:rsidP="00EC7B49">
            <w:pPr>
              <w:pStyle w:val="ListBullet"/>
            </w:pPr>
            <w:r w:rsidRPr="00EC7B49">
              <w:t>cooling, lubricating and fuel systems</w:t>
            </w:r>
          </w:p>
          <w:p w:rsidR="00000000" w:rsidRPr="00EC7B49" w:rsidP="00EC7B49">
            <w:pPr>
              <w:pStyle w:val="ListBullet"/>
            </w:pPr>
            <w:r w:rsidRPr="00EC7B49">
              <w:t>drive train assembly</w:t>
            </w:r>
          </w:p>
          <w:p w:rsidR="00000000" w:rsidRPr="00EC7B49" w:rsidP="00EC7B49">
            <w:pPr>
              <w:pStyle w:val="ListBullet"/>
            </w:pPr>
            <w:r w:rsidRPr="00EC7B49">
              <w:t>fire pumping arrangements</w:t>
            </w:r>
          </w:p>
          <w:p w:rsidR="00000000" w:rsidRPr="00EC7B49" w:rsidP="00EC7B49">
            <w:pPr>
              <w:pStyle w:val="ListBullet"/>
            </w:pPr>
            <w:r w:rsidRPr="00EC7B49">
              <w:t>low voltage electrical systems</w:t>
            </w:r>
          </w:p>
          <w:p w:rsidR="00000000" w:rsidRPr="00EC7B49" w:rsidP="00EC7B49">
            <w:pPr>
              <w:pStyle w:val="ListBullet"/>
            </w:pPr>
            <w:r w:rsidRPr="00EC7B49">
              <w:t>monitoring machinery</w:t>
            </w:r>
          </w:p>
          <w:p w:rsidR="00000000" w:rsidRPr="00EC7B49" w:rsidP="00EC7B49">
            <w:pPr>
              <w:pStyle w:val="ListBullet"/>
            </w:pPr>
            <w:r w:rsidRPr="00EC7B49">
              <w:t>petrol, diesel and outboard engines</w:t>
            </w:r>
          </w:p>
          <w:p w:rsidR="00000000" w:rsidRPr="00EC7B49" w:rsidP="00EC7B49">
            <w:pPr>
              <w:pStyle w:val="ListBullet"/>
            </w:pPr>
            <w:r w:rsidRPr="00EC7B49">
              <w:t>shore power leads and connections</w:t>
            </w:r>
          </w:p>
          <w:p w:rsidR="00000000" w:rsidRPr="00EC7B49" w:rsidP="00EC7B49">
            <w:pPr>
              <w:pStyle w:val="ListBullet"/>
            </w:pPr>
            <w:r w:rsidRPr="00EC7B49">
              <w:t>steering gear</w:t>
            </w:r>
          </w:p>
          <w:p w:rsidR="00000000" w:rsidP="00EC7B49">
            <w:pPr>
              <w:pStyle w:val="ListBullet"/>
              <w:rPr>
                <w:lang w:val="en-NZ"/>
              </w:rPr>
            </w:pPr>
            <w:r w:rsidRPr="00EC7B49">
              <w:t>t</w:t>
            </w:r>
            <w:r w:rsidRPr="00EC7B49">
              <w:t>wo- and four-stroke engines</w:t>
            </w: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Safe and controlled manner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EC7B49" w:rsidP="00EC7B49">
            <w:pPr>
              <w:pStyle w:val="ListBullet"/>
            </w:pPr>
            <w:r w:rsidRPr="00EC7B49">
              <w:t>appropriate selection and use of machinery and equipment</w:t>
            </w:r>
          </w:p>
          <w:p w:rsidR="00000000" w:rsidRPr="00EC7B49" w:rsidP="00EC7B49">
            <w:pPr>
              <w:pStyle w:val="ListBullet"/>
            </w:pPr>
            <w:r w:rsidRPr="00EC7B49">
              <w:t>maintaining workloads within specifications</w:t>
            </w:r>
          </w:p>
          <w:p w:rsidR="00000000" w:rsidP="00EC7B49">
            <w:pPr>
              <w:pStyle w:val="ListBullet"/>
              <w:rPr>
                <w:lang w:val="en-NZ"/>
              </w:rPr>
            </w:pPr>
            <w:r w:rsidRPr="00EC7B49">
              <w:t>using operational techniques for the specific location and weather conditions</w:t>
            </w: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p>
        </w:tc>
      </w:tr>
      <w:tr w:rsidTr="00AD0F16">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7B49">
            <w:pPr>
              <w:pStyle w:val="BodyText"/>
              <w:rPr>
                <w:lang w:val="en-NZ"/>
              </w:rPr>
            </w:pPr>
            <w:r w:rsidRPr="00EC7B49">
              <w:t>Environmental implications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EC7B49" w:rsidP="00EC7B49">
            <w:pPr>
              <w:pStyle w:val="ListBullet"/>
            </w:pPr>
            <w:r w:rsidRPr="00EC7B49">
              <w:t>excessive noise and exhaust emissions</w:t>
            </w:r>
          </w:p>
          <w:p w:rsidR="00000000" w:rsidRPr="00EC7B49" w:rsidP="00EC7B49">
            <w:pPr>
              <w:pStyle w:val="ListBullet"/>
            </w:pPr>
            <w:r w:rsidRPr="00EC7B49">
              <w:t>incorrect use of maintenance debris for example oils, containers, chemical residues</w:t>
            </w:r>
          </w:p>
          <w:p w:rsidR="00000000" w:rsidRPr="00EC7B49" w:rsidP="00EC7B49">
            <w:pPr>
              <w:pStyle w:val="ListBullet"/>
            </w:pPr>
            <w:r w:rsidRPr="00EC7B49">
              <w:t>hazardous substances</w:t>
            </w:r>
          </w:p>
        </w:tc>
      </w:tr>
    </w:tbl>
    <w:p w:rsidR="00000000" w:rsidRPr="00EC7B49" w:rsidP="00EC7B49">
      <w:pPr>
        <w:pStyle w:val="BodyText"/>
      </w:pPr>
    </w:p>
    <w:p w:rsidR="00000000" w:rsidRPr="00EC7B49" w:rsidP="00EC7B49">
      <w:pPr>
        <w:pStyle w:val="AllowPageBreak"/>
      </w:pPr>
    </w:p>
    <w:p w:rsidR="00000000" w:rsidRPr="00EC7B49" w:rsidP="00EC7B49">
      <w:pPr>
        <w:pStyle w:val="Heading1"/>
      </w:pPr>
      <w:bookmarkStart w:id="9" w:name="O_596994"/>
      <w:bookmarkEnd w:id="9"/>
      <w:r w:rsidRPr="00EC7B49">
        <w:t>Unit Mapping Information</w:t>
      </w:r>
    </w:p>
    <w:p w:rsidR="00000000" w:rsidRPr="00EC7B49" w:rsidP="00EC7B49">
      <w:pPr>
        <w:pStyle w:val="BodyText"/>
      </w:pPr>
      <w:r w:rsidRPr="00EC7B49">
        <w:t>This is a new unit. This unit is equivalent to MARC2006A Operate main propulsion unit and auxiliary systems</w:t>
      </w:r>
      <w:r w:rsidRPr="00EC7B49">
        <w:t>.</w:t>
      </w:r>
    </w:p>
    <w:p w:rsidR="00000000" w:rsidRPr="00EC7B49" w:rsidP="00EC7B49">
      <w:pPr>
        <w:pStyle w:val="AllowPageBreak"/>
      </w:pPr>
    </w:p>
    <w:p w:rsidR="00000000" w:rsidRPr="00EC7B49" w:rsidP="00EC7B49">
      <w:pPr>
        <w:pStyle w:val="Heading1"/>
      </w:pPr>
      <w:bookmarkStart w:id="10" w:name="O_597001"/>
      <w:bookmarkEnd w:id="10"/>
      <w:r w:rsidRPr="00EC7B49">
        <w:t>Links</w:t>
      </w:r>
    </w:p>
    <w:p w:rsidR="00000000" w:rsidRPr="00EC7B49" w:rsidP="00EC7B49">
      <w:pPr>
        <w:pStyle w:val="BodyText"/>
      </w:pPr>
      <w:r w:rsidRPr="00EC7B49">
        <w:t>MAR Maritime Training Package Companion Volume Implementation Guide at: - http://companion_volumes.vetnet.education.gov.au/Pages/TrainingPackage.aspx?pid=22</w:t>
      </w:r>
    </w:p>
    <w:p w:rsidR="00000000" w:rsidRPr="00EC7B49" w:rsidP="00EC7B49"/>
    <w:sectPr w:rsidSect="00EC7B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49" w:rsidRPr="00AD0F16" w:rsidP="00AD0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16" w:rsidP="00EC7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D0F16" w:rsidP="00EC7B4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0F16" w:rsidP="00EC7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49" w:rsidRPr="00AD0F16" w:rsidP="00AD0F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16" w:rsidRPr="002D2AF8" w:rsidP="00EC7B49">
    <w:pPr>
      <w:pStyle w:val="Header"/>
      <w:framePr w:wrap="around"/>
    </w:pPr>
    <w:r>
      <w:fldChar w:fldCharType="begin"/>
    </w:r>
    <w:r>
      <w:instrText xml:space="preserve"> TITLE   \* MERGEFORMAT </w:instrText>
    </w:r>
    <w:r>
      <w:fldChar w:fldCharType="separate"/>
    </w:r>
    <w:r>
      <w:t>MARC006 Operate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AD0F16" w:rsidP="00EC7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E7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03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947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B49"/>
    <w:pPr>
      <w:spacing w:before="360" w:after="60"/>
      <w:outlineLvl w:val="0"/>
    </w:pPr>
    <w:rPr>
      <w:sz w:val="32"/>
    </w:rPr>
  </w:style>
  <w:style w:type="paragraph" w:styleId="Heading2">
    <w:name w:val="heading 2"/>
    <w:basedOn w:val="HeadingBase"/>
    <w:next w:val="BodyText"/>
    <w:link w:val="Heading2Char"/>
    <w:qFormat/>
    <w:rsid w:val="00EC7B49"/>
    <w:pPr>
      <w:keepLines/>
      <w:spacing w:before="240" w:after="120"/>
      <w:outlineLvl w:val="1"/>
    </w:pPr>
    <w:rPr>
      <w:sz w:val="28"/>
      <w:szCs w:val="40"/>
    </w:rPr>
  </w:style>
  <w:style w:type="paragraph" w:styleId="Heading3">
    <w:name w:val="heading 3"/>
    <w:basedOn w:val="HeadingBase"/>
    <w:next w:val="BodyText"/>
    <w:link w:val="Heading3Char"/>
    <w:qFormat/>
    <w:rsid w:val="00EC7B49"/>
    <w:pPr>
      <w:spacing w:before="180" w:after="120"/>
      <w:outlineLvl w:val="2"/>
    </w:pPr>
    <w:rPr>
      <w:spacing w:val="-10"/>
      <w:kern w:val="32"/>
    </w:rPr>
  </w:style>
  <w:style w:type="paragraph" w:styleId="Heading4">
    <w:name w:val="heading 4"/>
    <w:basedOn w:val="HeadingBase"/>
    <w:next w:val="BodyText"/>
    <w:link w:val="Heading4Char"/>
    <w:qFormat/>
    <w:rsid w:val="00EC7B49"/>
    <w:pPr>
      <w:spacing w:before="160" w:after="120"/>
      <w:outlineLvl w:val="3"/>
    </w:pPr>
    <w:rPr>
      <w:sz w:val="22"/>
    </w:rPr>
  </w:style>
  <w:style w:type="paragraph" w:styleId="Heading5">
    <w:name w:val="heading 5"/>
    <w:basedOn w:val="HeadingBase"/>
    <w:next w:val="Normal"/>
    <w:link w:val="Heading5Char"/>
    <w:qFormat/>
    <w:rsid w:val="00EC7B49"/>
    <w:pPr>
      <w:spacing w:before="80"/>
      <w:outlineLvl w:val="4"/>
    </w:pPr>
    <w:rPr>
      <w:color w:val="918585"/>
      <w:sz w:val="20"/>
    </w:rPr>
  </w:style>
  <w:style w:type="paragraph" w:styleId="Heading6">
    <w:name w:val="heading 6"/>
    <w:basedOn w:val="HeadingBase"/>
    <w:next w:val="Normal"/>
    <w:link w:val="Heading6Char"/>
    <w:qFormat/>
    <w:rsid w:val="00EC7B49"/>
    <w:pPr>
      <w:spacing w:before="60"/>
      <w:outlineLvl w:val="5"/>
    </w:pPr>
    <w:rPr>
      <w:color w:val="918585"/>
      <w:sz w:val="20"/>
    </w:rPr>
  </w:style>
  <w:style w:type="paragraph" w:styleId="Heading7">
    <w:name w:val="heading 7"/>
    <w:basedOn w:val="Normal"/>
    <w:next w:val="Normal"/>
    <w:link w:val="Heading7Char"/>
    <w:qFormat/>
    <w:rsid w:val="00EC7B49"/>
    <w:pPr>
      <w:ind w:left="720"/>
      <w:outlineLvl w:val="6"/>
    </w:pPr>
    <w:rPr>
      <w:i/>
    </w:rPr>
  </w:style>
  <w:style w:type="paragraph" w:styleId="Heading8">
    <w:name w:val="heading 8"/>
    <w:basedOn w:val="Normal"/>
    <w:next w:val="Normal"/>
    <w:link w:val="Heading8Char"/>
    <w:qFormat/>
    <w:rsid w:val="00EC7B49"/>
    <w:pPr>
      <w:ind w:left="720"/>
      <w:outlineLvl w:val="7"/>
    </w:pPr>
    <w:rPr>
      <w:i/>
    </w:rPr>
  </w:style>
  <w:style w:type="paragraph" w:styleId="Heading9">
    <w:name w:val="heading 9"/>
    <w:basedOn w:val="Normal"/>
    <w:next w:val="Normal"/>
    <w:link w:val="Heading9Char"/>
    <w:qFormat/>
    <w:rsid w:val="00EC7B49"/>
    <w:pPr>
      <w:ind w:left="720"/>
      <w:outlineLvl w:val="8"/>
    </w:pPr>
    <w:rPr>
      <w:i/>
    </w:rPr>
  </w:style>
  <w:style w:type="character" w:default="1" w:styleId="DefaultParagraphFont">
    <w:name w:val="Default Paragraph Font"/>
    <w:uiPriority w:val="1"/>
    <w:unhideWhenUsed/>
    <w:rsid w:val="00EC7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B49"/>
  </w:style>
  <w:style w:type="character" w:customStyle="1" w:styleId="Heading1Char">
    <w:name w:val="Heading 1 Char"/>
    <w:basedOn w:val="DefaultParagraphFont"/>
    <w:link w:val="Heading1"/>
    <w:rsid w:val="00EC7B49"/>
    <w:rPr>
      <w:rFonts w:ascii="Times New Roman" w:eastAsia="Times New Roman" w:hAnsi="Times New Roman" w:cs="Times New Roman"/>
      <w:b/>
      <w:sz w:val="32"/>
      <w:szCs w:val="20"/>
      <w:lang w:eastAsia="en-US"/>
    </w:rPr>
  </w:style>
  <w:style w:type="paragraph" w:styleId="BodyText">
    <w:name w:val="Body Text"/>
    <w:basedOn w:val="Normal"/>
    <w:link w:val="BodyTextChar"/>
    <w:rsid w:val="00EC7B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B49"/>
    <w:rPr>
      <w:rFonts w:ascii="Times New Roman" w:eastAsia="Times New Roman" w:hAnsi="Times New Roman" w:cs="Times New Roman"/>
      <w:sz w:val="24"/>
      <w:lang w:eastAsia="en-US"/>
    </w:rPr>
  </w:style>
  <w:style w:type="paragraph" w:styleId="ListBullet">
    <w:name w:val="List Bullet"/>
    <w:basedOn w:val="List"/>
    <w:rsid w:val="00EC7B49"/>
    <w:pPr>
      <w:numPr>
        <w:numId w:val="13"/>
      </w:numPr>
      <w:tabs>
        <w:tab w:val="clear" w:pos="340"/>
      </w:tabs>
      <w:spacing w:before="40" w:after="40"/>
    </w:pPr>
  </w:style>
  <w:style w:type="character" w:customStyle="1" w:styleId="SpecialBold">
    <w:name w:val="Special Bold"/>
    <w:basedOn w:val="DefaultParagraphFont"/>
    <w:rsid w:val="00EC7B49"/>
    <w:rPr>
      <w:b/>
      <w:spacing w:val="0"/>
    </w:rPr>
  </w:style>
  <w:style w:type="paragraph" w:styleId="ListBullet2">
    <w:name w:val="List Bullet 2"/>
    <w:basedOn w:val="List2"/>
    <w:rsid w:val="00EC7B49"/>
    <w:pPr>
      <w:numPr>
        <w:numId w:val="14"/>
      </w:numPr>
      <w:tabs>
        <w:tab w:val="clear" w:pos="680"/>
      </w:tabs>
    </w:pPr>
  </w:style>
  <w:style w:type="paragraph" w:customStyle="1" w:styleId="SuperHeading">
    <w:name w:val="SuperHeading"/>
    <w:basedOn w:val="Normal"/>
    <w:rsid w:val="00EC7B49"/>
    <w:pPr>
      <w:spacing w:before="240" w:after="120"/>
      <w:outlineLvl w:val="0"/>
    </w:pPr>
    <w:rPr>
      <w:rFonts w:ascii="Times New Roman" w:hAnsi="Times New Roman"/>
      <w:b/>
      <w:sz w:val="32"/>
    </w:rPr>
  </w:style>
  <w:style w:type="paragraph" w:customStyle="1" w:styleId="AllowPageBreak">
    <w:name w:val="AllowPageBreak"/>
    <w:rsid w:val="00EC7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B49"/>
    <w:rPr>
      <w:rFonts w:ascii="Courier New" w:eastAsia="Times New Roman" w:hAnsi="Courier New" w:cs="Times New Roman"/>
      <w:i/>
      <w:szCs w:val="20"/>
      <w:lang w:eastAsia="en-US"/>
    </w:rPr>
  </w:style>
  <w:style w:type="paragraph" w:customStyle="1" w:styleId="HeadingBase">
    <w:name w:val="Heading Base"/>
    <w:rsid w:val="00EC7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B49"/>
    <w:pPr>
      <w:tabs>
        <w:tab w:val="right" w:leader="dot" w:pos="9072"/>
      </w:tabs>
      <w:ind w:left="567"/>
    </w:pPr>
    <w:rPr>
      <w:szCs w:val="22"/>
    </w:rPr>
  </w:style>
  <w:style w:type="paragraph" w:customStyle="1" w:styleId="TOCBase">
    <w:name w:val="TOC Base"/>
    <w:rsid w:val="00EC7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B49"/>
    <w:pPr>
      <w:tabs>
        <w:tab w:val="right" w:leader="dot" w:pos="9072"/>
      </w:tabs>
      <w:spacing w:before="40" w:after="40"/>
      <w:ind w:left="284"/>
    </w:pPr>
    <w:rPr>
      <w:rFonts w:ascii="Times New Roman" w:hAnsi="Times New Roman"/>
    </w:rPr>
  </w:style>
  <w:style w:type="paragraph" w:styleId="TOC1">
    <w:name w:val="toc 1"/>
    <w:basedOn w:val="TOCBase"/>
    <w:next w:val="Normal"/>
    <w:rsid w:val="00EC7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B49"/>
    <w:rPr>
      <w:rFonts w:ascii="Times New Roman" w:eastAsia="Times New Roman" w:hAnsi="Times New Roman" w:cs="Times New Roman"/>
      <w:sz w:val="16"/>
      <w:lang w:eastAsia="en-US"/>
    </w:rPr>
  </w:style>
  <w:style w:type="paragraph" w:styleId="Title">
    <w:name w:val="Title"/>
    <w:basedOn w:val="HeadingBase"/>
    <w:link w:val="TitleChar"/>
    <w:qFormat/>
    <w:rsid w:val="00EC7B49"/>
    <w:pPr>
      <w:spacing w:before="5040"/>
      <w:jc w:val="center"/>
    </w:pPr>
    <w:rPr>
      <w:sz w:val="48"/>
      <w:szCs w:val="72"/>
      <w:lang w:val="en-US"/>
    </w:rPr>
  </w:style>
  <w:style w:type="character" w:customStyle="1" w:styleId="TitleChar">
    <w:name w:val="Title Char"/>
    <w:basedOn w:val="DefaultParagraphFont"/>
    <w:link w:val="Title"/>
    <w:rsid w:val="00EC7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B49"/>
    <w:pPr>
      <w:tabs>
        <w:tab w:val="left" w:pos="3600"/>
        <w:tab w:val="left" w:pos="3958"/>
      </w:tabs>
    </w:pPr>
  </w:style>
  <w:style w:type="paragraph" w:styleId="List">
    <w:name w:val="List"/>
    <w:basedOn w:val="BodyText"/>
    <w:next w:val="BodyText"/>
    <w:rsid w:val="00EC7B49"/>
    <w:pPr>
      <w:tabs>
        <w:tab w:val="left" w:pos="340"/>
      </w:tabs>
      <w:spacing w:before="60" w:after="60"/>
      <w:ind w:left="340" w:hanging="340"/>
    </w:pPr>
  </w:style>
  <w:style w:type="paragraph" w:customStyle="1" w:styleId="Note">
    <w:name w:val="Note"/>
    <w:basedOn w:val="BodyText"/>
    <w:rsid w:val="00EC7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B49"/>
    <w:pPr>
      <w:framePr w:wrap="auto" w:hAnchor="text" w:y="6049"/>
    </w:pPr>
    <w:rPr>
      <w:color w:val="000000"/>
      <w:sz w:val="40"/>
    </w:rPr>
  </w:style>
  <w:style w:type="paragraph" w:customStyle="1" w:styleId="TOCTitle">
    <w:name w:val="TOCTitle"/>
    <w:basedOn w:val="Heading1"/>
    <w:rsid w:val="00EC7B49"/>
    <w:pPr>
      <w:spacing w:after="240"/>
      <w:jc w:val="center"/>
      <w:outlineLvl w:val="9"/>
    </w:pPr>
    <w:rPr>
      <w:caps/>
    </w:rPr>
  </w:style>
  <w:style w:type="paragraph" w:customStyle="1" w:styleId="Version">
    <w:name w:val="Version"/>
    <w:rsid w:val="00EC7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B49"/>
    <w:pPr>
      <w:keepNext w:val="0"/>
      <w:tabs>
        <w:tab w:val="right" w:pos="4176"/>
      </w:tabs>
      <w:ind w:left="198" w:hanging="198"/>
    </w:pPr>
    <w:rPr>
      <w:rFonts w:ascii="Garamond" w:hAnsi="Garamond"/>
    </w:rPr>
  </w:style>
  <w:style w:type="paragraph" w:styleId="IndexHeading">
    <w:name w:val="index heading"/>
    <w:basedOn w:val="Normal"/>
    <w:next w:val="Index1"/>
    <w:semiHidden/>
    <w:rsid w:val="00EC7B49"/>
    <w:pPr>
      <w:spacing w:before="120" w:after="120"/>
    </w:pPr>
    <w:rPr>
      <w:rFonts w:ascii="Arial" w:hAnsi="Arial"/>
      <w:b/>
      <w:color w:val="918585"/>
      <w:sz w:val="24"/>
    </w:rPr>
  </w:style>
  <w:style w:type="paragraph" w:styleId="Header">
    <w:name w:val="header"/>
    <w:basedOn w:val="Normal"/>
    <w:link w:val="HeaderChar"/>
    <w:rsid w:val="00EC7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B49"/>
    <w:rPr>
      <w:rFonts w:ascii="Times New Roman" w:eastAsia="Times New Roman" w:hAnsi="Times New Roman" w:cs="Times New Roman"/>
      <w:sz w:val="16"/>
      <w:szCs w:val="20"/>
      <w:lang w:val="en-GB" w:eastAsia="en-US"/>
    </w:rPr>
  </w:style>
  <w:style w:type="paragraph" w:customStyle="1" w:styleId="Chapter">
    <w:name w:val="Chapter"/>
    <w:basedOn w:val="Normal"/>
    <w:rsid w:val="00EC7B49"/>
    <w:pPr>
      <w:spacing w:before="240"/>
    </w:pPr>
    <w:rPr>
      <w:rFonts w:ascii="Times New Roman" w:hAnsi="Times New Roman"/>
      <w:smallCaps/>
      <w:spacing w:val="80"/>
      <w:sz w:val="28"/>
    </w:rPr>
  </w:style>
  <w:style w:type="paragraph" w:customStyle="1" w:styleId="InChapter">
    <w:name w:val="InChapter"/>
    <w:basedOn w:val="Heading3"/>
    <w:rsid w:val="00EC7B49"/>
    <w:pPr>
      <w:spacing w:after="240"/>
      <w:outlineLvl w:val="9"/>
    </w:pPr>
    <w:rPr>
      <w:noProof/>
    </w:rPr>
  </w:style>
  <w:style w:type="paragraph" w:styleId="Index2">
    <w:name w:val="index 2"/>
    <w:basedOn w:val="Normal"/>
    <w:next w:val="Normal"/>
    <w:semiHidden/>
    <w:rsid w:val="00EC7B49"/>
    <w:pPr>
      <w:tabs>
        <w:tab w:val="right" w:pos="4176"/>
      </w:tabs>
      <w:ind w:left="568" w:hanging="284"/>
    </w:pPr>
    <w:rPr>
      <w:rFonts w:ascii="Garamond" w:hAnsi="Garamond"/>
    </w:rPr>
  </w:style>
  <w:style w:type="paragraph" w:customStyle="1" w:styleId="Byline">
    <w:name w:val="Byline"/>
    <w:rsid w:val="00EC7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B49"/>
    <w:pPr>
      <w:tabs>
        <w:tab w:val="clear" w:pos="3600"/>
        <w:tab w:val="clear" w:pos="3958"/>
      </w:tabs>
      <w:jc w:val="right"/>
    </w:pPr>
  </w:style>
  <w:style w:type="character" w:styleId="Emphasis">
    <w:name w:val="Emphasis"/>
    <w:basedOn w:val="DefaultParagraphFont"/>
    <w:qFormat/>
    <w:rsid w:val="00EC7B49"/>
    <w:rPr>
      <w:i/>
    </w:rPr>
  </w:style>
  <w:style w:type="paragraph" w:styleId="Caption">
    <w:name w:val="caption"/>
    <w:basedOn w:val="BodyText"/>
    <w:next w:val="Normal"/>
    <w:qFormat/>
    <w:rsid w:val="00EC7B49"/>
    <w:pPr>
      <w:framePr w:w="2268" w:hSpace="181" w:vSpace="181" w:wrap="around" w:vAnchor="text" w:hAnchor="page" w:x="1135" w:y="285" w:anchorLock="1"/>
    </w:pPr>
    <w:rPr>
      <w:i/>
    </w:rPr>
  </w:style>
  <w:style w:type="paragraph" w:customStyle="1" w:styleId="MiniTOCTitle">
    <w:name w:val="MiniTOCTitle"/>
    <w:basedOn w:val="Heading4"/>
    <w:rsid w:val="00EC7B49"/>
    <w:pPr>
      <w:spacing w:before="240"/>
      <w:outlineLvl w:val="9"/>
    </w:pPr>
    <w:rPr>
      <w:noProof/>
      <w:sz w:val="24"/>
    </w:rPr>
  </w:style>
  <w:style w:type="paragraph" w:customStyle="1" w:styleId="MiniTOCItem">
    <w:name w:val="MiniTOCItem"/>
    <w:basedOn w:val="ListBullet"/>
    <w:rsid w:val="00EC7B49"/>
    <w:pPr>
      <w:numPr>
        <w:numId w:val="0"/>
      </w:numPr>
      <w:tabs>
        <w:tab w:val="right" w:leader="dot" w:pos="6521"/>
      </w:tabs>
      <w:spacing w:before="0" w:after="0"/>
    </w:pPr>
  </w:style>
  <w:style w:type="paragraph" w:customStyle="1" w:styleId="TOFTitle">
    <w:name w:val="TOFTitle"/>
    <w:basedOn w:val="TOCTitle"/>
    <w:rsid w:val="00EC7B49"/>
  </w:style>
  <w:style w:type="paragraph" w:styleId="TableofFigures">
    <w:name w:val="table of figures"/>
    <w:basedOn w:val="Normal"/>
    <w:next w:val="Normal"/>
    <w:semiHidden/>
    <w:rsid w:val="00EC7B49"/>
    <w:pPr>
      <w:tabs>
        <w:tab w:val="right" w:leader="dot" w:pos="9072"/>
      </w:tabs>
      <w:ind w:left="970" w:hanging="403"/>
    </w:pPr>
    <w:rPr>
      <w:rFonts w:ascii="Times New Roman" w:hAnsi="Times New Roman"/>
      <w:b/>
    </w:rPr>
  </w:style>
  <w:style w:type="paragraph" w:styleId="ListNumber">
    <w:name w:val="List Number"/>
    <w:basedOn w:val="List"/>
    <w:rsid w:val="00EC7B49"/>
    <w:pPr>
      <w:numPr>
        <w:numId w:val="11"/>
      </w:numPr>
    </w:pPr>
  </w:style>
  <w:style w:type="character" w:customStyle="1" w:styleId="WingdingSymbols">
    <w:name w:val="Wingding Symbols"/>
    <w:rsid w:val="00EC7B49"/>
    <w:rPr>
      <w:rFonts w:ascii="Wingdings" w:hAnsi="Wingdings"/>
    </w:rPr>
  </w:style>
  <w:style w:type="paragraph" w:customStyle="1" w:styleId="TableHeading">
    <w:name w:val="Table Heading"/>
    <w:basedOn w:val="HeadingBase"/>
    <w:rsid w:val="00EC7B49"/>
    <w:pPr>
      <w:keepLines/>
      <w:pBdr>
        <w:bottom w:val="single" w:sz="6" w:space="1" w:color="918585"/>
      </w:pBdr>
      <w:spacing w:before="240"/>
    </w:pPr>
  </w:style>
  <w:style w:type="character" w:customStyle="1" w:styleId="HotSpot">
    <w:name w:val="HotSpot"/>
    <w:rsid w:val="00EC7B49"/>
    <w:rPr>
      <w:color w:val="0033CC"/>
      <w:u w:val="none"/>
    </w:rPr>
  </w:style>
  <w:style w:type="paragraph" w:customStyle="1" w:styleId="BodyTextRight">
    <w:name w:val="Body Text Right"/>
    <w:basedOn w:val="BodyText"/>
    <w:rsid w:val="00EC7B49"/>
    <w:pPr>
      <w:spacing w:before="0" w:after="0"/>
      <w:jc w:val="right"/>
    </w:pPr>
  </w:style>
  <w:style w:type="paragraph" w:styleId="Index3">
    <w:name w:val="index 3"/>
    <w:basedOn w:val="ListNumber2"/>
    <w:next w:val="Normal"/>
    <w:semiHidden/>
    <w:rsid w:val="00EC7B49"/>
    <w:pPr>
      <w:numPr>
        <w:numId w:val="0"/>
      </w:numPr>
      <w:tabs>
        <w:tab w:val="right" w:leader="dot" w:pos="4176"/>
      </w:tabs>
    </w:pPr>
  </w:style>
  <w:style w:type="paragraph" w:styleId="ListNumber2">
    <w:name w:val="List Number 2"/>
    <w:basedOn w:val="List2"/>
    <w:rsid w:val="00EC7B49"/>
    <w:pPr>
      <w:numPr>
        <w:numId w:val="10"/>
      </w:numPr>
      <w:tabs>
        <w:tab w:val="clear" w:pos="1060"/>
      </w:tabs>
    </w:pPr>
  </w:style>
  <w:style w:type="paragraph" w:customStyle="1" w:styleId="MarginNote">
    <w:name w:val="Margin Note"/>
    <w:basedOn w:val="BodyText"/>
    <w:rsid w:val="00EC7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B49"/>
    <w:rPr>
      <w:sz w:val="32"/>
    </w:rPr>
  </w:style>
  <w:style w:type="paragraph" w:customStyle="1" w:styleId="HeadingProcedure">
    <w:name w:val="Heading Procedure"/>
    <w:basedOn w:val="HeadingBase"/>
    <w:next w:val="Normal"/>
    <w:rsid w:val="00EC7B49"/>
    <w:pPr>
      <w:tabs>
        <w:tab w:val="left" w:pos="0"/>
      </w:tabs>
      <w:spacing w:before="120" w:after="60"/>
    </w:pPr>
    <w:rPr>
      <w:i/>
      <w:color w:val="918585"/>
      <w:sz w:val="22"/>
    </w:rPr>
  </w:style>
  <w:style w:type="paragraph" w:customStyle="1" w:styleId="TableBodyText">
    <w:name w:val="Table Body Text"/>
    <w:basedOn w:val="BodyText"/>
    <w:rsid w:val="00EC7B49"/>
    <w:pPr>
      <w:spacing w:before="60" w:after="60"/>
    </w:pPr>
  </w:style>
  <w:style w:type="paragraph" w:styleId="ListContinue">
    <w:name w:val="List Continue"/>
    <w:basedOn w:val="List"/>
    <w:rsid w:val="00EC7B49"/>
    <w:pPr>
      <w:ind w:firstLine="0"/>
    </w:pPr>
  </w:style>
  <w:style w:type="paragraph" w:customStyle="1" w:styleId="ListNote">
    <w:name w:val="List Note"/>
    <w:basedOn w:val="List"/>
    <w:rsid w:val="00EC7B49"/>
    <w:pPr>
      <w:pBdr>
        <w:top w:val="single" w:sz="6" w:space="2" w:color="918585"/>
        <w:bottom w:val="single" w:sz="6" w:space="2" w:color="918585"/>
      </w:pBdr>
      <w:tabs>
        <w:tab w:val="left" w:pos="1021"/>
      </w:tabs>
      <w:ind w:firstLine="0"/>
    </w:pPr>
  </w:style>
  <w:style w:type="paragraph" w:customStyle="1" w:styleId="Warning">
    <w:name w:val="Warning"/>
    <w:basedOn w:val="BodyText"/>
    <w:rsid w:val="00EC7B49"/>
    <w:pPr>
      <w:shd w:val="clear" w:color="auto" w:fill="D9D9D9"/>
      <w:tabs>
        <w:tab w:val="left" w:pos="992"/>
      </w:tabs>
      <w:ind w:left="119" w:right="119"/>
    </w:pPr>
    <w:rPr>
      <w:sz w:val="20"/>
    </w:rPr>
  </w:style>
  <w:style w:type="paragraph" w:customStyle="1" w:styleId="MarginIcons">
    <w:name w:val="Margin Icons"/>
    <w:basedOn w:val="BodyText"/>
    <w:rsid w:val="00EC7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B49"/>
    <w:rPr>
      <w:rFonts w:ascii="Courier New" w:hAnsi="Courier New"/>
    </w:rPr>
  </w:style>
  <w:style w:type="paragraph" w:customStyle="1" w:styleId="NoteBullet">
    <w:name w:val="Note Bullet"/>
    <w:basedOn w:val="Note"/>
    <w:rsid w:val="00EC7B49"/>
    <w:pPr>
      <w:tabs>
        <w:tab w:val="clear" w:pos="680"/>
      </w:tabs>
      <w:spacing w:before="60" w:after="60"/>
    </w:pPr>
  </w:style>
  <w:style w:type="paragraph" w:customStyle="1" w:styleId="SubHeading2">
    <w:name w:val="SubHeading2"/>
    <w:basedOn w:val="HeadingBase"/>
    <w:rsid w:val="00EC7B49"/>
    <w:pPr>
      <w:spacing w:before="240" w:after="60"/>
    </w:pPr>
    <w:rPr>
      <w:sz w:val="20"/>
    </w:rPr>
  </w:style>
  <w:style w:type="paragraph" w:customStyle="1" w:styleId="SubHeading1">
    <w:name w:val="SubHeading1"/>
    <w:basedOn w:val="HeadingBase"/>
    <w:rsid w:val="00EC7B49"/>
    <w:pPr>
      <w:spacing w:before="240" w:after="60"/>
    </w:pPr>
    <w:rPr>
      <w:color w:val="918585"/>
      <w:sz w:val="22"/>
    </w:rPr>
  </w:style>
  <w:style w:type="paragraph" w:customStyle="1" w:styleId="SideHeading">
    <w:name w:val="Side Heading"/>
    <w:basedOn w:val="HeadingBase"/>
    <w:rsid w:val="00EC7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B49"/>
    <w:pPr>
      <w:numPr>
        <w:numId w:val="12"/>
      </w:numPr>
    </w:pPr>
  </w:style>
  <w:style w:type="paragraph" w:styleId="PlainText">
    <w:name w:val="Plain Text"/>
    <w:basedOn w:val="Normal"/>
    <w:link w:val="PlainTextChar"/>
    <w:rsid w:val="00EC7B49"/>
    <w:rPr>
      <w:sz w:val="20"/>
    </w:rPr>
  </w:style>
  <w:style w:type="character" w:customStyle="1" w:styleId="PlainTextChar">
    <w:name w:val="Plain Text Char"/>
    <w:basedOn w:val="DefaultParagraphFont"/>
    <w:link w:val="PlainText"/>
    <w:rsid w:val="00EC7B49"/>
    <w:rPr>
      <w:rFonts w:ascii="Courier New" w:eastAsia="Times New Roman" w:hAnsi="Courier New" w:cs="Times New Roman"/>
      <w:sz w:val="20"/>
      <w:szCs w:val="20"/>
      <w:lang w:eastAsia="en-US"/>
    </w:rPr>
  </w:style>
  <w:style w:type="character" w:customStyle="1" w:styleId="MenuOption">
    <w:name w:val="Menu Option"/>
    <w:basedOn w:val="DefaultParagraphFont"/>
    <w:rsid w:val="00EC7B49"/>
    <w:rPr>
      <w:b/>
      <w:smallCaps/>
    </w:rPr>
  </w:style>
  <w:style w:type="paragraph" w:customStyle="1" w:styleId="TableListNumber">
    <w:name w:val="Table List Number"/>
    <w:basedOn w:val="ListNumber"/>
    <w:rsid w:val="00EC7B49"/>
    <w:pPr>
      <w:numPr>
        <w:numId w:val="0"/>
      </w:numPr>
    </w:pPr>
  </w:style>
  <w:style w:type="paragraph" w:styleId="TOC4">
    <w:name w:val="toc 4"/>
    <w:basedOn w:val="TOCBase"/>
    <w:next w:val="Normal"/>
    <w:semiHidden/>
    <w:rsid w:val="00EC7B49"/>
    <w:pPr>
      <w:tabs>
        <w:tab w:val="right" w:leader="dot" w:pos="9071"/>
      </w:tabs>
      <w:ind w:left="1701"/>
    </w:pPr>
  </w:style>
  <w:style w:type="paragraph" w:customStyle="1" w:styleId="ListAlpha">
    <w:name w:val="List Alpha"/>
    <w:basedOn w:val="List"/>
    <w:rsid w:val="00EC7B49"/>
    <w:pPr>
      <w:numPr>
        <w:numId w:val="9"/>
      </w:numPr>
    </w:pPr>
  </w:style>
  <w:style w:type="paragraph" w:customStyle="1" w:styleId="ListAlpha2">
    <w:name w:val="List Alpha 2"/>
    <w:basedOn w:val="List2"/>
    <w:rsid w:val="00EC7B49"/>
    <w:pPr>
      <w:numPr>
        <w:numId w:val="8"/>
      </w:numPr>
    </w:pPr>
  </w:style>
  <w:style w:type="paragraph" w:styleId="List2">
    <w:name w:val="List 2"/>
    <w:basedOn w:val="BodyText"/>
    <w:rsid w:val="00EC7B49"/>
    <w:pPr>
      <w:tabs>
        <w:tab w:val="left" w:pos="680"/>
      </w:tabs>
      <w:spacing w:before="60" w:after="60"/>
      <w:ind w:left="680" w:hanging="340"/>
    </w:pPr>
  </w:style>
  <w:style w:type="paragraph" w:styleId="List3">
    <w:name w:val="List 3"/>
    <w:basedOn w:val="BodyText"/>
    <w:rsid w:val="00EC7B49"/>
    <w:pPr>
      <w:tabs>
        <w:tab w:val="left" w:pos="1021"/>
      </w:tabs>
      <w:spacing w:before="60" w:after="60"/>
      <w:ind w:left="1020" w:hanging="340"/>
    </w:pPr>
  </w:style>
  <w:style w:type="paragraph" w:styleId="List4">
    <w:name w:val="List 4"/>
    <w:basedOn w:val="BodyText"/>
    <w:rsid w:val="00EC7B49"/>
    <w:pPr>
      <w:tabs>
        <w:tab w:val="left" w:pos="1361"/>
      </w:tabs>
      <w:spacing w:before="60" w:after="60"/>
      <w:ind w:left="1361" w:hanging="340"/>
    </w:pPr>
  </w:style>
  <w:style w:type="paragraph" w:styleId="List5">
    <w:name w:val="List 5"/>
    <w:basedOn w:val="BodyText"/>
    <w:rsid w:val="00EC7B49"/>
    <w:pPr>
      <w:tabs>
        <w:tab w:val="left" w:pos="1701"/>
      </w:tabs>
      <w:spacing w:before="60" w:after="60"/>
      <w:ind w:left="1701" w:hanging="340"/>
    </w:pPr>
  </w:style>
  <w:style w:type="paragraph" w:styleId="ListBullet3">
    <w:name w:val="List Bullet 3"/>
    <w:basedOn w:val="List3"/>
    <w:rsid w:val="00EC7B49"/>
    <w:pPr>
      <w:numPr>
        <w:numId w:val="15"/>
      </w:numPr>
      <w:tabs>
        <w:tab w:val="clear" w:pos="1021"/>
      </w:tabs>
      <w:ind w:left="1037" w:hanging="357"/>
    </w:pPr>
  </w:style>
  <w:style w:type="paragraph" w:styleId="ListBullet4">
    <w:name w:val="List Bullet 4"/>
    <w:basedOn w:val="List4"/>
    <w:rsid w:val="00EC7B49"/>
    <w:pPr>
      <w:numPr>
        <w:numId w:val="3"/>
      </w:numPr>
      <w:tabs>
        <w:tab w:val="clear" w:pos="1361"/>
      </w:tabs>
    </w:pPr>
  </w:style>
  <w:style w:type="paragraph" w:styleId="ListBullet5">
    <w:name w:val="List Bullet 5"/>
    <w:basedOn w:val="List5"/>
    <w:rsid w:val="00EC7B49"/>
    <w:pPr>
      <w:numPr>
        <w:numId w:val="4"/>
      </w:numPr>
    </w:pPr>
  </w:style>
  <w:style w:type="paragraph" w:styleId="ListContinue2">
    <w:name w:val="List Continue 2"/>
    <w:basedOn w:val="List2"/>
    <w:rsid w:val="00EC7B49"/>
    <w:pPr>
      <w:ind w:firstLine="0"/>
    </w:pPr>
  </w:style>
  <w:style w:type="paragraph" w:styleId="ListContinue3">
    <w:name w:val="List Continue 3"/>
    <w:basedOn w:val="List3"/>
    <w:rsid w:val="00EC7B49"/>
    <w:pPr>
      <w:ind w:left="1021" w:firstLine="0"/>
    </w:pPr>
  </w:style>
  <w:style w:type="paragraph" w:styleId="ListContinue4">
    <w:name w:val="List Continue 4"/>
    <w:basedOn w:val="List4"/>
    <w:rsid w:val="00EC7B49"/>
    <w:pPr>
      <w:ind w:firstLine="0"/>
    </w:pPr>
  </w:style>
  <w:style w:type="paragraph" w:styleId="ListContinue5">
    <w:name w:val="List Continue 5"/>
    <w:basedOn w:val="List5"/>
    <w:rsid w:val="00EC7B49"/>
    <w:pPr>
      <w:ind w:firstLine="0"/>
    </w:pPr>
  </w:style>
  <w:style w:type="paragraph" w:styleId="ListNumber3">
    <w:name w:val="List Number 3"/>
    <w:basedOn w:val="List3"/>
    <w:rsid w:val="00EC7B49"/>
    <w:pPr>
      <w:numPr>
        <w:numId w:val="5"/>
      </w:numPr>
    </w:pPr>
  </w:style>
  <w:style w:type="paragraph" w:styleId="ListNumber4">
    <w:name w:val="List Number 4"/>
    <w:basedOn w:val="List4"/>
    <w:rsid w:val="00EC7B49"/>
    <w:pPr>
      <w:numPr>
        <w:numId w:val="6"/>
      </w:numPr>
    </w:pPr>
  </w:style>
  <w:style w:type="paragraph" w:styleId="ListNumber5">
    <w:name w:val="List Number 5"/>
    <w:basedOn w:val="List5"/>
    <w:rsid w:val="00EC7B49"/>
    <w:pPr>
      <w:numPr>
        <w:numId w:val="7"/>
      </w:numPr>
    </w:pPr>
  </w:style>
  <w:style w:type="paragraph" w:styleId="BlockText">
    <w:name w:val="Block Text"/>
    <w:basedOn w:val="Normal"/>
    <w:rsid w:val="00EC7B49"/>
    <w:pPr>
      <w:spacing w:after="120"/>
      <w:ind w:left="1440" w:right="1440"/>
    </w:pPr>
  </w:style>
  <w:style w:type="character" w:customStyle="1" w:styleId="Subscript">
    <w:name w:val="Subscript"/>
    <w:basedOn w:val="DefaultParagraphFont"/>
    <w:rsid w:val="00EC7B49"/>
    <w:rPr>
      <w:sz w:val="16"/>
      <w:vertAlign w:val="subscript"/>
    </w:rPr>
  </w:style>
  <w:style w:type="character" w:customStyle="1" w:styleId="Superscript">
    <w:name w:val="Superscript"/>
    <w:basedOn w:val="DefaultParagraphFont"/>
    <w:rsid w:val="00EC7B49"/>
    <w:rPr>
      <w:sz w:val="16"/>
      <w:vertAlign w:val="superscript"/>
    </w:rPr>
  </w:style>
  <w:style w:type="character" w:customStyle="1" w:styleId="Symbols">
    <w:name w:val="Symbols"/>
    <w:basedOn w:val="DefaultParagraphFont"/>
    <w:rsid w:val="00EC7B49"/>
    <w:rPr>
      <w:rFonts w:ascii="Symbol" w:hAnsi="Symbol"/>
    </w:rPr>
  </w:style>
  <w:style w:type="character" w:customStyle="1" w:styleId="MenuOptions">
    <w:name w:val="Menu Options"/>
    <w:basedOn w:val="DefaultParagraphFont"/>
    <w:rsid w:val="00EC7B49"/>
    <w:rPr>
      <w:rFonts w:ascii="Arial Narrow" w:hAnsi="Arial Narrow"/>
      <w:smallCaps/>
    </w:rPr>
  </w:style>
  <w:style w:type="character" w:customStyle="1" w:styleId="Buttons">
    <w:name w:val="Buttons"/>
    <w:basedOn w:val="DefaultParagraphFont"/>
    <w:rsid w:val="00EC7B49"/>
    <w:rPr>
      <w:b/>
    </w:rPr>
  </w:style>
  <w:style w:type="character" w:customStyle="1" w:styleId="Underlined">
    <w:name w:val="Underlined"/>
    <w:basedOn w:val="DefaultParagraphFont"/>
    <w:rsid w:val="00EC7B49"/>
    <w:rPr>
      <w:u w:val="single"/>
    </w:rPr>
  </w:style>
  <w:style w:type="paragraph" w:customStyle="1" w:styleId="TableBodyTextRight">
    <w:name w:val="Table Body Text Right"/>
    <w:basedOn w:val="TableBodyText"/>
    <w:rsid w:val="00EC7B49"/>
    <w:pPr>
      <w:widowControl w:val="0"/>
      <w:autoSpaceDE w:val="0"/>
      <w:autoSpaceDN w:val="0"/>
      <w:adjustRightInd w:val="0"/>
      <w:jc w:val="right"/>
    </w:pPr>
    <w:rPr>
      <w:rFonts w:cs="Arial"/>
      <w:szCs w:val="18"/>
    </w:rPr>
  </w:style>
  <w:style w:type="paragraph" w:customStyle="1" w:styleId="CopyrightText">
    <w:name w:val="Copyright Text"/>
    <w:basedOn w:val="BodyText"/>
    <w:rsid w:val="00EC7B49"/>
    <w:rPr>
      <w:sz w:val="18"/>
    </w:rPr>
  </w:style>
  <w:style w:type="paragraph" w:customStyle="1" w:styleId="BodySmallRight">
    <w:name w:val="Body Small Right"/>
    <w:basedOn w:val="BodyTextRight"/>
    <w:rsid w:val="00EC7B49"/>
    <w:rPr>
      <w:sz w:val="18"/>
      <w:szCs w:val="18"/>
    </w:rPr>
  </w:style>
  <w:style w:type="paragraph" w:customStyle="1" w:styleId="MarginEdition">
    <w:name w:val="Margin Edition"/>
    <w:basedOn w:val="MarginNote"/>
    <w:rsid w:val="00EC7B49"/>
    <w:pPr>
      <w:spacing w:before="0" w:after="0"/>
    </w:pPr>
    <w:rPr>
      <w:rFonts w:ascii="Times New Roman" w:hAnsi="Times New Roman"/>
      <w:color w:val="999999"/>
    </w:rPr>
  </w:style>
  <w:style w:type="paragraph" w:customStyle="1" w:styleId="Spacer">
    <w:name w:val="Spacer"/>
    <w:basedOn w:val="Normal"/>
    <w:rsid w:val="00EC7B49"/>
    <w:rPr>
      <w:sz w:val="2"/>
      <w:szCs w:val="2"/>
    </w:rPr>
  </w:style>
  <w:style w:type="character" w:customStyle="1" w:styleId="Small">
    <w:name w:val="Small"/>
    <w:basedOn w:val="DefaultParagraphFont"/>
    <w:rsid w:val="00EC7B49"/>
    <w:rPr>
      <w:sz w:val="16"/>
    </w:rPr>
  </w:style>
  <w:style w:type="paragraph" w:customStyle="1" w:styleId="WideTable">
    <w:name w:val="Wide Table"/>
    <w:basedOn w:val="Normal"/>
    <w:rsid w:val="00EC7B49"/>
    <w:pPr>
      <w:ind w:left="-1418"/>
    </w:pPr>
    <w:rPr>
      <w:sz w:val="2"/>
      <w:szCs w:val="2"/>
    </w:rPr>
  </w:style>
  <w:style w:type="character" w:styleId="PageNumber">
    <w:name w:val="page number"/>
    <w:basedOn w:val="DefaultParagraphFont"/>
    <w:rsid w:val="00EC7B49"/>
  </w:style>
  <w:style w:type="paragraph" w:styleId="Quote">
    <w:name w:val="Quote"/>
    <w:basedOn w:val="Heading1"/>
    <w:link w:val="QuoteChar"/>
    <w:qFormat/>
    <w:rsid w:val="00EC7B49"/>
    <w:rPr>
      <w:b w:val="0"/>
      <w:sz w:val="72"/>
      <w:szCs w:val="72"/>
      <w:lang w:val="en-NZ"/>
    </w:rPr>
  </w:style>
  <w:style w:type="character" w:customStyle="1" w:styleId="QuoteChar">
    <w:name w:val="Quote Char"/>
    <w:basedOn w:val="DefaultParagraphFont"/>
    <w:link w:val="Quote"/>
    <w:rsid w:val="00EC7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B49"/>
    <w:pPr>
      <w:pageBreakBefore/>
    </w:pPr>
  </w:style>
  <w:style w:type="paragraph" w:customStyle="1" w:styleId="Border">
    <w:name w:val="Border"/>
    <w:basedOn w:val="Normal"/>
    <w:qFormat/>
    <w:rsid w:val="00EC7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B49"/>
    <w:rPr>
      <w:b/>
      <w:bCs/>
      <w:i/>
      <w:iCs/>
      <w:color w:val="auto"/>
    </w:rPr>
  </w:style>
  <w:style w:type="paragraph" w:styleId="IntenseQuote">
    <w:name w:val="Intense Quote"/>
    <w:basedOn w:val="Normal"/>
    <w:next w:val="Normal"/>
    <w:link w:val="IntenseQuoteChar"/>
    <w:uiPriority w:val="30"/>
    <w:qFormat/>
    <w:rsid w:val="00EC7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B49"/>
    <w:rPr>
      <w:smallCaps/>
      <w:color w:val="auto"/>
      <w:u w:val="single"/>
    </w:rPr>
  </w:style>
  <w:style w:type="character" w:styleId="IntenseReference">
    <w:name w:val="Intense Reference"/>
    <w:basedOn w:val="DefaultParagraphFont"/>
    <w:uiPriority w:val="32"/>
    <w:qFormat/>
    <w:rsid w:val="00EC7B49"/>
    <w:rPr>
      <w:b/>
      <w:bCs/>
      <w:smallCaps/>
      <w:color w:val="auto"/>
      <w:spacing w:val="5"/>
      <w:u w:val="single"/>
    </w:rPr>
  </w:style>
  <w:style w:type="paragraph" w:customStyle="1" w:styleId="2ColumnHeading">
    <w:name w:val="2Column Heading"/>
    <w:basedOn w:val="BodyText"/>
    <w:qFormat/>
    <w:rsid w:val="00EC7B49"/>
    <w:pPr>
      <w:spacing w:after="60"/>
      <w:ind w:left="-2268"/>
    </w:pPr>
    <w:rPr>
      <w:b/>
    </w:rPr>
  </w:style>
  <w:style w:type="paragraph" w:customStyle="1" w:styleId="Heading1TOC">
    <w:name w:val="Heading1 TOC"/>
    <w:basedOn w:val="Normal"/>
    <w:qFormat/>
    <w:rsid w:val="00EC7B49"/>
    <w:pPr>
      <w:spacing w:before="240" w:after="120"/>
    </w:pPr>
    <w:rPr>
      <w:rFonts w:ascii="Times New Roman" w:hAnsi="Times New Roman"/>
      <w:b/>
      <w:sz w:val="32"/>
    </w:rPr>
  </w:style>
  <w:style w:type="paragraph" w:customStyle="1" w:styleId="Heading2TOC">
    <w:name w:val="Heading2 TOC"/>
    <w:basedOn w:val="Normal"/>
    <w:qFormat/>
    <w:rsid w:val="00EC7B49"/>
    <w:pPr>
      <w:spacing w:before="240" w:after="60"/>
    </w:pPr>
    <w:rPr>
      <w:rFonts w:ascii="Times New Roman" w:hAnsi="Times New Roman"/>
      <w:b/>
      <w:sz w:val="28"/>
    </w:rPr>
  </w:style>
  <w:style w:type="character" w:customStyle="1" w:styleId="Underline">
    <w:name w:val="Underline"/>
    <w:basedOn w:val="DefaultParagraphFont"/>
    <w:qFormat/>
    <w:rsid w:val="00EC7B49"/>
    <w:rPr>
      <w:u w:val="single"/>
    </w:rPr>
  </w:style>
  <w:style w:type="character" w:customStyle="1" w:styleId="BoldandItalics">
    <w:name w:val="Bold and Italics"/>
    <w:qFormat/>
    <w:rsid w:val="00EC7B49"/>
    <w:rPr>
      <w:b/>
      <w:i/>
      <w:u w:val="none"/>
    </w:rPr>
  </w:style>
  <w:style w:type="paragraph" w:styleId="BalloonText">
    <w:name w:val="Balloon Text"/>
    <w:basedOn w:val="Normal"/>
    <w:link w:val="BalloonTextChar"/>
    <w:rsid w:val="00EC7B49"/>
    <w:rPr>
      <w:rFonts w:ascii="Tahoma" w:hAnsi="Tahoma" w:cs="Tahoma"/>
      <w:sz w:val="16"/>
      <w:szCs w:val="16"/>
    </w:rPr>
  </w:style>
  <w:style w:type="character" w:customStyle="1" w:styleId="BalloonTextChar">
    <w:name w:val="Balloon Text Char"/>
    <w:basedOn w:val="DefaultParagraphFont"/>
    <w:link w:val="BalloonText"/>
    <w:rsid w:val="00EC7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B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B49"/>
    <w:rPr>
      <w:b/>
      <w:color w:val="660033"/>
      <w:spacing w:val="0"/>
    </w:rPr>
  </w:style>
  <w:style w:type="paragraph" w:customStyle="1" w:styleId="Nameditemlist">
    <w:name w:val="Named item list"/>
    <w:basedOn w:val="BodyText"/>
    <w:qFormat/>
    <w:rsid w:val="00EC7B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4144</Characters>
  <Application>Microsoft Office Word</Application>
  <DocSecurity>0</DocSecurity>
  <Lines>199</Lines>
  <Paragraphs>104</Paragraphs>
  <ScaleCrop>false</ScaleCrop>
  <Company>Author-it Software Corporation Ltd.</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MARC006 Operate main propulsion unit and auxiliary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2016-02-24T03:41:00Z</dcterms:created>
  <dcterms:modified xsi:type="dcterms:W3CDTF">2016-02-24T03:41:00Z</dcterms:modified>
</cp:coreProperties>
</file>