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4BD" w:rsidP="00C644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MARC004 Operate deck machinery</w:t>
      </w:r>
      <w:r>
        <w:fldChar w:fldCharType="end"/>
      </w:r>
    </w:p>
    <w:p w:rsidR="00C644BD" w:rsidP="00C644BD">
      <w:pPr>
        <w:pStyle w:val="Version"/>
        <w:sectPr w:rsidSect="00AC6B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B09" w:rsidP="00AC6B09">
      <w:pPr>
        <w:pStyle w:val="SuperHeading"/>
      </w:pPr>
      <w:r w:rsidRPr="00AC6B09">
        <w:t>Assessment Requirements for MARC004 Operate deck machinery</w:t>
      </w:r>
    </w:p>
    <w:p w:rsidR="00000000" w:rsidRPr="00AC6B09" w:rsidP="00AC6B09">
      <w:pPr>
        <w:pStyle w:val="Heading1"/>
      </w:pPr>
      <w:bookmarkStart w:id="1" w:name="O_596939"/>
      <w:bookmarkEnd w:id="1"/>
      <w:r w:rsidRPr="00AC6B09">
        <w:t>Modification History</w:t>
      </w:r>
    </w:p>
    <w:p w:rsidR="00000000" w:rsidRPr="00AC6B09" w:rsidP="00AC6B09">
      <w:pPr>
        <w:pStyle w:val="BodyText"/>
      </w:pPr>
      <w:r w:rsidRPr="00AC6B09">
        <w:t>Release 1. New unit of competency.</w:t>
      </w:r>
    </w:p>
    <w:p w:rsidR="00000000" w:rsidRPr="00AC6B09" w:rsidP="00AC6B09">
      <w:pPr>
        <w:pStyle w:val="AllowPageBreak"/>
      </w:pPr>
    </w:p>
    <w:p w:rsidR="00000000" w:rsidRPr="00AC6B09" w:rsidP="00AC6B09">
      <w:pPr>
        <w:pStyle w:val="Heading1"/>
      </w:pPr>
      <w:bookmarkStart w:id="2" w:name="O_596940"/>
      <w:bookmarkEnd w:id="2"/>
      <w:r w:rsidRPr="00AC6B09">
        <w:t>Performance Evidence</w:t>
      </w:r>
    </w:p>
    <w:p w:rsidR="00000000" w:rsidRPr="00AC6B09" w:rsidP="00AC6B09">
      <w:pPr>
        <w:pStyle w:val="BodyText"/>
      </w:pPr>
      <w:r w:rsidRPr="00AC6B09">
        <w:t>Evidence required to demonstrate competence in this unit must be relevant to and satisfy all of the requirements of the elements and performance c</w:t>
      </w:r>
      <w:r w:rsidRPr="00AC6B09">
        <w:t>riteria on at least one occasion and include:</w:t>
      </w:r>
    </w:p>
    <w:p w:rsidR="00000000" w:rsidRPr="00AC6B09" w:rsidP="00AC6B09">
      <w:pPr>
        <w:pStyle w:val="ListBullet"/>
      </w:pPr>
      <w:r w:rsidRPr="00AC6B09">
        <w:t>following manufacturer recommendations, regulations and vessel operating procedures</w:t>
      </w:r>
    </w:p>
    <w:p w:rsidR="00000000" w:rsidRPr="00AC6B09" w:rsidP="00AC6B09">
      <w:pPr>
        <w:pStyle w:val="ListBullet"/>
      </w:pPr>
      <w:r w:rsidRPr="00AC6B09">
        <w:t>implementing safe work practices</w:t>
      </w:r>
    </w:p>
    <w:p w:rsidR="00000000" w:rsidRPr="00AC6B09" w:rsidP="00AC6B09">
      <w:pPr>
        <w:pStyle w:val="ListBullet"/>
      </w:pPr>
      <w:r w:rsidRPr="00AC6B09">
        <w:t>using deck machinery.</w:t>
      </w:r>
    </w:p>
    <w:p w:rsidR="00000000" w:rsidRPr="00AC6B09" w:rsidP="00AC6B09">
      <w:pPr>
        <w:pStyle w:val="AllowPageBreak"/>
      </w:pPr>
    </w:p>
    <w:p w:rsidR="00000000" w:rsidRPr="00AC6B09" w:rsidP="00AC6B09">
      <w:pPr>
        <w:pStyle w:val="Heading1"/>
      </w:pPr>
      <w:bookmarkStart w:id="3" w:name="O_596941"/>
      <w:bookmarkEnd w:id="3"/>
      <w:r w:rsidRPr="00AC6B09">
        <w:t>Knowledge Evidence</w:t>
      </w:r>
    </w:p>
    <w:p w:rsidR="00000000" w:rsidRPr="00AC6B09" w:rsidP="00AC6B09">
      <w:pPr>
        <w:pStyle w:val="BodyText"/>
      </w:pPr>
      <w:r w:rsidRPr="00AC6B09">
        <w:t>Evidence required to demonstrate c</w:t>
      </w:r>
      <w:r w:rsidRPr="00AC6B09">
        <w:t>ompetence in this unit must be relevant to and satisfy all of the requirements of the elements and performance criteria and include knowledge of:</w:t>
      </w:r>
    </w:p>
    <w:p w:rsidR="00000000" w:rsidRPr="00AC6B09" w:rsidP="00AC6B09">
      <w:pPr>
        <w:pStyle w:val="ListBullet"/>
      </w:pPr>
      <w:r w:rsidRPr="00AC6B09">
        <w:t>basic hydraulic systems and their operation</w:t>
      </w:r>
    </w:p>
    <w:p w:rsidR="00000000" w:rsidRPr="00AC6B09" w:rsidP="00AC6B09">
      <w:pPr>
        <w:pStyle w:val="ListBullet"/>
      </w:pPr>
      <w:r w:rsidRPr="00AC6B09">
        <w:t>legislation affecting lifting equipment</w:t>
      </w:r>
    </w:p>
    <w:p w:rsidR="00000000" w:rsidRPr="00AC6B09" w:rsidP="00AC6B09">
      <w:pPr>
        <w:pStyle w:val="ListBullet"/>
      </w:pPr>
      <w:r w:rsidRPr="00AC6B09">
        <w:t>lifting equipment</w:t>
      </w:r>
    </w:p>
    <w:p w:rsidR="00000000" w:rsidRPr="00AC6B09" w:rsidP="00AC6B09">
      <w:pPr>
        <w:pStyle w:val="ListBullet"/>
      </w:pPr>
      <w:r w:rsidRPr="00AC6B09">
        <w:t>own abi</w:t>
      </w:r>
      <w:r w:rsidRPr="00AC6B09">
        <w:t>lity and limits to rectify irregularities and faults</w:t>
      </w:r>
    </w:p>
    <w:p w:rsidR="00000000" w:rsidRPr="00AC6B09" w:rsidP="00AC6B09">
      <w:pPr>
        <w:pStyle w:val="ListBullet"/>
      </w:pPr>
      <w:r w:rsidRPr="00AC6B09">
        <w:t>safe working procedures</w:t>
      </w:r>
    </w:p>
    <w:p w:rsidR="00000000" w:rsidRPr="00AC6B09" w:rsidP="00AC6B09">
      <w:pPr>
        <w:pStyle w:val="ListBullet"/>
      </w:pPr>
      <w:r w:rsidRPr="00AC6B09">
        <w:t>trawling and fishing gear</w:t>
      </w:r>
    </w:p>
    <w:p w:rsidR="00000000" w:rsidRPr="00AC6B09" w:rsidP="00AC6B09">
      <w:pPr>
        <w:pStyle w:val="ListBullet"/>
      </w:pPr>
      <w:r w:rsidRPr="00AC6B09">
        <w:t>winches, capstans, windlasses</w:t>
      </w:r>
    </w:p>
    <w:p w:rsidR="00000000" w:rsidRPr="00AC6B09" w:rsidP="00AC6B09">
      <w:pPr>
        <w:pStyle w:val="ListBullet"/>
      </w:pPr>
      <w:r w:rsidRPr="00AC6B09">
        <w:t>work health and safety (WHS)/occupational health and safety (OHS) requirements and work practices.</w:t>
      </w:r>
    </w:p>
    <w:p w:rsidR="00000000" w:rsidRPr="00AC6B09" w:rsidP="00AC6B09">
      <w:pPr>
        <w:pStyle w:val="AllowPageBreak"/>
      </w:pPr>
    </w:p>
    <w:p w:rsidR="00000000" w:rsidRPr="00AC6B09" w:rsidP="00AC6B09">
      <w:pPr>
        <w:pStyle w:val="Heading1"/>
      </w:pPr>
      <w:bookmarkStart w:id="4" w:name="O_596942"/>
      <w:bookmarkEnd w:id="4"/>
      <w:r w:rsidRPr="00AC6B09">
        <w:t>Assessment Conditions</w:t>
      </w:r>
    </w:p>
    <w:p w:rsidR="00000000" w:rsidRPr="00AC6B09" w:rsidP="00AC6B09">
      <w:pPr>
        <w:pStyle w:val="BodyText"/>
      </w:pPr>
      <w:r w:rsidRPr="00AC6B09">
        <w:t>Assessors must satisfy National Vocational Education and Training Regulator (NVR)/Australian Quality Training Framework (AQTF) assessor requirements.</w:t>
      </w:r>
    </w:p>
    <w:p w:rsidR="00000000" w:rsidRPr="00AC6B09" w:rsidP="00AC6B09">
      <w:pPr>
        <w:pStyle w:val="BodyText"/>
      </w:pPr>
    </w:p>
    <w:p w:rsidR="00000000" w:rsidRPr="00AC6B09" w:rsidP="00AC6B09">
      <w:pPr>
        <w:pStyle w:val="BodyText"/>
      </w:pPr>
      <w:r w:rsidRPr="00AC6B09">
        <w:t>Assessment must occur in workplace operational situations where it is appropriate t</w:t>
      </w:r>
      <w:r w:rsidRPr="00AC6B09">
        <w:t>o do so; where this is not appropriate, assessment must occur in simulated workplace operational situations that reflect workplace conditions.</w:t>
      </w:r>
    </w:p>
    <w:p w:rsidR="00000000" w:rsidRPr="00AC6B09" w:rsidP="00AC6B09">
      <w:pPr>
        <w:pStyle w:val="BodyText"/>
      </w:pPr>
    </w:p>
    <w:p w:rsidR="00000000" w:rsidRPr="00AC6B09" w:rsidP="00AC6B09">
      <w:pPr>
        <w:pStyle w:val="BodyText"/>
      </w:pPr>
      <w:r w:rsidRPr="00AC6B09">
        <w:t>Assessment processes and techniques must be appropriate to the language, literacy and numeracy requirements of t</w:t>
      </w:r>
      <w:r w:rsidRPr="00AC6B09">
        <w:t>he work being performed and the needs of the candidate.</w:t>
      </w:r>
    </w:p>
    <w:p w:rsidR="00000000" w:rsidRPr="00AC6B09" w:rsidP="00AC6B09">
      <w:pPr>
        <w:pStyle w:val="BodyText"/>
      </w:pPr>
    </w:p>
    <w:p w:rsidR="00000000" w:rsidRPr="00AC6B09" w:rsidP="00AC6B09">
      <w:pPr>
        <w:pStyle w:val="BodyText"/>
      </w:pPr>
      <w:r w:rsidRPr="00AC6B09">
        <w:t>Resources for assessment must include access to:</w:t>
      </w:r>
    </w:p>
    <w:p w:rsidR="00000000" w:rsidRPr="00AC6B09" w:rsidP="00AC6B09">
      <w:pPr>
        <w:pStyle w:val="ListBullet"/>
      </w:pPr>
      <w:r w:rsidRPr="00AC6B09">
        <w:t>tools, equipment, machinery, materials currently used in industry</w:t>
      </w:r>
    </w:p>
    <w:p w:rsidR="00000000" w:rsidRPr="00AC6B09" w:rsidP="00AC6B09">
      <w:pPr>
        <w:pStyle w:val="ListBullet"/>
      </w:pPr>
      <w:r w:rsidRPr="00AC6B09">
        <w:t>personal protective equipment including:</w:t>
      </w:r>
    </w:p>
    <w:p w:rsidR="00000000" w:rsidRPr="00AC6B09" w:rsidP="00AC6B09">
      <w:pPr>
        <w:pStyle w:val="ListBullet2"/>
      </w:pPr>
      <w:r w:rsidRPr="00AC6B09">
        <w:t>boots</w:t>
      </w:r>
    </w:p>
    <w:p w:rsidR="00000000" w:rsidRPr="00AC6B09" w:rsidP="00AC6B09">
      <w:pPr>
        <w:pStyle w:val="ListBullet2"/>
      </w:pPr>
      <w:r w:rsidRPr="00AC6B09">
        <w:t>gloves</w:t>
      </w:r>
    </w:p>
    <w:p w:rsidR="00000000" w:rsidRPr="00AC6B09" w:rsidP="00AC6B09">
      <w:pPr>
        <w:pStyle w:val="ListBullet2"/>
      </w:pPr>
      <w:r w:rsidRPr="00AC6B09">
        <w:t>hard hat</w:t>
      </w:r>
    </w:p>
    <w:p w:rsidR="00000000" w:rsidRPr="00AC6B09" w:rsidP="00AC6B09">
      <w:pPr>
        <w:pStyle w:val="ListBullet2"/>
      </w:pPr>
      <w:r w:rsidRPr="00AC6B09">
        <w:t xml:space="preserve">hearing protection </w:t>
      </w:r>
    </w:p>
    <w:p w:rsidR="00000000" w:rsidRPr="00AC6B09" w:rsidP="00AC6B09">
      <w:pPr>
        <w:pStyle w:val="ListBullet2"/>
      </w:pPr>
      <w:r w:rsidRPr="00AC6B09">
        <w:t xml:space="preserve">overalls </w:t>
      </w:r>
    </w:p>
    <w:p w:rsidR="00000000" w:rsidRPr="00AC6B09" w:rsidP="00AC6B09">
      <w:pPr>
        <w:pStyle w:val="ListBullet2"/>
      </w:pPr>
      <w:r w:rsidRPr="00AC6B09">
        <w:t>protective eyewear</w:t>
      </w:r>
    </w:p>
    <w:p w:rsidR="00000000" w:rsidRPr="00AC6B09" w:rsidP="00AC6B09">
      <w:pPr>
        <w:pStyle w:val="ListBullet"/>
      </w:pPr>
      <w:r w:rsidRPr="00AC6B09">
        <w:t xml:space="preserve">applicable documentation such as legislation, regulations, codes of practice, workplace procedures and operational manuals </w:t>
      </w:r>
    </w:p>
    <w:p w:rsidR="00000000" w:rsidRPr="00AC6B09" w:rsidP="00AC6B09">
      <w:pPr>
        <w:pStyle w:val="ListBullet"/>
      </w:pPr>
      <w:r w:rsidRPr="00AC6B09">
        <w:t>range of relevant exercises, case studies and/or simulations.</w:t>
      </w:r>
    </w:p>
    <w:p w:rsidR="00000000" w:rsidRPr="00AC6B09" w:rsidP="00AC6B09">
      <w:pPr>
        <w:pStyle w:val="AllowPageBreak"/>
      </w:pPr>
    </w:p>
    <w:p w:rsidR="00000000" w:rsidRPr="00AC6B09" w:rsidP="00AC6B09">
      <w:pPr>
        <w:pStyle w:val="Heading1"/>
      </w:pPr>
      <w:bookmarkStart w:id="5" w:name="O_596945"/>
      <w:bookmarkEnd w:id="5"/>
      <w:r w:rsidRPr="00AC6B09">
        <w:t>Links</w:t>
      </w:r>
    </w:p>
    <w:p w:rsidR="00000000" w:rsidRPr="00AC6B09" w:rsidP="00AC6B09">
      <w:pPr>
        <w:pStyle w:val="BodyText"/>
      </w:pPr>
      <w:r w:rsidRPr="00AC6B09">
        <w:t>MAR Maritime Tra</w:t>
      </w:r>
      <w:r w:rsidRPr="00AC6B09">
        <w:t>ining Package Companion Volume Implementation Guide at: - http://companion_volumes.vetnet.education.gov.au/Pages/TrainingPackage.aspx?pid=22</w:t>
      </w:r>
    </w:p>
    <w:p w:rsidR="00000000" w:rsidRPr="00AC6B09" w:rsidP="00AC6B09"/>
    <w:sectPr w:rsidSect="00AC6B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09" w:rsidRPr="00C644BD" w:rsidP="00C644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BD" w:rsidP="00AC6B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44BD" w:rsidP="00AC6B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644BD" w:rsidP="00AC6B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09" w:rsidRPr="00C644BD" w:rsidP="00C644B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B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BD" w:rsidRPr="002D2AF8" w:rsidP="00AC6B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MARC004 Operate deck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C644BD" w:rsidP="00AC6B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B040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AC4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38CC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B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B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B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B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B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B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B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B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B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B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B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B09"/>
  </w:style>
  <w:style w:type="character" w:customStyle="1" w:styleId="Heading1Char">
    <w:name w:val="Heading 1 Char"/>
    <w:basedOn w:val="DefaultParagraphFont"/>
    <w:link w:val="Heading1"/>
    <w:rsid w:val="00AC6B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B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B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B0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6B0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6B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B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B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B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B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B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B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B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B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B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B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B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B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B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B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B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B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B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6B09"/>
    <w:rPr>
      <w:b/>
      <w:spacing w:val="0"/>
    </w:rPr>
  </w:style>
  <w:style w:type="paragraph" w:customStyle="1" w:styleId="SuperTitle">
    <w:name w:val="SuperTitle"/>
    <w:basedOn w:val="Title"/>
    <w:rsid w:val="00AC6B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B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B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B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B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B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B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B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B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B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B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B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B09"/>
    <w:rPr>
      <w:i/>
    </w:rPr>
  </w:style>
  <w:style w:type="paragraph" w:styleId="Caption">
    <w:name w:val="caption"/>
    <w:basedOn w:val="BodyText"/>
    <w:next w:val="Normal"/>
    <w:qFormat/>
    <w:rsid w:val="00AC6B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B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B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B09"/>
  </w:style>
  <w:style w:type="paragraph" w:styleId="TableofFigures">
    <w:name w:val="table of figures"/>
    <w:basedOn w:val="Normal"/>
    <w:next w:val="Normal"/>
    <w:semiHidden/>
    <w:rsid w:val="00AC6B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B09"/>
    <w:pPr>
      <w:numPr>
        <w:numId w:val="11"/>
      </w:numPr>
    </w:pPr>
  </w:style>
  <w:style w:type="character" w:customStyle="1" w:styleId="WingdingSymbols">
    <w:name w:val="Wingding Symbols"/>
    <w:rsid w:val="00AC6B09"/>
    <w:rPr>
      <w:rFonts w:ascii="Wingdings" w:hAnsi="Wingdings"/>
    </w:rPr>
  </w:style>
  <w:style w:type="paragraph" w:customStyle="1" w:styleId="TableHeading">
    <w:name w:val="Table Heading"/>
    <w:basedOn w:val="HeadingBase"/>
    <w:rsid w:val="00AC6B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B09"/>
    <w:rPr>
      <w:color w:val="0033CC"/>
      <w:u w:val="none"/>
    </w:rPr>
  </w:style>
  <w:style w:type="paragraph" w:customStyle="1" w:styleId="BodyTextRight">
    <w:name w:val="Body Text Right"/>
    <w:basedOn w:val="BodyText"/>
    <w:rsid w:val="00AC6B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B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B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B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B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B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B09"/>
    <w:rPr>
      <w:sz w:val="32"/>
    </w:rPr>
  </w:style>
  <w:style w:type="paragraph" w:customStyle="1" w:styleId="HeadingProcedure">
    <w:name w:val="Heading Procedure"/>
    <w:basedOn w:val="HeadingBase"/>
    <w:next w:val="Normal"/>
    <w:rsid w:val="00AC6B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B09"/>
    <w:pPr>
      <w:spacing w:before="60" w:after="60"/>
    </w:pPr>
  </w:style>
  <w:style w:type="paragraph" w:styleId="ListContinue">
    <w:name w:val="List Continue"/>
    <w:basedOn w:val="List"/>
    <w:rsid w:val="00AC6B09"/>
    <w:pPr>
      <w:ind w:firstLine="0"/>
    </w:pPr>
  </w:style>
  <w:style w:type="paragraph" w:customStyle="1" w:styleId="ListNote">
    <w:name w:val="List Note"/>
    <w:basedOn w:val="List"/>
    <w:rsid w:val="00AC6B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B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B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B09"/>
    <w:rPr>
      <w:rFonts w:ascii="Courier New" w:hAnsi="Courier New"/>
    </w:rPr>
  </w:style>
  <w:style w:type="paragraph" w:customStyle="1" w:styleId="NoteBullet">
    <w:name w:val="Note Bullet"/>
    <w:basedOn w:val="Note"/>
    <w:rsid w:val="00AC6B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B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B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B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B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6B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B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B09"/>
    <w:rPr>
      <w:b/>
      <w:smallCaps/>
    </w:rPr>
  </w:style>
  <w:style w:type="paragraph" w:customStyle="1" w:styleId="TableListNumber">
    <w:name w:val="Table List Number"/>
    <w:basedOn w:val="ListNumber"/>
    <w:rsid w:val="00AC6B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B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B09"/>
    <w:pPr>
      <w:numPr>
        <w:numId w:val="9"/>
      </w:numPr>
    </w:pPr>
  </w:style>
  <w:style w:type="paragraph" w:customStyle="1" w:styleId="ListAlpha2">
    <w:name w:val="List Alpha 2"/>
    <w:basedOn w:val="List2"/>
    <w:rsid w:val="00AC6B09"/>
    <w:pPr>
      <w:numPr>
        <w:numId w:val="8"/>
      </w:numPr>
    </w:pPr>
  </w:style>
  <w:style w:type="paragraph" w:styleId="List2">
    <w:name w:val="List 2"/>
    <w:basedOn w:val="BodyText"/>
    <w:rsid w:val="00AC6B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B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B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B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B0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B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6B09"/>
    <w:pPr>
      <w:numPr>
        <w:numId w:val="4"/>
      </w:numPr>
    </w:pPr>
  </w:style>
  <w:style w:type="paragraph" w:styleId="ListContinue2">
    <w:name w:val="List Continue 2"/>
    <w:basedOn w:val="List2"/>
    <w:rsid w:val="00AC6B09"/>
    <w:pPr>
      <w:ind w:firstLine="0"/>
    </w:pPr>
  </w:style>
  <w:style w:type="paragraph" w:styleId="ListContinue3">
    <w:name w:val="List Continue 3"/>
    <w:basedOn w:val="List3"/>
    <w:rsid w:val="00AC6B09"/>
    <w:pPr>
      <w:ind w:left="1021" w:firstLine="0"/>
    </w:pPr>
  </w:style>
  <w:style w:type="paragraph" w:styleId="ListContinue4">
    <w:name w:val="List Continue 4"/>
    <w:basedOn w:val="List4"/>
    <w:rsid w:val="00AC6B09"/>
    <w:pPr>
      <w:ind w:firstLine="0"/>
    </w:pPr>
  </w:style>
  <w:style w:type="paragraph" w:styleId="ListContinue5">
    <w:name w:val="List Continue 5"/>
    <w:basedOn w:val="List5"/>
    <w:rsid w:val="00AC6B09"/>
    <w:pPr>
      <w:ind w:firstLine="0"/>
    </w:pPr>
  </w:style>
  <w:style w:type="paragraph" w:styleId="ListNumber3">
    <w:name w:val="List Number 3"/>
    <w:basedOn w:val="List3"/>
    <w:rsid w:val="00AC6B09"/>
    <w:pPr>
      <w:numPr>
        <w:numId w:val="5"/>
      </w:numPr>
    </w:pPr>
  </w:style>
  <w:style w:type="paragraph" w:styleId="ListNumber4">
    <w:name w:val="List Number 4"/>
    <w:basedOn w:val="List4"/>
    <w:rsid w:val="00AC6B09"/>
    <w:pPr>
      <w:numPr>
        <w:numId w:val="6"/>
      </w:numPr>
    </w:pPr>
  </w:style>
  <w:style w:type="paragraph" w:styleId="ListNumber5">
    <w:name w:val="List Number 5"/>
    <w:basedOn w:val="List5"/>
    <w:rsid w:val="00AC6B09"/>
    <w:pPr>
      <w:numPr>
        <w:numId w:val="7"/>
      </w:numPr>
    </w:pPr>
  </w:style>
  <w:style w:type="paragraph" w:styleId="BlockText">
    <w:name w:val="Block Text"/>
    <w:basedOn w:val="Normal"/>
    <w:rsid w:val="00AC6B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B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B09"/>
    <w:rPr>
      <w:sz w:val="16"/>
      <w:vertAlign w:val="superscript"/>
    </w:rPr>
  </w:style>
  <w:style w:type="character" w:customStyle="1" w:styleId="Symbols">
    <w:name w:val="Symbols"/>
    <w:basedOn w:val="DefaultParagraphFont"/>
    <w:rsid w:val="00AC6B09"/>
    <w:rPr>
      <w:rFonts w:ascii="Symbol" w:hAnsi="Symbol"/>
    </w:rPr>
  </w:style>
  <w:style w:type="character" w:customStyle="1" w:styleId="MenuOptions">
    <w:name w:val="Menu Options"/>
    <w:basedOn w:val="DefaultParagraphFont"/>
    <w:rsid w:val="00AC6B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B09"/>
    <w:rPr>
      <w:b/>
    </w:rPr>
  </w:style>
  <w:style w:type="character" w:customStyle="1" w:styleId="Underlined">
    <w:name w:val="Underlined"/>
    <w:basedOn w:val="DefaultParagraphFont"/>
    <w:rsid w:val="00AC6B09"/>
    <w:rPr>
      <w:u w:val="single"/>
    </w:rPr>
  </w:style>
  <w:style w:type="paragraph" w:customStyle="1" w:styleId="TableBodyTextRight">
    <w:name w:val="Table Body Text Right"/>
    <w:basedOn w:val="TableBodyText"/>
    <w:rsid w:val="00AC6B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B09"/>
    <w:rPr>
      <w:sz w:val="18"/>
    </w:rPr>
  </w:style>
  <w:style w:type="paragraph" w:customStyle="1" w:styleId="BodySmallRight">
    <w:name w:val="Body Small Right"/>
    <w:basedOn w:val="BodyTextRight"/>
    <w:rsid w:val="00AC6B09"/>
    <w:rPr>
      <w:sz w:val="18"/>
      <w:szCs w:val="18"/>
    </w:rPr>
  </w:style>
  <w:style w:type="paragraph" w:customStyle="1" w:styleId="MarginEdition">
    <w:name w:val="Margin Edition"/>
    <w:basedOn w:val="MarginNote"/>
    <w:rsid w:val="00AC6B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B09"/>
    <w:rPr>
      <w:sz w:val="2"/>
      <w:szCs w:val="2"/>
    </w:rPr>
  </w:style>
  <w:style w:type="character" w:customStyle="1" w:styleId="Small">
    <w:name w:val="Small"/>
    <w:basedOn w:val="DefaultParagraphFont"/>
    <w:rsid w:val="00AC6B09"/>
    <w:rPr>
      <w:sz w:val="16"/>
    </w:rPr>
  </w:style>
  <w:style w:type="paragraph" w:customStyle="1" w:styleId="WideTable">
    <w:name w:val="Wide Table"/>
    <w:basedOn w:val="Normal"/>
    <w:rsid w:val="00AC6B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B09"/>
  </w:style>
  <w:style w:type="paragraph" w:styleId="Quote">
    <w:name w:val="Quote"/>
    <w:basedOn w:val="Heading1"/>
    <w:link w:val="QuoteChar"/>
    <w:qFormat/>
    <w:rsid w:val="00AC6B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B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B09"/>
    <w:pPr>
      <w:pageBreakBefore/>
    </w:pPr>
  </w:style>
  <w:style w:type="paragraph" w:customStyle="1" w:styleId="Border">
    <w:name w:val="Border"/>
    <w:basedOn w:val="Normal"/>
    <w:qFormat/>
    <w:rsid w:val="00AC6B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B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B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B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B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B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B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B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B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B09"/>
    <w:rPr>
      <w:u w:val="single"/>
    </w:rPr>
  </w:style>
  <w:style w:type="character" w:customStyle="1" w:styleId="BoldandItalics">
    <w:name w:val="Bold and Italics"/>
    <w:qFormat/>
    <w:rsid w:val="00AC6B09"/>
    <w:rPr>
      <w:b/>
      <w:i/>
      <w:u w:val="none"/>
    </w:rPr>
  </w:style>
  <w:style w:type="paragraph" w:styleId="BalloonText">
    <w:name w:val="Balloon Text"/>
    <w:basedOn w:val="Normal"/>
    <w:link w:val="BalloonTextChar"/>
    <w:rsid w:val="00AC6B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B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B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B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B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B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1955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MARC004 Operate deck machinery</dc:title>
  <dc:subject>Approved</dc:subject>
  <dc:creator>Transport &amp; Logistics Industry Skills Council</dc:creator>
  <cp:keywords>Release: 1</cp:keywords>
  <dc:description>Review Date: 12 April 2008</dc:description>
  <cp:lastModifiedBy>TPCMS</cp:lastModifiedBy>
  <cp:revision>3</cp:revision>
  <dcterms:created xsi:type="dcterms:W3CDTF">2016-02-24T03:53:00Z</dcterms:created>
  <dcterms:modified xsi:type="dcterms:W3CDTF">2016-02-24T03:53:00Z</dcterms:modified>
</cp:coreProperties>
</file>