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03CD" w:rsidP="003F03CD">
      <w:pPr>
        <w:pStyle w:val="Title"/>
      </w:pPr>
      <w:r>
        <w:fldChar w:fldCharType="begin"/>
      </w:r>
      <w:r>
        <w:instrText xml:space="preserve"> TITLE   \* MERGEFORMAT </w:instrText>
      </w:r>
      <w:r>
        <w:fldChar w:fldCharType="separate"/>
      </w:r>
      <w:r>
        <w:t>MARB044 Operate and maintain ship power systems exceeding 1,000 volts</w:t>
      </w:r>
      <w:r>
        <w:fldChar w:fldCharType="end"/>
      </w:r>
    </w:p>
    <w:p w:rsidR="003F03CD" w:rsidP="003F03CD">
      <w:pPr>
        <w:pStyle w:val="Version"/>
        <w:sectPr w:rsidSect="00955C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5C00" w:rsidP="00955C00">
      <w:pPr>
        <w:pStyle w:val="SuperHeading"/>
      </w:pPr>
      <w:r w:rsidRPr="00955C00">
        <w:t>MARB044 Operate and maintain ship power systems exceeding 1,000 volts</w:t>
      </w:r>
    </w:p>
    <w:p w:rsidR="00000000" w:rsidRPr="00955C00" w:rsidP="00955C00">
      <w:pPr>
        <w:pStyle w:val="Heading1"/>
      </w:pPr>
      <w:bookmarkStart w:id="1" w:name="O_1086123"/>
      <w:bookmarkEnd w:id="1"/>
      <w:r w:rsidRPr="00955C00">
        <w:t>Modification History</w:t>
      </w:r>
    </w:p>
    <w:tbl>
      <w:tblPr>
        <w:tblW w:w="9497" w:type="dxa"/>
        <w:tblLayout w:type="fixed"/>
        <w:tblCellMar>
          <w:left w:w="62" w:type="dxa"/>
          <w:right w:w="62" w:type="dxa"/>
        </w:tblCellMar>
        <w:tblLook w:val="0000"/>
      </w:tblPr>
      <w:tblGrid>
        <w:gridCol w:w="9497"/>
      </w:tblGrid>
      <w:tr w:rsidTr="00955C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5C00" w:rsidP="00955C00">
            <w:pPr>
              <w:pStyle w:val="BodyText"/>
            </w:pPr>
            <w:r w:rsidRPr="00955C00">
              <w:t>Release 1. This is the first release of this unit of competency in the MAR Maritime Training Package</w:t>
            </w:r>
          </w:p>
        </w:tc>
      </w:tr>
    </w:tbl>
    <w:p w:rsidR="003F03CD" w:rsidP="00955C00">
      <w:pPr>
        <w:pStyle w:val="NoPaddingFontSize1"/>
      </w:pPr>
    </w:p>
    <w:p w:rsidR="003F03CD" w:rsidP="00955C00">
      <w:pPr>
        <w:pStyle w:val="NoPaddingFontSize1"/>
      </w:pPr>
    </w:p>
    <w:p w:rsidR="00000000" w:rsidRPr="00955C00" w:rsidP="00955C00">
      <w:pPr>
        <w:pStyle w:val="Heading1"/>
      </w:pPr>
      <w:bookmarkStart w:id="2" w:name="O_1086124"/>
      <w:bookmarkEnd w:id="2"/>
      <w:r w:rsidRPr="00955C00">
        <w:t>Application</w:t>
      </w:r>
    </w:p>
    <w:tbl>
      <w:tblPr>
        <w:tblW w:w="9497" w:type="dxa"/>
        <w:tblLayout w:type="fixed"/>
        <w:tblCellMar>
          <w:left w:w="62" w:type="dxa"/>
          <w:right w:w="62" w:type="dxa"/>
        </w:tblCellMar>
        <w:tblLook w:val="0000"/>
      </w:tblPr>
      <w:tblGrid>
        <w:gridCol w:w="9497"/>
      </w:tblGrid>
      <w:tr w:rsidTr="00955C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5C00" w:rsidP="00955C00">
            <w:pPr>
              <w:pStyle w:val="BodyText"/>
            </w:pPr>
            <w:r w:rsidRPr="00955C00">
              <w:t>This unit involves the skills and knowledge required to operate and maintain ship high voltage (HV) power systems exceeding 1,000 volts (V).</w:t>
            </w:r>
          </w:p>
          <w:p w:rsidR="00000000" w:rsidRPr="00955C00" w:rsidP="00955C00">
            <w:pPr>
              <w:pStyle w:val="BodyText"/>
            </w:pPr>
            <w:r w:rsidRPr="00955C00">
              <w:t>It includes reviewing and managing electrical propulsions of the ship, electrical motors and control systems as par</w:t>
            </w:r>
            <w:r w:rsidRPr="00955C00">
              <w:t>t of the ship power system. It also includes HV technology and required documentation.</w:t>
            </w:r>
          </w:p>
          <w:p w:rsidR="00000000" w:rsidRPr="00955C00" w:rsidP="00955C00">
            <w:pPr>
              <w:pStyle w:val="BodyText"/>
            </w:pPr>
            <w:r w:rsidRPr="00955C00">
              <w:t>This unit applies to people working in the maritime industry in the capacity of:</w:t>
            </w:r>
          </w:p>
          <w:p w:rsidR="00000000" w:rsidRPr="00955C00" w:rsidP="00955C00">
            <w:pPr>
              <w:pStyle w:val="ListBullet"/>
            </w:pPr>
            <w:r w:rsidRPr="00955C00">
              <w:t>Electro-Technical Officer (STCW Electro-Technical Officer Unlimited)</w:t>
            </w:r>
          </w:p>
          <w:p w:rsidR="00000000" w:rsidRPr="00955C00" w:rsidP="00955C00">
            <w:pPr>
              <w:pStyle w:val="ListBullet"/>
            </w:pPr>
            <w:r w:rsidRPr="00955C00">
              <w:t>Engineer Class 1 (</w:t>
            </w:r>
            <w:r w:rsidRPr="00955C00">
              <w:t>STCW Chief Engineer Unlimited)</w:t>
            </w:r>
          </w:p>
          <w:p w:rsidR="00000000" w:rsidRPr="00955C00" w:rsidP="00955C00">
            <w:pPr>
              <w:pStyle w:val="ListBullet"/>
            </w:pPr>
            <w:r w:rsidRPr="00955C00">
              <w:t>Engineer Class 2 (STCW Second Engineer Unlimited)</w:t>
            </w:r>
          </w:p>
          <w:p w:rsidR="00000000" w:rsidRPr="00955C00" w:rsidP="00955C00">
            <w:pPr>
              <w:pStyle w:val="ListBullet"/>
            </w:pPr>
            <w:r w:rsidRPr="00955C00">
              <w:t>Engineer Watchkeeper (STCW Engineer Watchkeeper Unlimited).</w:t>
            </w:r>
          </w:p>
          <w:p w:rsidR="00000000" w:rsidRPr="00955C00" w:rsidP="00955C00">
            <w:pPr>
              <w:pStyle w:val="BodyText"/>
            </w:pPr>
          </w:p>
          <w:p w:rsidR="00000000" w:rsidRPr="00955C00" w:rsidP="00955C00">
            <w:pPr>
              <w:pStyle w:val="BodyText"/>
            </w:pPr>
            <w:r w:rsidRPr="00955C00">
              <w:rPr>
                <w:rStyle w:val="SpecialBold"/>
              </w:rPr>
              <w:t>Licensing/Regulatory Information</w:t>
            </w:r>
          </w:p>
          <w:p w:rsidR="00000000" w:rsidRPr="00955C00" w:rsidP="00955C00">
            <w:pPr>
              <w:pStyle w:val="BodyText"/>
            </w:pPr>
            <w:r w:rsidRPr="00955C00">
              <w:t>Legislative and regulatory requirements are applicable to this unit.</w:t>
            </w:r>
          </w:p>
          <w:p w:rsidR="00000000" w:rsidRPr="00955C00" w:rsidP="00955C00">
            <w:pPr>
              <w:pStyle w:val="BodyText"/>
            </w:pPr>
            <w:r w:rsidRPr="00955C00">
              <w:t>A person competent in this unit will hold either an Unrestricted Electrical Licence issued in an Australian state or territory, a Marine Engineering Certificate of Competency issued under Marine Order 72 or be undertaking an Australian Maritime Safety Auth</w:t>
            </w:r>
            <w:r w:rsidRPr="00955C00">
              <w:t>ority (AMSA) approved course of study under Marine Order 72, and be able to operate and maintain ship power systems exceeding 1,000 V in accordance to relevant industry standards and regulations.</w:t>
            </w:r>
          </w:p>
          <w:p w:rsidR="00000000" w:rsidRPr="00955C00" w:rsidP="00955C00">
            <w:pPr>
              <w:pStyle w:val="BodyText"/>
            </w:pPr>
            <w:r w:rsidRPr="00955C00">
              <w:t>This unit is subject to the following requirements:</w:t>
            </w:r>
          </w:p>
          <w:p w:rsidR="00000000" w:rsidRPr="00955C00" w:rsidP="00955C00">
            <w:pPr>
              <w:pStyle w:val="ListBullet"/>
            </w:pPr>
            <w:r w:rsidRPr="00955C00">
              <w:t>Legisla</w:t>
            </w:r>
            <w:r w:rsidRPr="00955C00">
              <w:t>tion, regulations, relevant industry standards and codes of practice for electrical work, including specific work health and safety (WHS)/occupational health and safety (OHS) legislation and regulatory requirements.</w:t>
            </w:r>
          </w:p>
          <w:p w:rsidR="00000000" w:rsidRPr="00955C00" w:rsidP="00955C00">
            <w:pPr>
              <w:pStyle w:val="ListBullet"/>
            </w:pPr>
            <w:r w:rsidRPr="00955C00">
              <w:t xml:space="preserve">This unit is one of the requirements to </w:t>
            </w:r>
            <w:r w:rsidRPr="00955C00">
              <w:t>obtain AMSA certification as an Electro-Technical Officer (STCW Electro-Technical Officer Unlimited), Engineer Class 1 (STCW Chief Engineer Unlimited), Engineer Class 2 (STCW Second Engineer Unlimited) or Engineer Watchkeeper (STCW Engineer Watchkeeper Unl</w:t>
            </w:r>
            <w:r w:rsidRPr="00955C00">
              <w:t>imited) and to meet regulatory requirements this unit must be delivered consistent with Marine Orders and with the relevant sections of the International Convention on Standards of Training, Certification and Watchkeeping for Seafarers (STCW).</w:t>
            </w:r>
          </w:p>
          <w:p w:rsidR="00000000" w:rsidRPr="00955C00" w:rsidP="00955C00">
            <w:pPr>
              <w:pStyle w:val="ListBullet"/>
            </w:pPr>
            <w:r w:rsidRPr="00955C00">
              <w:t>Those regula</w:t>
            </w:r>
            <w:r w:rsidRPr="00955C00">
              <w:t xml:space="preserve">tory requirements include STCW International Maritime Organization (IMO) model course competencies and areas of knowledge, understanding and proficiency, together </w:t>
            </w:r>
            <w:r w:rsidRPr="00955C00">
              <w:t xml:space="preserve">with the estimated total hours required for lectures and practical exercises. Teaching staff </w:t>
            </w:r>
            <w:r w:rsidRPr="00955C00">
              <w:t>should note that timings are suggestions only and should be adapted to suit individual groups of trainees depending on their experience, ability, equipment and staff available for training.</w:t>
            </w:r>
          </w:p>
          <w:p w:rsidR="00000000" w:rsidRPr="00955C00" w:rsidP="00955C00">
            <w:pPr>
              <w:pStyle w:val="ListBullet"/>
            </w:pPr>
            <w:r w:rsidRPr="00955C00">
              <w:t xml:space="preserve">Electrical licence requirements – unrestricted electrical work or </w:t>
            </w:r>
            <w:r w:rsidRPr="00955C00">
              <w:t>relevant industry experience approved by maritime regulator.</w:t>
            </w:r>
          </w:p>
          <w:p w:rsidR="00000000" w:rsidRPr="00955C00" w:rsidP="00955C00">
            <w:pPr>
              <w:pStyle w:val="ListBullet"/>
            </w:pPr>
            <w:r w:rsidRPr="00955C00">
              <w:t>Legislation, regulations, relevant industry standards and codes of practice for ship power systems exceeding 1,000 V.</w:t>
            </w:r>
          </w:p>
          <w:p w:rsidR="00000000" w:rsidRPr="00955C00" w:rsidP="00955C00">
            <w:pPr>
              <w:pStyle w:val="BodyText"/>
            </w:pPr>
            <w:r w:rsidRPr="00955C00">
              <w:t>There may be variations in these requirements across jurisdictions.</w:t>
            </w:r>
          </w:p>
        </w:tc>
      </w:tr>
    </w:tbl>
    <w:p w:rsidR="003F03CD" w:rsidP="00955C00">
      <w:pPr>
        <w:pStyle w:val="NoPaddingFontSize1"/>
      </w:pPr>
    </w:p>
    <w:p w:rsidR="003F03CD" w:rsidP="00955C00">
      <w:pPr>
        <w:pStyle w:val="NoPaddingFontSize1"/>
      </w:pPr>
    </w:p>
    <w:p w:rsidR="00000000" w:rsidRPr="00955C00" w:rsidP="00955C00">
      <w:pPr>
        <w:pStyle w:val="Heading1"/>
      </w:pPr>
      <w:bookmarkStart w:id="3" w:name="O_1086125"/>
      <w:bookmarkEnd w:id="3"/>
      <w:r w:rsidRPr="00955C00">
        <w:t>Pre-requisite Unit</w:t>
      </w:r>
    </w:p>
    <w:tbl>
      <w:tblPr>
        <w:tblW w:w="9497" w:type="dxa"/>
        <w:tblLayout w:type="fixed"/>
        <w:tblCellMar>
          <w:left w:w="62" w:type="dxa"/>
          <w:right w:w="62" w:type="dxa"/>
        </w:tblCellMar>
        <w:tblLook w:val="0000"/>
      </w:tblPr>
      <w:tblGrid>
        <w:gridCol w:w="9497"/>
      </w:tblGrid>
      <w:tr w:rsidTr="00955C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5C00" w:rsidP="00955C00">
            <w:pPr>
              <w:pStyle w:val="BodyText"/>
            </w:pPr>
            <w:r w:rsidRPr="00955C00">
              <w:t>Not applicable.</w:t>
            </w:r>
          </w:p>
        </w:tc>
      </w:tr>
    </w:tbl>
    <w:p w:rsidR="00000000" w:rsidRPr="00955C00" w:rsidP="00955C00">
      <w:pPr>
        <w:pStyle w:val="NoPaddingFontSize1"/>
      </w:pPr>
    </w:p>
    <w:p w:rsidR="00000000" w:rsidRPr="00955C00" w:rsidP="00955C00">
      <w:pPr>
        <w:pStyle w:val="AllowPageBreak"/>
      </w:pPr>
    </w:p>
    <w:p w:rsidR="00000000" w:rsidRPr="00955C00" w:rsidP="00955C00">
      <w:pPr>
        <w:pStyle w:val="Heading1"/>
      </w:pPr>
      <w:bookmarkStart w:id="4" w:name="O_1086126"/>
      <w:bookmarkEnd w:id="4"/>
      <w:r w:rsidRPr="00955C00">
        <w:t>Competency Field</w:t>
      </w:r>
    </w:p>
    <w:tbl>
      <w:tblPr>
        <w:tblW w:w="9497" w:type="dxa"/>
        <w:tblLayout w:type="fixed"/>
        <w:tblCellMar>
          <w:left w:w="62" w:type="dxa"/>
          <w:right w:w="62" w:type="dxa"/>
        </w:tblCellMar>
        <w:tblLook w:val="0000"/>
      </w:tblPr>
      <w:tblGrid>
        <w:gridCol w:w="9497"/>
      </w:tblGrid>
      <w:tr w:rsidTr="00955C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5C00" w:rsidP="00955C00">
            <w:pPr>
              <w:pStyle w:val="BodyText"/>
            </w:pPr>
            <w:r w:rsidRPr="00955C00">
              <w:t>B – Equipment Checking and Maintenance</w:t>
            </w:r>
          </w:p>
        </w:tc>
      </w:tr>
    </w:tbl>
    <w:p w:rsidR="003F03CD" w:rsidP="00955C00">
      <w:pPr>
        <w:pStyle w:val="NoPaddingFontSize1"/>
      </w:pPr>
    </w:p>
    <w:p w:rsidR="003F03CD" w:rsidP="00955C00">
      <w:pPr>
        <w:pStyle w:val="NoPaddingFontSize1"/>
      </w:pPr>
    </w:p>
    <w:p w:rsidR="00000000" w:rsidRPr="00955C00" w:rsidP="00955C00">
      <w:pPr>
        <w:pStyle w:val="Heading1"/>
      </w:pPr>
      <w:bookmarkStart w:id="5" w:name="O_1086127"/>
      <w:bookmarkEnd w:id="5"/>
      <w:r w:rsidRPr="00955C00">
        <w:t>Unit Sector</w:t>
      </w:r>
    </w:p>
    <w:tbl>
      <w:tblPr>
        <w:tblW w:w="9497" w:type="dxa"/>
        <w:tblLayout w:type="fixed"/>
        <w:tblCellMar>
          <w:left w:w="62" w:type="dxa"/>
          <w:right w:w="62" w:type="dxa"/>
        </w:tblCellMar>
        <w:tblLook w:val="0000"/>
      </w:tblPr>
      <w:tblGrid>
        <w:gridCol w:w="9497"/>
      </w:tblGrid>
      <w:tr w:rsidTr="00955C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5C00" w:rsidP="00955C00">
            <w:pPr>
              <w:pStyle w:val="BodyText"/>
            </w:pPr>
            <w:r w:rsidRPr="00955C00">
              <w:t>Electrotechnology</w:t>
            </w:r>
          </w:p>
        </w:tc>
      </w:tr>
    </w:tbl>
    <w:p w:rsidR="003F03CD" w:rsidP="00955C00">
      <w:pPr>
        <w:pStyle w:val="NoPaddingFontSize1"/>
      </w:pPr>
    </w:p>
    <w:p w:rsidR="003F03CD" w:rsidP="00955C00">
      <w:pPr>
        <w:pStyle w:val="NoPaddingFontSize1"/>
      </w:pPr>
    </w:p>
    <w:p w:rsidR="00000000" w:rsidRPr="00955C00" w:rsidP="00955C00">
      <w:pPr>
        <w:pStyle w:val="Heading1"/>
      </w:pPr>
      <w:bookmarkStart w:id="6" w:name="O_1086128"/>
      <w:bookmarkEnd w:id="6"/>
      <w:r w:rsidRPr="00955C00">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955C0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955C00" w:rsidP="00955C00">
            <w:pPr>
              <w:pStyle w:val="BodyText"/>
            </w:pPr>
            <w:r w:rsidRPr="00955C0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55C00">
            <w:pPr>
              <w:pStyle w:val="BodyText"/>
              <w:rPr>
                <w:lang w:val="en-NZ"/>
              </w:rPr>
            </w:pPr>
            <w:r w:rsidRPr="00955C00">
              <w:rPr>
                <w:rStyle w:val="SpecialBold"/>
              </w:rPr>
              <w:t>PERFORMA</w:t>
            </w:r>
            <w:r w:rsidRPr="00955C00">
              <w:rPr>
                <w:rStyle w:val="SpecialBold"/>
              </w:rPr>
              <w:t>NCE CRITERIA</w:t>
            </w:r>
          </w:p>
        </w:tc>
      </w:tr>
      <w:tr w:rsidTr="00955C0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955C00">
            <w:pPr>
              <w:pStyle w:val="BodyText"/>
              <w:rPr>
                <w:lang w:val="en-NZ"/>
              </w:rPr>
            </w:pPr>
            <w:r w:rsidRPr="00955C0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55C00">
            <w:pPr>
              <w:pStyle w:val="BodyText"/>
              <w:rPr>
                <w:lang w:val="en-NZ"/>
              </w:rPr>
            </w:pPr>
            <w:r w:rsidRPr="00955C00">
              <w:t>Performance criteria describe the performance needed to demonstrate achievement of the element.</w:t>
            </w:r>
          </w:p>
        </w:tc>
      </w:tr>
      <w:tr w:rsidTr="00955C0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55C00" w:rsidP="00955C00">
            <w:pPr>
              <w:pStyle w:val="BodyText"/>
            </w:pPr>
            <w:r w:rsidRPr="00955C00">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955C00" w:rsidP="00955C00">
            <w:pPr>
              <w:pStyle w:val="BodyText"/>
            </w:pPr>
            <w:r w:rsidRPr="00955C00">
              <w:rPr>
                <w:rStyle w:val="SpecialBold"/>
              </w:rPr>
              <w:t>Review ship power systems operations</w:t>
            </w:r>
          </w:p>
        </w:tc>
        <w:tc>
          <w:tcPr>
            <w:tcW w:w="697" w:type="dxa"/>
            <w:tcBorders>
              <w:top w:val="nil"/>
              <w:left w:val="nil"/>
              <w:bottom w:val="nil"/>
              <w:right w:val="nil"/>
            </w:tcBorders>
            <w:tcMar>
              <w:top w:w="0" w:type="dxa"/>
              <w:left w:w="62" w:type="dxa"/>
              <w:bottom w:w="0" w:type="dxa"/>
              <w:right w:w="62" w:type="dxa"/>
            </w:tcMar>
          </w:tcPr>
          <w:p w:rsidR="00000000" w:rsidP="00955C00">
            <w:pPr>
              <w:pStyle w:val="BodyText"/>
              <w:rPr>
                <w:lang w:val="en-NZ"/>
              </w:rPr>
            </w:pPr>
            <w:r w:rsidRPr="00955C0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55C00">
            <w:pPr>
              <w:pStyle w:val="BodyText"/>
              <w:rPr>
                <w:lang w:val="en-NZ"/>
              </w:rPr>
            </w:pPr>
            <w:r w:rsidRPr="00955C00">
              <w:t>Ship power systems are identified and analysed from electrical drawings and specifications</w:t>
            </w:r>
          </w:p>
        </w:tc>
      </w:tr>
      <w:tr w:rsidTr="00955C0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55C0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55C00">
            <w:pPr>
              <w:pStyle w:val="BodyText"/>
              <w:rPr>
                <w:lang w:val="en-NZ"/>
              </w:rPr>
            </w:pPr>
            <w:r w:rsidRPr="00955C0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55C00">
            <w:pPr>
              <w:pStyle w:val="BodyText"/>
              <w:rPr>
                <w:lang w:val="en-NZ"/>
              </w:rPr>
            </w:pPr>
            <w:r w:rsidRPr="00955C00">
              <w:t>Hazards are identified, risks assessed and control measures implemented</w:t>
            </w:r>
          </w:p>
        </w:tc>
      </w:tr>
      <w:tr w:rsidTr="00955C0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55C00" w:rsidP="00955C00">
            <w:pPr>
              <w:pStyle w:val="BodyText"/>
            </w:pPr>
            <w:r w:rsidRPr="00955C00">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955C00" w:rsidP="00955C00">
            <w:pPr>
              <w:pStyle w:val="BodyText"/>
            </w:pPr>
            <w:r w:rsidRPr="00955C00">
              <w:rPr>
                <w:rStyle w:val="SpecialBold"/>
              </w:rPr>
              <w:t>Manage ship power systems</w:t>
            </w:r>
          </w:p>
        </w:tc>
        <w:tc>
          <w:tcPr>
            <w:tcW w:w="697" w:type="dxa"/>
            <w:tcBorders>
              <w:top w:val="nil"/>
              <w:left w:val="nil"/>
              <w:bottom w:val="nil"/>
              <w:right w:val="nil"/>
            </w:tcBorders>
            <w:tcMar>
              <w:top w:w="0" w:type="dxa"/>
              <w:left w:w="62" w:type="dxa"/>
              <w:bottom w:w="0" w:type="dxa"/>
              <w:right w:w="62" w:type="dxa"/>
            </w:tcMar>
          </w:tcPr>
          <w:p w:rsidR="00000000" w:rsidP="00955C00">
            <w:pPr>
              <w:pStyle w:val="BodyText"/>
              <w:rPr>
                <w:lang w:val="en-NZ"/>
              </w:rPr>
            </w:pPr>
            <w:r w:rsidRPr="00955C0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55C00">
            <w:pPr>
              <w:pStyle w:val="BodyText"/>
              <w:rPr>
                <w:lang w:val="en-NZ"/>
              </w:rPr>
            </w:pPr>
            <w:r w:rsidRPr="00955C00">
              <w:t>Operations are carried out in accordance with operational manuals, rules and procedures to ensure safety of operations</w:t>
            </w:r>
          </w:p>
        </w:tc>
      </w:tr>
      <w:tr w:rsidTr="00955C0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55C0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55C00">
            <w:pPr>
              <w:pStyle w:val="BodyText"/>
              <w:rPr>
                <w:lang w:val="en-NZ"/>
              </w:rPr>
            </w:pPr>
            <w:r w:rsidRPr="00955C0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55C00">
            <w:pPr>
              <w:pStyle w:val="BodyText"/>
              <w:rPr>
                <w:lang w:val="en-NZ"/>
              </w:rPr>
            </w:pPr>
            <w:r w:rsidRPr="00955C00">
              <w:t>Electrical permit system to work on HV systems are identified and applied</w:t>
            </w:r>
          </w:p>
        </w:tc>
      </w:tr>
      <w:tr w:rsidTr="00955C0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55C0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55C00">
            <w:pPr>
              <w:pStyle w:val="BodyText"/>
              <w:rPr>
                <w:lang w:val="en-NZ"/>
              </w:rPr>
            </w:pPr>
            <w:r w:rsidRPr="00955C0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55C00">
            <w:pPr>
              <w:pStyle w:val="BodyText"/>
              <w:rPr>
                <w:lang w:val="en-NZ"/>
              </w:rPr>
            </w:pPr>
            <w:r w:rsidRPr="00955C00">
              <w:t xml:space="preserve">HV isolation and verification are carried out in </w:t>
            </w:r>
            <w:r w:rsidRPr="00955C00">
              <w:t>accordance with procedures</w:t>
            </w:r>
          </w:p>
        </w:tc>
      </w:tr>
      <w:tr w:rsidTr="00955C0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55C0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55C00">
            <w:pPr>
              <w:pStyle w:val="BodyText"/>
              <w:rPr>
                <w:lang w:val="en-NZ"/>
              </w:rPr>
            </w:pPr>
            <w:r w:rsidRPr="00955C0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55C00">
            <w:pPr>
              <w:pStyle w:val="BodyText"/>
              <w:rPr>
                <w:lang w:val="en-NZ"/>
              </w:rPr>
            </w:pPr>
            <w:r w:rsidRPr="00955C00">
              <w:t>Ship power systems are visually inspected and tested in accordance with maintenance specification and electrical operation plan</w:t>
            </w:r>
          </w:p>
        </w:tc>
      </w:tr>
      <w:tr w:rsidTr="00955C0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55C0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55C00">
            <w:pPr>
              <w:pStyle w:val="BodyText"/>
              <w:rPr>
                <w:lang w:val="en-NZ"/>
              </w:rPr>
            </w:pPr>
            <w:r w:rsidRPr="00955C0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55C00">
            <w:pPr>
              <w:pStyle w:val="BodyText"/>
              <w:rPr>
                <w:lang w:val="en-NZ"/>
              </w:rPr>
            </w:pPr>
            <w:r w:rsidRPr="00955C00">
              <w:t>Maintenance work is checked to verify that it conforms with technical specifications</w:t>
            </w:r>
          </w:p>
        </w:tc>
      </w:tr>
      <w:tr w:rsidTr="00955C0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55C0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55C00">
            <w:pPr>
              <w:pStyle w:val="BodyText"/>
              <w:rPr>
                <w:lang w:val="en-NZ"/>
              </w:rPr>
            </w:pPr>
            <w:r w:rsidRPr="00955C00">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955C00">
            <w:pPr>
              <w:pStyle w:val="BodyText"/>
              <w:rPr>
                <w:lang w:val="en-NZ"/>
              </w:rPr>
            </w:pPr>
            <w:r w:rsidRPr="00955C00">
              <w:t xml:space="preserve">Electrical system is verified prior to re-energising system </w:t>
            </w:r>
          </w:p>
        </w:tc>
      </w:tr>
      <w:tr w:rsidTr="00955C0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55C0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55C00">
            <w:pPr>
              <w:pStyle w:val="BodyText"/>
              <w:rPr>
                <w:lang w:val="en-NZ"/>
              </w:rPr>
            </w:pPr>
            <w:r w:rsidRPr="00955C00">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955C00">
            <w:pPr>
              <w:pStyle w:val="BodyText"/>
              <w:rPr>
                <w:lang w:val="en-NZ"/>
              </w:rPr>
            </w:pPr>
            <w:r w:rsidRPr="00955C00">
              <w:t xml:space="preserve">HV system is re-energised in accordance with procedures </w:t>
            </w:r>
          </w:p>
        </w:tc>
      </w:tr>
      <w:tr w:rsidTr="00955C0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55C00" w:rsidP="00955C00">
            <w:pPr>
              <w:pStyle w:val="BodyText"/>
            </w:pPr>
            <w:r w:rsidRPr="00955C00">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955C00" w:rsidP="00955C00">
            <w:pPr>
              <w:pStyle w:val="BodyText"/>
            </w:pPr>
            <w:r w:rsidRPr="00955C00">
              <w:rPr>
                <w:rStyle w:val="SpecialBold"/>
              </w:rPr>
              <w:t>Clean up and complete documentation</w:t>
            </w:r>
          </w:p>
        </w:tc>
        <w:tc>
          <w:tcPr>
            <w:tcW w:w="697" w:type="dxa"/>
            <w:tcBorders>
              <w:top w:val="nil"/>
              <w:left w:val="nil"/>
              <w:bottom w:val="nil"/>
              <w:right w:val="nil"/>
            </w:tcBorders>
            <w:tcMar>
              <w:top w:w="0" w:type="dxa"/>
              <w:left w:w="62" w:type="dxa"/>
              <w:bottom w:w="0" w:type="dxa"/>
              <w:right w:w="62" w:type="dxa"/>
            </w:tcMar>
          </w:tcPr>
          <w:p w:rsidR="00000000" w:rsidP="00955C00">
            <w:pPr>
              <w:pStyle w:val="BodyText"/>
              <w:rPr>
                <w:lang w:val="en-NZ"/>
              </w:rPr>
            </w:pPr>
            <w:r w:rsidRPr="00955C0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55C00">
            <w:pPr>
              <w:pStyle w:val="BodyText"/>
              <w:rPr>
                <w:lang w:val="en-NZ"/>
              </w:rPr>
            </w:pPr>
            <w:r w:rsidRPr="00955C00">
              <w:t>Work area is cleared and cleaned</w:t>
            </w:r>
          </w:p>
        </w:tc>
      </w:tr>
      <w:tr w:rsidTr="00955C0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55C0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55C00">
            <w:pPr>
              <w:pStyle w:val="BodyText"/>
              <w:rPr>
                <w:lang w:val="en-NZ"/>
              </w:rPr>
            </w:pPr>
            <w:r w:rsidRPr="00955C0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55C00">
            <w:pPr>
              <w:pStyle w:val="BodyText"/>
              <w:rPr>
                <w:lang w:val="en-NZ"/>
              </w:rPr>
            </w:pPr>
            <w:r w:rsidRPr="00955C00">
              <w:t>Wor</w:t>
            </w:r>
            <w:r w:rsidRPr="00955C00">
              <w:t>k area is made safe in accordance with safe electrical working practices</w:t>
            </w:r>
          </w:p>
        </w:tc>
      </w:tr>
      <w:tr w:rsidTr="00955C0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55C0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55C00">
            <w:pPr>
              <w:pStyle w:val="BodyText"/>
              <w:rPr>
                <w:lang w:val="en-NZ"/>
              </w:rPr>
            </w:pPr>
            <w:r w:rsidRPr="00955C0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55C00">
            <w:pPr>
              <w:pStyle w:val="BodyText"/>
              <w:rPr>
                <w:lang w:val="en-NZ"/>
              </w:rPr>
            </w:pPr>
            <w:r w:rsidRPr="00955C00">
              <w:t>Materials are disposed of or recycled in accordance with legislative and workplace requirements</w:t>
            </w:r>
          </w:p>
        </w:tc>
      </w:tr>
      <w:tr w:rsidTr="00955C0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55C0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55C00">
            <w:pPr>
              <w:pStyle w:val="BodyText"/>
              <w:rPr>
                <w:lang w:val="en-NZ"/>
              </w:rPr>
            </w:pPr>
            <w:r w:rsidRPr="00955C0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955C00">
            <w:pPr>
              <w:pStyle w:val="BodyText"/>
              <w:rPr>
                <w:lang w:val="en-NZ"/>
              </w:rPr>
            </w:pPr>
            <w:r w:rsidRPr="00955C00">
              <w:t>Tools and equipment are cleaned, checked and stored in accordance with pr</w:t>
            </w:r>
            <w:r w:rsidRPr="00955C00">
              <w:t>ocedures</w:t>
            </w:r>
          </w:p>
        </w:tc>
      </w:tr>
      <w:tr w:rsidTr="00955C0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55C0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55C00">
            <w:pPr>
              <w:pStyle w:val="BodyText"/>
              <w:rPr>
                <w:lang w:val="en-NZ"/>
              </w:rPr>
            </w:pPr>
            <w:r w:rsidRPr="00955C00">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955C00" w:rsidP="00955C00">
            <w:pPr>
              <w:pStyle w:val="BodyText"/>
            </w:pPr>
            <w:r w:rsidRPr="00955C00">
              <w:t>Maintenance reports are completed in accordance with procedures</w:t>
            </w:r>
          </w:p>
        </w:tc>
      </w:tr>
    </w:tbl>
    <w:p w:rsidR="003F03CD" w:rsidP="00955C00">
      <w:pPr>
        <w:pStyle w:val="NoPaddingFontSize1"/>
      </w:pPr>
    </w:p>
    <w:p w:rsidR="003F03CD" w:rsidP="00955C00">
      <w:pPr>
        <w:pStyle w:val="NoPaddingFontSize1"/>
      </w:pPr>
    </w:p>
    <w:p w:rsidR="00000000" w:rsidRPr="00955C00" w:rsidP="00955C00">
      <w:pPr>
        <w:pStyle w:val="Heading1"/>
      </w:pPr>
      <w:bookmarkStart w:id="7" w:name="O_1086129"/>
      <w:bookmarkEnd w:id="7"/>
      <w:r w:rsidRPr="00955C00">
        <w:t>Foundation Skills</w:t>
      </w:r>
    </w:p>
    <w:tbl>
      <w:tblPr>
        <w:tblW w:w="9497" w:type="dxa"/>
        <w:tblLayout w:type="fixed"/>
        <w:tblCellMar>
          <w:left w:w="62" w:type="dxa"/>
          <w:right w:w="62" w:type="dxa"/>
        </w:tblCellMar>
        <w:tblLook w:val="0000"/>
      </w:tblPr>
      <w:tblGrid>
        <w:gridCol w:w="9497"/>
      </w:tblGrid>
      <w:tr w:rsidTr="00955C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5C00" w:rsidP="00955C00">
            <w:pPr>
              <w:pStyle w:val="BodyText"/>
            </w:pPr>
            <w:r w:rsidRPr="00955C00">
              <w:t>Foundation skills essential to performance are explicit in the performance criteria of this unit of competency.</w:t>
            </w:r>
          </w:p>
        </w:tc>
      </w:tr>
    </w:tbl>
    <w:p w:rsidR="003F03CD" w:rsidP="00955C00">
      <w:pPr>
        <w:pStyle w:val="NoPaddingFontSize1"/>
      </w:pPr>
    </w:p>
    <w:p w:rsidR="003F03CD" w:rsidP="00955C00">
      <w:pPr>
        <w:pStyle w:val="NoPaddingFontSize1"/>
      </w:pPr>
    </w:p>
    <w:p w:rsidR="00000000" w:rsidRPr="00955C00" w:rsidP="00955C00">
      <w:pPr>
        <w:pStyle w:val="Heading1"/>
      </w:pPr>
      <w:bookmarkStart w:id="8" w:name="O_1086130"/>
      <w:bookmarkEnd w:id="8"/>
      <w:r w:rsidRPr="00955C00">
        <w:t>Range of Conditions</w:t>
      </w:r>
    </w:p>
    <w:tbl>
      <w:tblPr>
        <w:tblW w:w="9497" w:type="dxa"/>
        <w:tblLayout w:type="fixed"/>
        <w:tblCellMar>
          <w:left w:w="62" w:type="dxa"/>
          <w:right w:w="62" w:type="dxa"/>
        </w:tblCellMar>
        <w:tblLook w:val="0000"/>
      </w:tblPr>
      <w:tblGrid>
        <w:gridCol w:w="9497"/>
      </w:tblGrid>
      <w:tr w:rsidTr="00955C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5C00" w:rsidP="00955C00">
            <w:pPr>
              <w:pStyle w:val="BodyText"/>
            </w:pPr>
            <w:r w:rsidRPr="00955C00">
              <w:t>Range is restricted to essential operating conditions and any other variables essential to the work environment.</w:t>
            </w:r>
          </w:p>
        </w:tc>
      </w:tr>
    </w:tbl>
    <w:p w:rsidR="003F03CD" w:rsidP="00955C00">
      <w:pPr>
        <w:pStyle w:val="NoPaddingFontSize1"/>
      </w:pPr>
    </w:p>
    <w:p w:rsidR="003F03CD" w:rsidP="00955C00">
      <w:pPr>
        <w:pStyle w:val="NoPaddingFontSize1"/>
      </w:pPr>
    </w:p>
    <w:p w:rsidR="00000000" w:rsidRPr="00955C00" w:rsidP="00955C00">
      <w:pPr>
        <w:pStyle w:val="Heading1"/>
      </w:pPr>
      <w:bookmarkStart w:id="9" w:name="O_1086131"/>
      <w:bookmarkEnd w:id="9"/>
      <w:r w:rsidRPr="00955C00">
        <w:t>Unit Mapping Information</w:t>
      </w:r>
    </w:p>
    <w:tbl>
      <w:tblPr>
        <w:tblW w:w="9497" w:type="dxa"/>
        <w:tblLayout w:type="fixed"/>
        <w:tblCellMar>
          <w:left w:w="62" w:type="dxa"/>
          <w:right w:w="62" w:type="dxa"/>
        </w:tblCellMar>
        <w:tblLook w:val="0000"/>
      </w:tblPr>
      <w:tblGrid>
        <w:gridCol w:w="9497"/>
      </w:tblGrid>
      <w:tr w:rsidTr="00955C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5C00" w:rsidP="00955C00">
            <w:pPr>
              <w:pStyle w:val="BodyText"/>
            </w:pPr>
            <w:r w:rsidRPr="00955C00">
              <w:t>This is a new unit.  No equivalent unit.</w:t>
            </w:r>
          </w:p>
        </w:tc>
      </w:tr>
    </w:tbl>
    <w:p w:rsidR="003F03CD" w:rsidP="00955C00">
      <w:pPr>
        <w:pStyle w:val="NoPaddingFontSize1"/>
      </w:pPr>
    </w:p>
    <w:p w:rsidR="003F03CD" w:rsidP="00955C00">
      <w:pPr>
        <w:pStyle w:val="NoPaddingFontSize1"/>
      </w:pPr>
    </w:p>
    <w:p w:rsidR="00000000" w:rsidRPr="00955C00" w:rsidP="00955C00">
      <w:pPr>
        <w:pStyle w:val="Heading1"/>
      </w:pPr>
      <w:bookmarkStart w:id="10" w:name="O_1086138"/>
      <w:bookmarkEnd w:id="10"/>
      <w:r w:rsidRPr="00955C00">
        <w:t>Links</w:t>
      </w:r>
    </w:p>
    <w:p w:rsidR="00000000" w:rsidRPr="00955C00" w:rsidP="003F03CD">
      <w:pPr>
        <w:pStyle w:val="BodyText"/>
      </w:pPr>
      <w:r w:rsidRPr="00955C00">
        <w:t>Compani</w:t>
      </w:r>
      <w:r w:rsidRPr="00955C00">
        <w:t xml:space="preserve">on Volume implementation guide can be found in VetNet - </w:t>
      </w:r>
      <w:r>
        <w:fldChar w:fldCharType="begin"/>
      </w:r>
      <w:r>
        <w:instrText xml:space="preserve"> HYPERLINK "https://vetnet.gov.au/Pages/TrainingDocs.aspx?q=772efb7b-4cce-47fe-9bbd-ee3b1d1eb4c2" </w:instrText>
      </w:r>
      <w:r>
        <w:fldChar w:fldCharType="separate"/>
      </w:r>
      <w:r w:rsidRPr="0016200F">
        <w:rPr>
          <w:rStyle w:val="Hyperlink"/>
        </w:rPr>
        <w:t>https://vetnet.gov.au/Pages/TrainingDocs.aspx?q=772efb7b-4cce-47fe-9bbd-ee3b1d1eb4c2</w:t>
      </w:r>
      <w:r>
        <w:fldChar w:fldCharType="end"/>
      </w:r>
    </w:p>
    <w:p w:rsidR="00000000" w:rsidRPr="00955C00" w:rsidP="00955C00"/>
    <w:sectPr w:rsidSect="00955C0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C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C00" w:rsidRPr="003F03CD" w:rsidP="003F03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C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3CD" w:rsidP="00955C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F03CD" w:rsidP="00955C0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3F03CD" w:rsidP="00955C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C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3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5C00" w:rsidRPr="003F03CD" w:rsidP="003F03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C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3CD" w:rsidRPr="002D2AF8" w:rsidP="00955C00">
    <w:pPr>
      <w:pStyle w:val="Header"/>
      <w:framePr w:wrap="around"/>
    </w:pPr>
    <w:r>
      <w:fldChar w:fldCharType="begin"/>
    </w:r>
    <w:r>
      <w:instrText xml:space="preserve"> TITLE   \* MERGEFORMAT </w:instrText>
    </w:r>
    <w:r>
      <w:fldChar w:fldCharType="separate"/>
    </w:r>
    <w:r>
      <w:t>MARB044 Operate and maintain ship power systems exceeding 1,000 volts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3F03CD" w:rsidP="00955C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174E0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14278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5C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5C00"/>
    <w:pPr>
      <w:spacing w:before="360" w:after="60"/>
      <w:outlineLvl w:val="0"/>
    </w:pPr>
    <w:rPr>
      <w:sz w:val="32"/>
    </w:rPr>
  </w:style>
  <w:style w:type="paragraph" w:styleId="Heading2">
    <w:name w:val="heading 2"/>
    <w:basedOn w:val="HeadingBase"/>
    <w:next w:val="BodyText"/>
    <w:link w:val="Heading2Char"/>
    <w:qFormat/>
    <w:rsid w:val="00955C00"/>
    <w:pPr>
      <w:keepLines/>
      <w:spacing w:before="240" w:after="120"/>
      <w:outlineLvl w:val="1"/>
    </w:pPr>
    <w:rPr>
      <w:sz w:val="28"/>
      <w:szCs w:val="40"/>
    </w:rPr>
  </w:style>
  <w:style w:type="paragraph" w:styleId="Heading3">
    <w:name w:val="heading 3"/>
    <w:basedOn w:val="HeadingBase"/>
    <w:next w:val="BodyText"/>
    <w:link w:val="Heading3Char"/>
    <w:qFormat/>
    <w:rsid w:val="00955C00"/>
    <w:pPr>
      <w:spacing w:before="180" w:after="120"/>
      <w:outlineLvl w:val="2"/>
    </w:pPr>
    <w:rPr>
      <w:spacing w:val="-10"/>
      <w:kern w:val="32"/>
    </w:rPr>
  </w:style>
  <w:style w:type="paragraph" w:styleId="Heading4">
    <w:name w:val="heading 4"/>
    <w:basedOn w:val="HeadingBase"/>
    <w:next w:val="BodyText"/>
    <w:link w:val="Heading4Char"/>
    <w:qFormat/>
    <w:rsid w:val="00955C00"/>
    <w:pPr>
      <w:spacing w:before="160" w:after="120"/>
      <w:outlineLvl w:val="3"/>
    </w:pPr>
    <w:rPr>
      <w:sz w:val="22"/>
    </w:rPr>
  </w:style>
  <w:style w:type="paragraph" w:styleId="Heading5">
    <w:name w:val="heading 5"/>
    <w:basedOn w:val="HeadingBase"/>
    <w:next w:val="Normal"/>
    <w:link w:val="Heading5Char"/>
    <w:qFormat/>
    <w:rsid w:val="00955C00"/>
    <w:pPr>
      <w:spacing w:before="80"/>
      <w:outlineLvl w:val="4"/>
    </w:pPr>
    <w:rPr>
      <w:color w:val="918585"/>
      <w:sz w:val="20"/>
    </w:rPr>
  </w:style>
  <w:style w:type="paragraph" w:styleId="Heading6">
    <w:name w:val="heading 6"/>
    <w:basedOn w:val="HeadingBase"/>
    <w:next w:val="Normal"/>
    <w:link w:val="Heading6Char"/>
    <w:qFormat/>
    <w:rsid w:val="00955C00"/>
    <w:pPr>
      <w:spacing w:before="60"/>
      <w:outlineLvl w:val="5"/>
    </w:pPr>
    <w:rPr>
      <w:color w:val="918585"/>
      <w:sz w:val="20"/>
    </w:rPr>
  </w:style>
  <w:style w:type="paragraph" w:styleId="Heading7">
    <w:name w:val="heading 7"/>
    <w:basedOn w:val="Normal"/>
    <w:next w:val="Normal"/>
    <w:link w:val="Heading7Char"/>
    <w:qFormat/>
    <w:rsid w:val="00955C00"/>
    <w:pPr>
      <w:ind w:left="720"/>
      <w:outlineLvl w:val="6"/>
    </w:pPr>
    <w:rPr>
      <w:i/>
    </w:rPr>
  </w:style>
  <w:style w:type="paragraph" w:styleId="Heading8">
    <w:name w:val="heading 8"/>
    <w:basedOn w:val="Normal"/>
    <w:next w:val="Normal"/>
    <w:link w:val="Heading8Char"/>
    <w:qFormat/>
    <w:rsid w:val="00955C00"/>
    <w:pPr>
      <w:ind w:left="720"/>
      <w:outlineLvl w:val="7"/>
    </w:pPr>
    <w:rPr>
      <w:i/>
    </w:rPr>
  </w:style>
  <w:style w:type="paragraph" w:styleId="Heading9">
    <w:name w:val="heading 9"/>
    <w:basedOn w:val="Normal"/>
    <w:next w:val="Normal"/>
    <w:link w:val="Heading9Char"/>
    <w:qFormat/>
    <w:rsid w:val="00955C00"/>
    <w:pPr>
      <w:ind w:left="720"/>
      <w:outlineLvl w:val="8"/>
    </w:pPr>
    <w:rPr>
      <w:i/>
    </w:rPr>
  </w:style>
  <w:style w:type="character" w:default="1" w:styleId="DefaultParagraphFont">
    <w:name w:val="Default Paragraph Font"/>
    <w:uiPriority w:val="1"/>
    <w:unhideWhenUsed/>
    <w:rsid w:val="00955C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5C00"/>
  </w:style>
  <w:style w:type="character" w:customStyle="1" w:styleId="Heading1Char">
    <w:name w:val="Heading 1 Char"/>
    <w:basedOn w:val="DefaultParagraphFont"/>
    <w:link w:val="Heading1"/>
    <w:rsid w:val="00955C00"/>
    <w:rPr>
      <w:rFonts w:ascii="Times New Roman" w:eastAsia="Times New Roman" w:hAnsi="Times New Roman" w:cs="Times New Roman"/>
      <w:b/>
      <w:sz w:val="32"/>
      <w:szCs w:val="20"/>
      <w:lang w:eastAsia="en-US"/>
    </w:rPr>
  </w:style>
  <w:style w:type="paragraph" w:styleId="BodyText">
    <w:name w:val="Body Text"/>
    <w:basedOn w:val="Normal"/>
    <w:link w:val="BodyTextChar"/>
    <w:rsid w:val="00955C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5C00"/>
    <w:rPr>
      <w:rFonts w:ascii="Times New Roman" w:eastAsia="Times New Roman" w:hAnsi="Times New Roman" w:cs="Times New Roman"/>
      <w:sz w:val="24"/>
      <w:lang w:eastAsia="en-US"/>
    </w:rPr>
  </w:style>
  <w:style w:type="paragraph" w:styleId="ListBullet">
    <w:name w:val="List Bullet"/>
    <w:basedOn w:val="List"/>
    <w:rsid w:val="00955C00"/>
    <w:pPr>
      <w:numPr>
        <w:numId w:val="11"/>
      </w:numPr>
      <w:tabs>
        <w:tab w:val="clear" w:pos="340"/>
      </w:tabs>
      <w:spacing w:before="40" w:after="40"/>
    </w:pPr>
  </w:style>
  <w:style w:type="character" w:customStyle="1" w:styleId="SpecialBold">
    <w:name w:val="Special Bold"/>
    <w:basedOn w:val="DefaultParagraphFont"/>
    <w:rsid w:val="00955C00"/>
    <w:rPr>
      <w:b/>
      <w:spacing w:val="0"/>
    </w:rPr>
  </w:style>
  <w:style w:type="paragraph" w:customStyle="1" w:styleId="SuperHeading">
    <w:name w:val="SuperHeading"/>
    <w:basedOn w:val="Normal"/>
    <w:rsid w:val="00955C00"/>
    <w:pPr>
      <w:spacing w:before="240" w:after="120"/>
      <w:outlineLvl w:val="0"/>
    </w:pPr>
    <w:rPr>
      <w:rFonts w:ascii="Times New Roman" w:hAnsi="Times New Roman"/>
      <w:b/>
      <w:sz w:val="32"/>
    </w:rPr>
  </w:style>
  <w:style w:type="paragraph" w:customStyle="1" w:styleId="AllowPageBreak">
    <w:name w:val="AllowPageBreak"/>
    <w:rsid w:val="00955C0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55C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5C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5C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5C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5C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5C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5C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5C00"/>
    <w:rPr>
      <w:rFonts w:ascii="Courier New" w:eastAsia="Times New Roman" w:hAnsi="Courier New" w:cs="Times New Roman"/>
      <w:i/>
      <w:szCs w:val="20"/>
      <w:lang w:eastAsia="en-US"/>
    </w:rPr>
  </w:style>
  <w:style w:type="paragraph" w:customStyle="1" w:styleId="HeadingBase">
    <w:name w:val="Heading Base"/>
    <w:rsid w:val="00955C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5C00"/>
    <w:pPr>
      <w:tabs>
        <w:tab w:val="right" w:leader="dot" w:pos="9072"/>
      </w:tabs>
      <w:ind w:left="567"/>
    </w:pPr>
    <w:rPr>
      <w:szCs w:val="22"/>
    </w:rPr>
  </w:style>
  <w:style w:type="paragraph" w:customStyle="1" w:styleId="TOCBase">
    <w:name w:val="TOC Base"/>
    <w:rsid w:val="00955C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5C00"/>
    <w:pPr>
      <w:tabs>
        <w:tab w:val="right" w:leader="dot" w:pos="9072"/>
      </w:tabs>
      <w:spacing w:before="40" w:after="40"/>
      <w:ind w:left="284"/>
    </w:pPr>
    <w:rPr>
      <w:rFonts w:ascii="Times New Roman" w:hAnsi="Times New Roman"/>
    </w:rPr>
  </w:style>
  <w:style w:type="paragraph" w:styleId="TOC1">
    <w:name w:val="toc 1"/>
    <w:basedOn w:val="TOCBase"/>
    <w:next w:val="Normal"/>
    <w:rsid w:val="00955C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5C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5C00"/>
    <w:rPr>
      <w:rFonts w:ascii="Times New Roman" w:eastAsia="Times New Roman" w:hAnsi="Times New Roman" w:cs="Times New Roman"/>
      <w:sz w:val="16"/>
      <w:lang w:eastAsia="en-US"/>
    </w:rPr>
  </w:style>
  <w:style w:type="paragraph" w:styleId="Title">
    <w:name w:val="Title"/>
    <w:basedOn w:val="HeadingBase"/>
    <w:link w:val="TitleChar"/>
    <w:qFormat/>
    <w:rsid w:val="00955C00"/>
    <w:pPr>
      <w:spacing w:before="5040"/>
      <w:jc w:val="center"/>
    </w:pPr>
    <w:rPr>
      <w:sz w:val="48"/>
      <w:szCs w:val="72"/>
      <w:lang w:val="en-US"/>
    </w:rPr>
  </w:style>
  <w:style w:type="character" w:customStyle="1" w:styleId="TitleChar">
    <w:name w:val="Title Char"/>
    <w:basedOn w:val="DefaultParagraphFont"/>
    <w:link w:val="Title"/>
    <w:rsid w:val="00955C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5C00"/>
    <w:pPr>
      <w:tabs>
        <w:tab w:val="left" w:pos="3600"/>
        <w:tab w:val="left" w:pos="3958"/>
      </w:tabs>
    </w:pPr>
  </w:style>
  <w:style w:type="paragraph" w:styleId="List">
    <w:name w:val="List"/>
    <w:basedOn w:val="BodyText"/>
    <w:next w:val="BodyText"/>
    <w:rsid w:val="00955C00"/>
    <w:pPr>
      <w:tabs>
        <w:tab w:val="left" w:pos="340"/>
      </w:tabs>
      <w:spacing w:before="60" w:after="60"/>
      <w:ind w:left="340" w:hanging="340"/>
    </w:pPr>
  </w:style>
  <w:style w:type="paragraph" w:customStyle="1" w:styleId="Note">
    <w:name w:val="Note"/>
    <w:basedOn w:val="BodyText"/>
    <w:rsid w:val="00955C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5C00"/>
    <w:pPr>
      <w:framePr w:wrap="auto" w:hAnchor="text" w:y="6049"/>
    </w:pPr>
    <w:rPr>
      <w:color w:val="000000"/>
      <w:sz w:val="40"/>
    </w:rPr>
  </w:style>
  <w:style w:type="paragraph" w:customStyle="1" w:styleId="TOCTitle">
    <w:name w:val="TOCTitle"/>
    <w:basedOn w:val="Heading1"/>
    <w:rsid w:val="00955C00"/>
    <w:pPr>
      <w:spacing w:after="240"/>
      <w:jc w:val="center"/>
      <w:outlineLvl w:val="9"/>
    </w:pPr>
    <w:rPr>
      <w:caps/>
    </w:rPr>
  </w:style>
  <w:style w:type="paragraph" w:customStyle="1" w:styleId="Version">
    <w:name w:val="Version"/>
    <w:rsid w:val="00955C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55C00"/>
    <w:pPr>
      <w:numPr>
        <w:numId w:val="12"/>
      </w:numPr>
      <w:tabs>
        <w:tab w:val="clear" w:pos="680"/>
      </w:tabs>
    </w:pPr>
  </w:style>
  <w:style w:type="paragraph" w:styleId="Index1">
    <w:name w:val="index 1"/>
    <w:basedOn w:val="Normal"/>
    <w:next w:val="Normal"/>
    <w:semiHidden/>
    <w:rsid w:val="00955C00"/>
    <w:pPr>
      <w:keepNext w:val="0"/>
      <w:tabs>
        <w:tab w:val="right" w:pos="4176"/>
      </w:tabs>
      <w:ind w:left="198" w:hanging="198"/>
    </w:pPr>
    <w:rPr>
      <w:rFonts w:ascii="Garamond" w:hAnsi="Garamond"/>
    </w:rPr>
  </w:style>
  <w:style w:type="paragraph" w:styleId="IndexHeading">
    <w:name w:val="index heading"/>
    <w:basedOn w:val="Normal"/>
    <w:next w:val="Index1"/>
    <w:semiHidden/>
    <w:rsid w:val="00955C00"/>
    <w:pPr>
      <w:spacing w:before="120" w:after="120"/>
    </w:pPr>
    <w:rPr>
      <w:rFonts w:ascii="Arial" w:hAnsi="Arial"/>
      <w:b/>
      <w:color w:val="918585"/>
      <w:sz w:val="24"/>
    </w:rPr>
  </w:style>
  <w:style w:type="paragraph" w:styleId="Header">
    <w:name w:val="header"/>
    <w:basedOn w:val="Normal"/>
    <w:link w:val="HeaderChar"/>
    <w:rsid w:val="00955C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5C00"/>
    <w:rPr>
      <w:rFonts w:ascii="Times New Roman" w:eastAsia="Times New Roman" w:hAnsi="Times New Roman" w:cs="Times New Roman"/>
      <w:sz w:val="16"/>
      <w:szCs w:val="20"/>
      <w:lang w:val="en-GB" w:eastAsia="en-US"/>
    </w:rPr>
  </w:style>
  <w:style w:type="paragraph" w:customStyle="1" w:styleId="Chapter">
    <w:name w:val="Chapter"/>
    <w:basedOn w:val="Normal"/>
    <w:rsid w:val="00955C00"/>
    <w:pPr>
      <w:spacing w:before="240"/>
    </w:pPr>
    <w:rPr>
      <w:rFonts w:ascii="Times New Roman" w:hAnsi="Times New Roman"/>
      <w:smallCaps/>
      <w:spacing w:val="80"/>
      <w:sz w:val="28"/>
    </w:rPr>
  </w:style>
  <w:style w:type="paragraph" w:customStyle="1" w:styleId="InChapter">
    <w:name w:val="InChapter"/>
    <w:basedOn w:val="Heading3"/>
    <w:rsid w:val="00955C00"/>
    <w:pPr>
      <w:spacing w:after="240"/>
      <w:outlineLvl w:val="9"/>
    </w:pPr>
    <w:rPr>
      <w:noProof/>
    </w:rPr>
  </w:style>
  <w:style w:type="paragraph" w:styleId="Index2">
    <w:name w:val="index 2"/>
    <w:basedOn w:val="Normal"/>
    <w:next w:val="Normal"/>
    <w:semiHidden/>
    <w:rsid w:val="00955C00"/>
    <w:pPr>
      <w:tabs>
        <w:tab w:val="right" w:pos="4176"/>
      </w:tabs>
      <w:ind w:left="568" w:hanging="284"/>
    </w:pPr>
    <w:rPr>
      <w:rFonts w:ascii="Garamond" w:hAnsi="Garamond"/>
    </w:rPr>
  </w:style>
  <w:style w:type="paragraph" w:customStyle="1" w:styleId="Byline">
    <w:name w:val="Byline"/>
    <w:rsid w:val="00955C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5C00"/>
    <w:pPr>
      <w:tabs>
        <w:tab w:val="clear" w:pos="3600"/>
        <w:tab w:val="clear" w:pos="3958"/>
      </w:tabs>
      <w:jc w:val="right"/>
    </w:pPr>
  </w:style>
  <w:style w:type="character" w:styleId="Emphasis">
    <w:name w:val="Emphasis"/>
    <w:basedOn w:val="DefaultParagraphFont"/>
    <w:qFormat/>
    <w:rsid w:val="00955C00"/>
    <w:rPr>
      <w:i/>
    </w:rPr>
  </w:style>
  <w:style w:type="paragraph" w:styleId="Caption">
    <w:name w:val="caption"/>
    <w:basedOn w:val="BodyText"/>
    <w:next w:val="Normal"/>
    <w:qFormat/>
    <w:rsid w:val="00955C00"/>
    <w:pPr>
      <w:framePr w:w="2268" w:hSpace="181" w:vSpace="181" w:wrap="around" w:vAnchor="text" w:hAnchor="page" w:x="1135" w:y="285" w:anchorLock="1"/>
    </w:pPr>
    <w:rPr>
      <w:i/>
    </w:rPr>
  </w:style>
  <w:style w:type="paragraph" w:customStyle="1" w:styleId="MiniTOCTitle">
    <w:name w:val="MiniTOCTitle"/>
    <w:basedOn w:val="Heading4"/>
    <w:rsid w:val="00955C00"/>
    <w:pPr>
      <w:spacing w:before="240"/>
      <w:outlineLvl w:val="9"/>
    </w:pPr>
    <w:rPr>
      <w:noProof/>
      <w:sz w:val="24"/>
    </w:rPr>
  </w:style>
  <w:style w:type="paragraph" w:customStyle="1" w:styleId="MiniTOCItem">
    <w:name w:val="MiniTOCItem"/>
    <w:basedOn w:val="ListBullet"/>
    <w:rsid w:val="00955C00"/>
    <w:pPr>
      <w:numPr>
        <w:numId w:val="0"/>
      </w:numPr>
      <w:tabs>
        <w:tab w:val="right" w:leader="dot" w:pos="6521"/>
      </w:tabs>
      <w:spacing w:before="0" w:after="0"/>
    </w:pPr>
  </w:style>
  <w:style w:type="paragraph" w:customStyle="1" w:styleId="TOFTitle">
    <w:name w:val="TOFTitle"/>
    <w:basedOn w:val="TOCTitle"/>
    <w:rsid w:val="00955C00"/>
  </w:style>
  <w:style w:type="paragraph" w:styleId="TableofFigures">
    <w:name w:val="table of figures"/>
    <w:basedOn w:val="Normal"/>
    <w:next w:val="Normal"/>
    <w:semiHidden/>
    <w:rsid w:val="00955C00"/>
    <w:pPr>
      <w:tabs>
        <w:tab w:val="right" w:leader="dot" w:pos="9072"/>
      </w:tabs>
      <w:ind w:left="970" w:hanging="403"/>
    </w:pPr>
    <w:rPr>
      <w:rFonts w:ascii="Times New Roman" w:hAnsi="Times New Roman"/>
      <w:b/>
    </w:rPr>
  </w:style>
  <w:style w:type="paragraph" w:styleId="ListNumber">
    <w:name w:val="List Number"/>
    <w:basedOn w:val="List"/>
    <w:rsid w:val="00955C00"/>
    <w:pPr>
      <w:numPr>
        <w:numId w:val="14"/>
      </w:numPr>
      <w:tabs>
        <w:tab w:val="clear" w:pos="340"/>
      </w:tabs>
    </w:pPr>
  </w:style>
  <w:style w:type="character" w:customStyle="1" w:styleId="WingdingSymbols">
    <w:name w:val="Wingding Symbols"/>
    <w:rsid w:val="00955C00"/>
    <w:rPr>
      <w:rFonts w:ascii="Wingdings" w:hAnsi="Wingdings"/>
    </w:rPr>
  </w:style>
  <w:style w:type="paragraph" w:customStyle="1" w:styleId="TableHeading">
    <w:name w:val="Table Heading"/>
    <w:basedOn w:val="HeadingBase"/>
    <w:rsid w:val="00955C00"/>
    <w:pPr>
      <w:keepLines/>
      <w:pBdr>
        <w:bottom w:val="single" w:sz="6" w:space="1" w:color="918585"/>
      </w:pBdr>
      <w:spacing w:before="240"/>
    </w:pPr>
  </w:style>
  <w:style w:type="character" w:customStyle="1" w:styleId="HotSpot">
    <w:name w:val="HotSpot"/>
    <w:rsid w:val="00955C00"/>
    <w:rPr>
      <w:color w:val="0033CC"/>
      <w:u w:val="none"/>
    </w:rPr>
  </w:style>
  <w:style w:type="paragraph" w:customStyle="1" w:styleId="BodyTextRight">
    <w:name w:val="Body Text Right"/>
    <w:basedOn w:val="BodyText"/>
    <w:rsid w:val="00955C00"/>
    <w:pPr>
      <w:spacing w:before="0" w:after="0"/>
      <w:jc w:val="right"/>
    </w:pPr>
  </w:style>
  <w:style w:type="paragraph" w:styleId="Index3">
    <w:name w:val="index 3"/>
    <w:basedOn w:val="ListNumber2"/>
    <w:next w:val="Normal"/>
    <w:semiHidden/>
    <w:rsid w:val="00955C00"/>
    <w:pPr>
      <w:numPr>
        <w:numId w:val="0"/>
      </w:numPr>
      <w:tabs>
        <w:tab w:val="right" w:leader="dot" w:pos="4176"/>
      </w:tabs>
    </w:pPr>
  </w:style>
  <w:style w:type="paragraph" w:styleId="ListNumber2">
    <w:name w:val="List Number 2"/>
    <w:basedOn w:val="List2"/>
    <w:rsid w:val="00955C00"/>
    <w:pPr>
      <w:numPr>
        <w:numId w:val="9"/>
      </w:numPr>
      <w:tabs>
        <w:tab w:val="clear" w:pos="1060"/>
      </w:tabs>
    </w:pPr>
  </w:style>
  <w:style w:type="paragraph" w:customStyle="1" w:styleId="MarginNote">
    <w:name w:val="Margin Note"/>
    <w:basedOn w:val="BodyText"/>
    <w:rsid w:val="00955C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5C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5C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5C00"/>
    <w:rPr>
      <w:sz w:val="32"/>
    </w:rPr>
  </w:style>
  <w:style w:type="paragraph" w:customStyle="1" w:styleId="HeadingProcedure">
    <w:name w:val="Heading Procedure"/>
    <w:basedOn w:val="HeadingBase"/>
    <w:next w:val="Normal"/>
    <w:rsid w:val="00955C00"/>
    <w:pPr>
      <w:tabs>
        <w:tab w:val="left" w:pos="0"/>
      </w:tabs>
      <w:spacing w:before="120" w:after="60"/>
    </w:pPr>
    <w:rPr>
      <w:i/>
      <w:color w:val="918585"/>
      <w:sz w:val="22"/>
    </w:rPr>
  </w:style>
  <w:style w:type="paragraph" w:customStyle="1" w:styleId="TableBodyText">
    <w:name w:val="Table Body Text"/>
    <w:basedOn w:val="BodyText"/>
    <w:rsid w:val="00955C00"/>
    <w:pPr>
      <w:spacing w:before="60" w:after="60"/>
    </w:pPr>
  </w:style>
  <w:style w:type="paragraph" w:styleId="ListContinue">
    <w:name w:val="List Continue"/>
    <w:basedOn w:val="List"/>
    <w:rsid w:val="00955C00"/>
    <w:pPr>
      <w:ind w:firstLine="0"/>
    </w:pPr>
  </w:style>
  <w:style w:type="paragraph" w:customStyle="1" w:styleId="ListNote">
    <w:name w:val="List Note"/>
    <w:basedOn w:val="List"/>
    <w:rsid w:val="00955C00"/>
    <w:pPr>
      <w:pBdr>
        <w:top w:val="single" w:sz="6" w:space="2" w:color="918585"/>
        <w:bottom w:val="single" w:sz="6" w:space="2" w:color="918585"/>
      </w:pBdr>
      <w:tabs>
        <w:tab w:val="left" w:pos="1021"/>
      </w:tabs>
      <w:ind w:firstLine="0"/>
    </w:pPr>
  </w:style>
  <w:style w:type="paragraph" w:customStyle="1" w:styleId="Warning">
    <w:name w:val="Warning"/>
    <w:basedOn w:val="BodyText"/>
    <w:rsid w:val="00955C00"/>
    <w:pPr>
      <w:shd w:val="clear" w:color="auto" w:fill="D9D9D9"/>
      <w:tabs>
        <w:tab w:val="left" w:pos="992"/>
      </w:tabs>
      <w:ind w:left="119" w:right="119"/>
    </w:pPr>
    <w:rPr>
      <w:sz w:val="20"/>
    </w:rPr>
  </w:style>
  <w:style w:type="paragraph" w:customStyle="1" w:styleId="MarginIcons">
    <w:name w:val="Margin Icons"/>
    <w:basedOn w:val="BodyText"/>
    <w:rsid w:val="00955C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5C00"/>
    <w:rPr>
      <w:rFonts w:ascii="Courier New" w:hAnsi="Courier New"/>
    </w:rPr>
  </w:style>
  <w:style w:type="paragraph" w:customStyle="1" w:styleId="NoteBullet">
    <w:name w:val="Note Bullet"/>
    <w:basedOn w:val="Note"/>
    <w:rsid w:val="00955C00"/>
    <w:pPr>
      <w:tabs>
        <w:tab w:val="clear" w:pos="680"/>
      </w:tabs>
      <w:spacing w:before="60" w:after="60"/>
    </w:pPr>
  </w:style>
  <w:style w:type="paragraph" w:customStyle="1" w:styleId="SubHeading2">
    <w:name w:val="SubHeading2"/>
    <w:basedOn w:val="HeadingBase"/>
    <w:rsid w:val="00955C00"/>
    <w:pPr>
      <w:spacing w:before="240" w:after="60"/>
    </w:pPr>
    <w:rPr>
      <w:sz w:val="20"/>
    </w:rPr>
  </w:style>
  <w:style w:type="paragraph" w:customStyle="1" w:styleId="SubHeading1">
    <w:name w:val="SubHeading1"/>
    <w:basedOn w:val="HeadingBase"/>
    <w:rsid w:val="00955C00"/>
    <w:pPr>
      <w:spacing w:before="240" w:after="60"/>
    </w:pPr>
    <w:rPr>
      <w:color w:val="918585"/>
      <w:sz w:val="22"/>
    </w:rPr>
  </w:style>
  <w:style w:type="paragraph" w:customStyle="1" w:styleId="SideHeading">
    <w:name w:val="Side Heading"/>
    <w:basedOn w:val="HeadingBase"/>
    <w:rsid w:val="00955C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5C00"/>
    <w:pPr>
      <w:numPr>
        <w:numId w:val="10"/>
      </w:numPr>
    </w:pPr>
  </w:style>
  <w:style w:type="paragraph" w:styleId="PlainText">
    <w:name w:val="Plain Text"/>
    <w:basedOn w:val="Normal"/>
    <w:link w:val="PlainTextChar"/>
    <w:rsid w:val="00955C00"/>
    <w:rPr>
      <w:sz w:val="20"/>
    </w:rPr>
  </w:style>
  <w:style w:type="character" w:customStyle="1" w:styleId="PlainTextChar">
    <w:name w:val="Plain Text Char"/>
    <w:basedOn w:val="DefaultParagraphFont"/>
    <w:link w:val="PlainText"/>
    <w:rsid w:val="00955C00"/>
    <w:rPr>
      <w:rFonts w:ascii="Courier New" w:eastAsia="Times New Roman" w:hAnsi="Courier New" w:cs="Times New Roman"/>
      <w:sz w:val="20"/>
      <w:szCs w:val="20"/>
      <w:lang w:eastAsia="en-US"/>
    </w:rPr>
  </w:style>
  <w:style w:type="character" w:customStyle="1" w:styleId="MenuOption">
    <w:name w:val="Menu Option"/>
    <w:basedOn w:val="DefaultParagraphFont"/>
    <w:rsid w:val="00955C00"/>
    <w:rPr>
      <w:b/>
      <w:smallCaps/>
    </w:rPr>
  </w:style>
  <w:style w:type="paragraph" w:customStyle="1" w:styleId="TableListNumber">
    <w:name w:val="Table List Number"/>
    <w:basedOn w:val="ListNumber"/>
    <w:rsid w:val="00955C00"/>
    <w:pPr>
      <w:numPr>
        <w:numId w:val="0"/>
      </w:numPr>
    </w:pPr>
  </w:style>
  <w:style w:type="paragraph" w:styleId="TOC4">
    <w:name w:val="toc 4"/>
    <w:basedOn w:val="TOCBase"/>
    <w:next w:val="Normal"/>
    <w:semiHidden/>
    <w:rsid w:val="00955C00"/>
    <w:pPr>
      <w:tabs>
        <w:tab w:val="right" w:leader="dot" w:pos="9071"/>
      </w:tabs>
      <w:ind w:left="1701"/>
    </w:pPr>
  </w:style>
  <w:style w:type="paragraph" w:customStyle="1" w:styleId="ListAlpha">
    <w:name w:val="List Alpha"/>
    <w:basedOn w:val="List"/>
    <w:rsid w:val="00955C00"/>
    <w:pPr>
      <w:numPr>
        <w:numId w:val="8"/>
      </w:numPr>
    </w:pPr>
  </w:style>
  <w:style w:type="paragraph" w:customStyle="1" w:styleId="ListAlpha2">
    <w:name w:val="List Alpha 2"/>
    <w:basedOn w:val="List2"/>
    <w:rsid w:val="00955C00"/>
    <w:pPr>
      <w:numPr>
        <w:numId w:val="7"/>
      </w:numPr>
    </w:pPr>
  </w:style>
  <w:style w:type="paragraph" w:styleId="List2">
    <w:name w:val="List 2"/>
    <w:basedOn w:val="BodyText"/>
    <w:rsid w:val="00955C00"/>
    <w:pPr>
      <w:tabs>
        <w:tab w:val="left" w:pos="680"/>
      </w:tabs>
      <w:spacing w:before="60" w:after="60"/>
      <w:ind w:left="680" w:hanging="340"/>
    </w:pPr>
  </w:style>
  <w:style w:type="paragraph" w:styleId="List3">
    <w:name w:val="List 3"/>
    <w:basedOn w:val="BodyText"/>
    <w:rsid w:val="00955C00"/>
    <w:pPr>
      <w:tabs>
        <w:tab w:val="left" w:pos="1021"/>
      </w:tabs>
      <w:spacing w:before="60" w:after="60"/>
      <w:ind w:left="1020" w:hanging="340"/>
    </w:pPr>
  </w:style>
  <w:style w:type="paragraph" w:styleId="List4">
    <w:name w:val="List 4"/>
    <w:basedOn w:val="BodyText"/>
    <w:rsid w:val="00955C00"/>
    <w:pPr>
      <w:tabs>
        <w:tab w:val="left" w:pos="1361"/>
      </w:tabs>
      <w:spacing w:before="60" w:after="60"/>
      <w:ind w:left="1361" w:hanging="340"/>
    </w:pPr>
  </w:style>
  <w:style w:type="paragraph" w:styleId="List5">
    <w:name w:val="List 5"/>
    <w:basedOn w:val="BodyText"/>
    <w:rsid w:val="00955C00"/>
    <w:pPr>
      <w:tabs>
        <w:tab w:val="left" w:pos="1701"/>
      </w:tabs>
      <w:spacing w:before="60" w:after="60"/>
      <w:ind w:left="1701" w:hanging="340"/>
    </w:pPr>
  </w:style>
  <w:style w:type="paragraph" w:styleId="ListBullet3">
    <w:name w:val="List Bullet 3"/>
    <w:basedOn w:val="List3"/>
    <w:rsid w:val="00955C00"/>
    <w:pPr>
      <w:numPr>
        <w:numId w:val="13"/>
      </w:numPr>
      <w:tabs>
        <w:tab w:val="clear" w:pos="1021"/>
      </w:tabs>
      <w:ind w:left="1037" w:hanging="357"/>
    </w:pPr>
  </w:style>
  <w:style w:type="paragraph" w:styleId="ListBullet4">
    <w:name w:val="List Bullet 4"/>
    <w:basedOn w:val="List4"/>
    <w:rsid w:val="00955C00"/>
    <w:pPr>
      <w:numPr>
        <w:numId w:val="2"/>
      </w:numPr>
      <w:tabs>
        <w:tab w:val="clear" w:pos="1361"/>
      </w:tabs>
    </w:pPr>
  </w:style>
  <w:style w:type="paragraph" w:styleId="ListBullet5">
    <w:name w:val="List Bullet 5"/>
    <w:basedOn w:val="List5"/>
    <w:rsid w:val="00955C00"/>
    <w:pPr>
      <w:numPr>
        <w:numId w:val="3"/>
      </w:numPr>
    </w:pPr>
  </w:style>
  <w:style w:type="paragraph" w:styleId="ListContinue2">
    <w:name w:val="List Continue 2"/>
    <w:basedOn w:val="List2"/>
    <w:rsid w:val="00955C00"/>
    <w:pPr>
      <w:ind w:firstLine="0"/>
    </w:pPr>
  </w:style>
  <w:style w:type="paragraph" w:styleId="ListContinue3">
    <w:name w:val="List Continue 3"/>
    <w:basedOn w:val="List3"/>
    <w:rsid w:val="00955C00"/>
    <w:pPr>
      <w:ind w:left="1021" w:firstLine="0"/>
    </w:pPr>
  </w:style>
  <w:style w:type="paragraph" w:styleId="ListContinue4">
    <w:name w:val="List Continue 4"/>
    <w:basedOn w:val="List4"/>
    <w:rsid w:val="00955C00"/>
    <w:pPr>
      <w:ind w:firstLine="0"/>
    </w:pPr>
  </w:style>
  <w:style w:type="paragraph" w:styleId="ListContinue5">
    <w:name w:val="List Continue 5"/>
    <w:basedOn w:val="List5"/>
    <w:rsid w:val="00955C00"/>
    <w:pPr>
      <w:ind w:firstLine="0"/>
    </w:pPr>
  </w:style>
  <w:style w:type="paragraph" w:styleId="ListNumber3">
    <w:name w:val="List Number 3"/>
    <w:basedOn w:val="List3"/>
    <w:rsid w:val="00955C00"/>
    <w:pPr>
      <w:numPr>
        <w:numId w:val="4"/>
      </w:numPr>
    </w:pPr>
  </w:style>
  <w:style w:type="paragraph" w:styleId="ListNumber4">
    <w:name w:val="List Number 4"/>
    <w:basedOn w:val="List4"/>
    <w:rsid w:val="00955C00"/>
    <w:pPr>
      <w:numPr>
        <w:numId w:val="5"/>
      </w:numPr>
    </w:pPr>
  </w:style>
  <w:style w:type="paragraph" w:styleId="ListNumber5">
    <w:name w:val="List Number 5"/>
    <w:basedOn w:val="List5"/>
    <w:rsid w:val="00955C00"/>
    <w:pPr>
      <w:numPr>
        <w:numId w:val="6"/>
      </w:numPr>
    </w:pPr>
  </w:style>
  <w:style w:type="paragraph" w:styleId="BlockText">
    <w:name w:val="Block Text"/>
    <w:basedOn w:val="Normal"/>
    <w:rsid w:val="00955C00"/>
    <w:pPr>
      <w:spacing w:after="120"/>
      <w:ind w:left="1440" w:right="1440"/>
    </w:pPr>
  </w:style>
  <w:style w:type="character" w:customStyle="1" w:styleId="Subscript">
    <w:name w:val="Subscript"/>
    <w:basedOn w:val="DefaultParagraphFont"/>
    <w:rsid w:val="00955C00"/>
    <w:rPr>
      <w:sz w:val="16"/>
      <w:vertAlign w:val="subscript"/>
    </w:rPr>
  </w:style>
  <w:style w:type="character" w:customStyle="1" w:styleId="Superscript">
    <w:name w:val="Superscript"/>
    <w:basedOn w:val="DefaultParagraphFont"/>
    <w:rsid w:val="00955C00"/>
    <w:rPr>
      <w:sz w:val="16"/>
      <w:vertAlign w:val="superscript"/>
    </w:rPr>
  </w:style>
  <w:style w:type="character" w:customStyle="1" w:styleId="Symbols">
    <w:name w:val="Symbols"/>
    <w:basedOn w:val="DefaultParagraphFont"/>
    <w:rsid w:val="00955C00"/>
    <w:rPr>
      <w:rFonts w:ascii="Symbol" w:hAnsi="Symbol"/>
    </w:rPr>
  </w:style>
  <w:style w:type="character" w:customStyle="1" w:styleId="MenuOptions">
    <w:name w:val="Menu Options"/>
    <w:basedOn w:val="DefaultParagraphFont"/>
    <w:rsid w:val="00955C00"/>
    <w:rPr>
      <w:rFonts w:ascii="Arial Narrow" w:hAnsi="Arial Narrow"/>
      <w:smallCaps/>
    </w:rPr>
  </w:style>
  <w:style w:type="character" w:customStyle="1" w:styleId="Buttons">
    <w:name w:val="Buttons"/>
    <w:basedOn w:val="DefaultParagraphFont"/>
    <w:rsid w:val="00955C00"/>
    <w:rPr>
      <w:b/>
    </w:rPr>
  </w:style>
  <w:style w:type="character" w:customStyle="1" w:styleId="Underlined">
    <w:name w:val="Underlined"/>
    <w:basedOn w:val="DefaultParagraphFont"/>
    <w:rsid w:val="00955C00"/>
    <w:rPr>
      <w:u w:val="single"/>
    </w:rPr>
  </w:style>
  <w:style w:type="paragraph" w:customStyle="1" w:styleId="TableBodyTextRight">
    <w:name w:val="Table Body Text Right"/>
    <w:basedOn w:val="TableBodyText"/>
    <w:rsid w:val="00955C00"/>
    <w:pPr>
      <w:widowControl w:val="0"/>
      <w:autoSpaceDE w:val="0"/>
      <w:autoSpaceDN w:val="0"/>
      <w:adjustRightInd w:val="0"/>
      <w:jc w:val="right"/>
    </w:pPr>
    <w:rPr>
      <w:rFonts w:cs="Arial"/>
      <w:szCs w:val="18"/>
    </w:rPr>
  </w:style>
  <w:style w:type="paragraph" w:customStyle="1" w:styleId="CopyrightText">
    <w:name w:val="Copyright Text"/>
    <w:basedOn w:val="BodyText"/>
    <w:rsid w:val="00955C00"/>
    <w:rPr>
      <w:sz w:val="18"/>
    </w:rPr>
  </w:style>
  <w:style w:type="paragraph" w:customStyle="1" w:styleId="BodySmallRight">
    <w:name w:val="Body Small Right"/>
    <w:basedOn w:val="BodyTextRight"/>
    <w:rsid w:val="00955C00"/>
    <w:rPr>
      <w:sz w:val="18"/>
      <w:szCs w:val="18"/>
    </w:rPr>
  </w:style>
  <w:style w:type="paragraph" w:customStyle="1" w:styleId="MarginEdition">
    <w:name w:val="Margin Edition"/>
    <w:basedOn w:val="MarginNote"/>
    <w:rsid w:val="00955C00"/>
    <w:pPr>
      <w:spacing w:before="0" w:after="0"/>
    </w:pPr>
    <w:rPr>
      <w:rFonts w:ascii="Times New Roman" w:hAnsi="Times New Roman"/>
      <w:color w:val="999999"/>
    </w:rPr>
  </w:style>
  <w:style w:type="paragraph" w:customStyle="1" w:styleId="Spacer">
    <w:name w:val="Spacer"/>
    <w:basedOn w:val="Normal"/>
    <w:rsid w:val="00955C00"/>
    <w:rPr>
      <w:sz w:val="2"/>
      <w:szCs w:val="2"/>
    </w:rPr>
  </w:style>
  <w:style w:type="character" w:customStyle="1" w:styleId="Small">
    <w:name w:val="Small"/>
    <w:basedOn w:val="DefaultParagraphFont"/>
    <w:rsid w:val="00955C00"/>
    <w:rPr>
      <w:sz w:val="16"/>
    </w:rPr>
  </w:style>
  <w:style w:type="paragraph" w:customStyle="1" w:styleId="WideTable">
    <w:name w:val="Wide Table"/>
    <w:basedOn w:val="Normal"/>
    <w:rsid w:val="00955C00"/>
    <w:pPr>
      <w:ind w:left="-1418"/>
    </w:pPr>
    <w:rPr>
      <w:sz w:val="2"/>
      <w:szCs w:val="2"/>
    </w:rPr>
  </w:style>
  <w:style w:type="character" w:styleId="PageNumber">
    <w:name w:val="page number"/>
    <w:basedOn w:val="DefaultParagraphFont"/>
    <w:rsid w:val="00955C00"/>
  </w:style>
  <w:style w:type="paragraph" w:styleId="Quote">
    <w:name w:val="Quote"/>
    <w:basedOn w:val="Heading1"/>
    <w:link w:val="QuoteChar"/>
    <w:qFormat/>
    <w:rsid w:val="00955C00"/>
    <w:rPr>
      <w:b w:val="0"/>
      <w:sz w:val="72"/>
      <w:szCs w:val="72"/>
      <w:lang w:val="en-NZ"/>
    </w:rPr>
  </w:style>
  <w:style w:type="character" w:customStyle="1" w:styleId="QuoteChar">
    <w:name w:val="Quote Char"/>
    <w:basedOn w:val="DefaultParagraphFont"/>
    <w:link w:val="Quote"/>
    <w:rsid w:val="00955C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5C00"/>
    <w:pPr>
      <w:pageBreakBefore/>
    </w:pPr>
  </w:style>
  <w:style w:type="paragraph" w:customStyle="1" w:styleId="Border">
    <w:name w:val="Border"/>
    <w:basedOn w:val="Normal"/>
    <w:qFormat/>
    <w:rsid w:val="00955C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5C00"/>
    <w:rPr>
      <w:b/>
      <w:bCs/>
      <w:i/>
      <w:iCs/>
      <w:color w:val="auto"/>
    </w:rPr>
  </w:style>
  <w:style w:type="paragraph" w:styleId="IntenseQuote">
    <w:name w:val="Intense Quote"/>
    <w:basedOn w:val="Normal"/>
    <w:next w:val="Normal"/>
    <w:link w:val="IntenseQuoteChar"/>
    <w:uiPriority w:val="30"/>
    <w:qFormat/>
    <w:rsid w:val="00955C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5C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5C00"/>
    <w:rPr>
      <w:smallCaps/>
      <w:color w:val="auto"/>
      <w:u w:val="single"/>
    </w:rPr>
  </w:style>
  <w:style w:type="character" w:styleId="IntenseReference">
    <w:name w:val="Intense Reference"/>
    <w:basedOn w:val="DefaultParagraphFont"/>
    <w:uiPriority w:val="32"/>
    <w:qFormat/>
    <w:rsid w:val="00955C00"/>
    <w:rPr>
      <w:b/>
      <w:bCs/>
      <w:smallCaps/>
      <w:color w:val="auto"/>
      <w:spacing w:val="5"/>
      <w:u w:val="single"/>
    </w:rPr>
  </w:style>
  <w:style w:type="paragraph" w:customStyle="1" w:styleId="2ColumnHeading">
    <w:name w:val="2Column Heading"/>
    <w:basedOn w:val="BodyText"/>
    <w:qFormat/>
    <w:rsid w:val="00955C00"/>
    <w:pPr>
      <w:spacing w:after="60"/>
      <w:ind w:left="-2268"/>
    </w:pPr>
    <w:rPr>
      <w:b/>
    </w:rPr>
  </w:style>
  <w:style w:type="paragraph" w:customStyle="1" w:styleId="Heading1TOC">
    <w:name w:val="Heading1 TOC"/>
    <w:basedOn w:val="Normal"/>
    <w:qFormat/>
    <w:rsid w:val="00955C00"/>
    <w:pPr>
      <w:spacing w:before="240" w:after="120"/>
    </w:pPr>
    <w:rPr>
      <w:rFonts w:ascii="Times New Roman" w:hAnsi="Times New Roman"/>
      <w:b/>
      <w:sz w:val="32"/>
    </w:rPr>
  </w:style>
  <w:style w:type="paragraph" w:customStyle="1" w:styleId="Heading2TOC">
    <w:name w:val="Heading2 TOC"/>
    <w:basedOn w:val="Normal"/>
    <w:qFormat/>
    <w:rsid w:val="00955C00"/>
    <w:pPr>
      <w:spacing w:before="240" w:after="60"/>
    </w:pPr>
    <w:rPr>
      <w:rFonts w:ascii="Times New Roman" w:hAnsi="Times New Roman"/>
      <w:b/>
      <w:sz w:val="28"/>
    </w:rPr>
  </w:style>
  <w:style w:type="character" w:customStyle="1" w:styleId="Underline">
    <w:name w:val="Underline"/>
    <w:basedOn w:val="DefaultParagraphFont"/>
    <w:qFormat/>
    <w:rsid w:val="00955C00"/>
    <w:rPr>
      <w:u w:val="single"/>
    </w:rPr>
  </w:style>
  <w:style w:type="character" w:customStyle="1" w:styleId="BoldandItalics">
    <w:name w:val="Bold and Italics"/>
    <w:qFormat/>
    <w:rsid w:val="00955C00"/>
    <w:rPr>
      <w:b/>
      <w:i/>
      <w:u w:val="none"/>
    </w:rPr>
  </w:style>
  <w:style w:type="paragraph" w:styleId="BalloonText">
    <w:name w:val="Balloon Text"/>
    <w:basedOn w:val="Normal"/>
    <w:link w:val="BalloonTextChar"/>
    <w:rsid w:val="00955C00"/>
    <w:rPr>
      <w:rFonts w:ascii="Tahoma" w:hAnsi="Tahoma" w:cs="Tahoma"/>
      <w:sz w:val="16"/>
      <w:szCs w:val="16"/>
    </w:rPr>
  </w:style>
  <w:style w:type="character" w:customStyle="1" w:styleId="BalloonTextChar">
    <w:name w:val="Balloon Text Char"/>
    <w:basedOn w:val="DefaultParagraphFont"/>
    <w:link w:val="BalloonText"/>
    <w:rsid w:val="00955C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5C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5C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5C00"/>
    <w:rPr>
      <w:b/>
      <w:color w:val="660033"/>
      <w:spacing w:val="0"/>
    </w:rPr>
  </w:style>
  <w:style w:type="paragraph" w:customStyle="1" w:styleId="Nameditemlist">
    <w:name w:val="Named item list"/>
    <w:basedOn w:val="BodyText"/>
    <w:qFormat/>
    <w:rsid w:val="00955C00"/>
    <w:pPr>
      <w:tabs>
        <w:tab w:val="left" w:pos="2835"/>
      </w:tabs>
      <w:ind w:left="2835" w:hanging="2835"/>
    </w:pPr>
  </w:style>
  <w:style w:type="paragraph" w:customStyle="1" w:styleId="BodyTextnopadding">
    <w:name w:val="Body Text no padding"/>
    <w:basedOn w:val="BodyText"/>
    <w:qFormat/>
    <w:rsid w:val="00955C00"/>
    <w:pPr>
      <w:spacing w:before="0" w:after="0"/>
    </w:pPr>
  </w:style>
  <w:style w:type="paragraph" w:customStyle="1" w:styleId="BodyTextBold">
    <w:name w:val="Body Text Bold"/>
    <w:basedOn w:val="BodyText"/>
    <w:qFormat/>
    <w:rsid w:val="00955C00"/>
    <w:rPr>
      <w:b/>
    </w:rPr>
  </w:style>
  <w:style w:type="character" w:styleId="Hyperlink">
    <w:name w:val="Hyperlink"/>
    <w:basedOn w:val="DefaultParagraphFont"/>
    <w:uiPriority w:val="99"/>
    <w:unhideWhenUsed/>
    <w:rsid w:val="003F03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741</Words>
  <Characters>4656</Characters>
  <Application>Microsoft Office Word</Application>
  <DocSecurity>0</DocSecurity>
  <Lines>172</Lines>
  <Paragraphs>91</Paragraphs>
  <ScaleCrop>false</ScaleCrop>
  <Company>Author-it Software Corporation Ltd.</Company>
  <LinksUpToDate>false</LinksUpToDate>
  <CharactersWithSpaces>5306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MARB044 Operate and maintain ship power systems exceeding 1,000 volts</dc:title>
  <dc:subject>Approved</dc:subject>
  <dc:creator>Industry Skills Australia</dc:creator>
  <cp:keywords>Release: 1</cp:keywords>
  <dc:description>Review Date: 12 April 2008</dc:description>
  <cp:lastModifiedBy>HSD_TPCMSd.prod</cp:lastModifiedBy>
  <cp:revision>3</cp:revision>
  <dcterms:created xsi:type="dcterms:W3CDTF">2024-11-22T08:08:00Z</dcterms:created>
  <dcterms:modified xsi:type="dcterms:W3CDTF">2024-11-22T08:08:00Z</dcterms:modified>
</cp:coreProperties>
</file>