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D49" w:rsidP="00BE6D49">
      <w:pPr>
        <w:pStyle w:val="Title"/>
      </w:pPr>
      <w:r>
        <w:fldChar w:fldCharType="begin"/>
      </w:r>
      <w:r>
        <w:instrText xml:space="preserve"> TITLE   \* MERGEFORMAT </w:instrText>
      </w:r>
      <w:r>
        <w:fldChar w:fldCharType="separate"/>
      </w:r>
      <w:r>
        <w:t>MARB044 Operate and maintain ship power systems exceeding 1,000 volts</w:t>
      </w:r>
      <w:r>
        <w:fldChar w:fldCharType="end"/>
      </w:r>
    </w:p>
    <w:p w:rsidR="00BE6D49" w:rsidP="00BE6D49">
      <w:pPr>
        <w:pStyle w:val="Version"/>
        <w:sectPr w:rsidSect="00AC53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31F" w:rsidP="00AC531F">
      <w:pPr>
        <w:pStyle w:val="SuperHeading"/>
      </w:pPr>
      <w:r w:rsidRPr="00AC531F">
        <w:t>MARB044 Operate and maintain ship power systems exceeding 1,000 volts</w:t>
      </w:r>
    </w:p>
    <w:p w:rsidR="00000000" w:rsidRPr="00AC531F" w:rsidP="00AC531F">
      <w:pPr>
        <w:pStyle w:val="Heading1"/>
      </w:pPr>
      <w:bookmarkStart w:id="1" w:name="O_1086123"/>
      <w:bookmarkEnd w:id="1"/>
      <w:r w:rsidRPr="00AC531F">
        <w:t>Modification History</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Release 1. This is the first release of this unit of competency in the MAR Maritime Training Package</w:t>
            </w:r>
          </w:p>
        </w:tc>
      </w:tr>
    </w:tbl>
    <w:p w:rsidR="00BE6D49" w:rsidP="00AC531F">
      <w:pPr>
        <w:pStyle w:val="NoPaddingFontSize1"/>
      </w:pPr>
    </w:p>
    <w:p w:rsidR="00BE6D49" w:rsidP="00AC531F">
      <w:pPr>
        <w:pStyle w:val="NoPaddingFontSize1"/>
      </w:pPr>
    </w:p>
    <w:p w:rsidR="00000000" w:rsidRPr="00AC531F" w:rsidP="00AC531F">
      <w:pPr>
        <w:pStyle w:val="Heading1"/>
      </w:pPr>
      <w:bookmarkStart w:id="2" w:name="O_1086124"/>
      <w:bookmarkEnd w:id="2"/>
      <w:r w:rsidRPr="00AC531F">
        <w:t>Application</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This unit involves the skills and knowledge required to operate and maintain ship high voltage (HV) power systems exceeding 1,000 volts (V).</w:t>
            </w:r>
          </w:p>
          <w:p w:rsidR="00000000" w:rsidRPr="00AC531F" w:rsidP="00AC531F">
            <w:pPr>
              <w:pStyle w:val="BodyText"/>
            </w:pPr>
            <w:r w:rsidRPr="00AC531F">
              <w:t>It includes reviewing and managing electrical propulsions of the ship, electrical motors and control systems as par</w:t>
            </w:r>
            <w:r w:rsidRPr="00AC531F">
              <w:t>t of the ship power system. It also includes HV technology and required documentation.</w:t>
            </w:r>
          </w:p>
          <w:p w:rsidR="00000000" w:rsidRPr="00AC531F" w:rsidP="00AC531F">
            <w:pPr>
              <w:pStyle w:val="BodyText"/>
            </w:pPr>
            <w:r w:rsidRPr="00AC531F">
              <w:t>This unit applies to people working in the maritime industry in the capacity of:</w:t>
            </w:r>
          </w:p>
          <w:p w:rsidR="00000000" w:rsidRPr="00AC531F" w:rsidP="00AC531F">
            <w:pPr>
              <w:pStyle w:val="ListBullet"/>
            </w:pPr>
            <w:r w:rsidRPr="00AC531F">
              <w:t>Electro-Technical Officer (STCW Electro-Technical Officer Unlimited)</w:t>
            </w:r>
          </w:p>
          <w:p w:rsidR="00000000" w:rsidRPr="00AC531F" w:rsidP="00AC531F">
            <w:pPr>
              <w:pStyle w:val="ListBullet"/>
            </w:pPr>
            <w:r w:rsidRPr="00AC531F">
              <w:t>Engineer Class 1 (</w:t>
            </w:r>
            <w:r w:rsidRPr="00AC531F">
              <w:t>STCW Chief Engineer Unlimited)</w:t>
            </w:r>
          </w:p>
          <w:p w:rsidR="00000000" w:rsidRPr="00AC531F" w:rsidP="00AC531F">
            <w:pPr>
              <w:pStyle w:val="ListBullet"/>
            </w:pPr>
            <w:r w:rsidRPr="00AC531F">
              <w:t>Engineer Class 2 (STCW Second Engineer Unlimited)</w:t>
            </w:r>
          </w:p>
          <w:p w:rsidR="00000000" w:rsidRPr="00AC531F" w:rsidP="00AC531F">
            <w:pPr>
              <w:pStyle w:val="ListBullet"/>
            </w:pPr>
            <w:r w:rsidRPr="00AC531F">
              <w:t>Engineer Watchkeeper (STCW Engineer Watchkeeper Unlimited).</w:t>
            </w:r>
          </w:p>
          <w:p w:rsidR="00000000" w:rsidRPr="00AC531F" w:rsidP="00AC531F">
            <w:pPr>
              <w:pStyle w:val="BodyText"/>
            </w:pPr>
          </w:p>
          <w:p w:rsidR="00000000" w:rsidRPr="00AC531F" w:rsidP="00AC531F">
            <w:pPr>
              <w:pStyle w:val="BodyText"/>
            </w:pPr>
            <w:r w:rsidRPr="00AC531F">
              <w:rPr>
                <w:rStyle w:val="SpecialBold"/>
              </w:rPr>
              <w:t>Licensing/Regulatory Information</w:t>
            </w:r>
          </w:p>
          <w:p w:rsidR="00000000" w:rsidRPr="00AC531F" w:rsidP="00AC531F">
            <w:pPr>
              <w:pStyle w:val="BodyText"/>
            </w:pPr>
            <w:r w:rsidRPr="00AC531F">
              <w:t>Legislative and regulatory requirements are applicable to this unit.</w:t>
            </w:r>
          </w:p>
          <w:p w:rsidR="00000000" w:rsidRPr="00AC531F" w:rsidP="00AC531F">
            <w:pPr>
              <w:pStyle w:val="BodyText"/>
            </w:pPr>
            <w:r w:rsidRPr="00AC531F">
              <w:t>A person competent in this unit will hold either an Unrestricted Electrical Licence issued in an Australian state or territory, a Marine Engineering Certificate of Competency issued under Marine Order 72 or be undertaking an Australian Maritime Safety Auth</w:t>
            </w:r>
            <w:r w:rsidRPr="00AC531F">
              <w:t>ority (AMSA) approved course of study under Marine Order 72, and be able to operate and maintain ship power systems exceeding 1,000 V in accordance to relevant industry standards and regulations.</w:t>
            </w:r>
          </w:p>
          <w:p w:rsidR="00000000" w:rsidRPr="00AC531F" w:rsidP="00AC531F">
            <w:pPr>
              <w:pStyle w:val="BodyText"/>
            </w:pPr>
            <w:r w:rsidRPr="00AC531F">
              <w:t>This unit is subject to the following requirements:</w:t>
            </w:r>
          </w:p>
          <w:p w:rsidR="00000000" w:rsidRPr="00AC531F" w:rsidP="00AC531F">
            <w:pPr>
              <w:pStyle w:val="ListBullet"/>
            </w:pPr>
            <w:r w:rsidRPr="00AC531F">
              <w:t>Legisla</w:t>
            </w:r>
            <w:r w:rsidRPr="00AC531F">
              <w:t>tion, regulations, relevant industry standards and codes of practice for electrical work, including specific work health and safety (WHS)/occupational health and safety (OHS) legislation and regulatory requirements.</w:t>
            </w:r>
          </w:p>
          <w:p w:rsidR="00000000" w:rsidRPr="00AC531F" w:rsidP="00AC531F">
            <w:pPr>
              <w:pStyle w:val="ListBullet"/>
            </w:pPr>
            <w:r w:rsidRPr="00AC531F">
              <w:t xml:space="preserve">This unit is one of the requirements to </w:t>
            </w:r>
            <w:r w:rsidRPr="00AC531F">
              <w:t>obtain AMSA certification as an Electro-Technical Officer (STCW Electro-Technical Officer Unlimited), Engineer Class 1 (STCW Chief Engineer Unlimited), Engineer Class 2 (STCW Second Engineer Unlimited) or Engineer Watchkeeper (STCW Engineer Watchkeeper Unl</w:t>
            </w:r>
            <w:r w:rsidRPr="00AC531F">
              <w:t>imited) and to meet regulatory requirements this unit must be delivered consistent with Marine Orders and with the relevant sections of the International Convention on Standards of Training, Certification and Watchkeeping for Seafarers (STCW).</w:t>
            </w:r>
          </w:p>
          <w:p w:rsidR="00000000" w:rsidRPr="00AC531F" w:rsidP="00AC531F">
            <w:pPr>
              <w:pStyle w:val="ListBullet"/>
            </w:pPr>
            <w:r w:rsidRPr="00AC531F">
              <w:t>Those regula</w:t>
            </w:r>
            <w:r w:rsidRPr="00AC531F">
              <w:t xml:space="preserve">tory requirements include STCW International Maritime Organization (IMO) model course competencies and areas of knowledge, understanding and proficiency, together </w:t>
            </w:r>
            <w:r w:rsidRPr="00AC531F">
              <w:t xml:space="preserve">with the estimated total hours required for lectures and practical exercises. Teaching staff </w:t>
            </w:r>
            <w:r w:rsidRPr="00AC531F">
              <w:t>should note that timings are suggestions only and should be adapted to suit individual groups of trainees depending on their experience, ability, equipment and staff available for training.</w:t>
            </w:r>
          </w:p>
          <w:p w:rsidR="00000000" w:rsidRPr="00AC531F" w:rsidP="00AC531F">
            <w:pPr>
              <w:pStyle w:val="ListBullet"/>
            </w:pPr>
            <w:r w:rsidRPr="00AC531F">
              <w:t xml:space="preserve">Electrical licence requirements – unrestricted electrical work or </w:t>
            </w:r>
            <w:r w:rsidRPr="00AC531F">
              <w:t>relevant industry experience approved by maritime regulator.</w:t>
            </w:r>
          </w:p>
          <w:p w:rsidR="00000000" w:rsidRPr="00AC531F" w:rsidP="00AC531F">
            <w:pPr>
              <w:pStyle w:val="ListBullet"/>
            </w:pPr>
            <w:r w:rsidRPr="00AC531F">
              <w:t>Legislation, regulations, relevant industry standards and codes of practice for ship power systems exceeding 1,000 V.</w:t>
            </w:r>
          </w:p>
          <w:p w:rsidR="00000000" w:rsidRPr="00AC531F" w:rsidP="00AC531F">
            <w:pPr>
              <w:pStyle w:val="BodyText"/>
            </w:pPr>
            <w:r w:rsidRPr="00AC531F">
              <w:t>There may be variations in these requirements across jurisdictions.</w:t>
            </w:r>
          </w:p>
        </w:tc>
      </w:tr>
    </w:tbl>
    <w:p w:rsidR="00BE6D49" w:rsidP="00AC531F">
      <w:pPr>
        <w:pStyle w:val="NoPaddingFontSize1"/>
      </w:pPr>
    </w:p>
    <w:p w:rsidR="00BE6D49" w:rsidP="00AC531F">
      <w:pPr>
        <w:pStyle w:val="NoPaddingFontSize1"/>
      </w:pPr>
    </w:p>
    <w:p w:rsidR="00000000" w:rsidRPr="00AC531F" w:rsidP="00AC531F">
      <w:pPr>
        <w:pStyle w:val="Heading1"/>
      </w:pPr>
      <w:bookmarkStart w:id="3" w:name="O_1086125"/>
      <w:bookmarkEnd w:id="3"/>
      <w:r w:rsidRPr="00AC531F">
        <w:t>Pre-requisite Unit</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Not applicable.</w:t>
            </w:r>
          </w:p>
        </w:tc>
      </w:tr>
    </w:tbl>
    <w:p w:rsidR="00000000" w:rsidRPr="00AC531F" w:rsidP="00AC531F">
      <w:pPr>
        <w:pStyle w:val="NoPaddingFontSize1"/>
      </w:pPr>
    </w:p>
    <w:p w:rsidR="00000000" w:rsidRPr="00AC531F" w:rsidP="00AC531F">
      <w:pPr>
        <w:pStyle w:val="AllowPageBreak"/>
      </w:pPr>
    </w:p>
    <w:p w:rsidR="00000000" w:rsidRPr="00AC531F" w:rsidP="00AC531F">
      <w:pPr>
        <w:pStyle w:val="Heading1"/>
      </w:pPr>
      <w:bookmarkStart w:id="4" w:name="O_1086126"/>
      <w:bookmarkEnd w:id="4"/>
      <w:r w:rsidRPr="00AC531F">
        <w:t>Competency Field</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B – Equipment Checking and Maintenance</w:t>
            </w:r>
          </w:p>
        </w:tc>
      </w:tr>
    </w:tbl>
    <w:p w:rsidR="00BE6D49" w:rsidP="00AC531F">
      <w:pPr>
        <w:pStyle w:val="NoPaddingFontSize1"/>
      </w:pPr>
    </w:p>
    <w:p w:rsidR="00BE6D49" w:rsidP="00AC531F">
      <w:pPr>
        <w:pStyle w:val="NoPaddingFontSize1"/>
      </w:pPr>
    </w:p>
    <w:p w:rsidR="00000000" w:rsidRPr="00AC531F" w:rsidP="00AC531F">
      <w:pPr>
        <w:pStyle w:val="Heading1"/>
      </w:pPr>
      <w:bookmarkStart w:id="5" w:name="O_1086127"/>
      <w:bookmarkEnd w:id="5"/>
      <w:r w:rsidRPr="00AC531F">
        <w:t>Unit Sector</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Electrotechnology</w:t>
            </w:r>
          </w:p>
        </w:tc>
      </w:tr>
    </w:tbl>
    <w:p w:rsidR="00BE6D49" w:rsidP="00AC531F">
      <w:pPr>
        <w:pStyle w:val="NoPaddingFontSize1"/>
      </w:pPr>
    </w:p>
    <w:p w:rsidR="00BE6D49" w:rsidP="00AC531F">
      <w:pPr>
        <w:pStyle w:val="NoPaddingFontSize1"/>
      </w:pPr>
    </w:p>
    <w:p w:rsidR="00000000" w:rsidRPr="00AC531F" w:rsidP="00AC531F">
      <w:pPr>
        <w:pStyle w:val="Heading1"/>
      </w:pPr>
      <w:bookmarkStart w:id="6" w:name="O_1086128"/>
      <w:bookmarkEnd w:id="6"/>
      <w:r w:rsidRPr="00AC531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C53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PERFORMANCE CRITERIA</w:t>
            </w:r>
          </w:p>
        </w:tc>
      </w:tr>
      <w:tr w:rsidTr="00AC53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Performance criteria describe the performance needed to demonstrate achievement of the element.</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rPr>
                <w:rStyle w:val="SpecialBold"/>
              </w:rPr>
              <w:t>Review ship power systems operations</w:t>
            </w: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Ship power systems are identified and analysed f</w:t>
            </w:r>
            <w:r w:rsidRPr="00AC531F">
              <w:t>rom electrical drawings and specifications</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Hazards are identified, risks assessed and control measures implemented</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rPr>
                <w:rStyle w:val="SpecialBold"/>
              </w:rPr>
              <w:t>Manage ship power systems</w:t>
            </w: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Operations are carried out in accordance with operational manuals, rules and procedures to ensure safety of operations</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Electrical permit system to work on HV systems are identified and applied</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 xml:space="preserve">HV isolation and verification are carried out in </w:t>
            </w:r>
            <w:r w:rsidRPr="00AC531F">
              <w:t>accordance with procedures</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Ship power systems are visually inspected and tested in accordance with maintenance specification and electrical operation plan</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Maintenance work is checked to verify that it conforms with technical specifications</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 xml:space="preserve">Electrical system is verified prior to re-energising system </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 xml:space="preserve">HV system is re-energised in accordance with procedures </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rPr>
                <w:rStyle w:val="SpecialBold"/>
              </w:rPr>
              <w:t>Clean up and complete documentation</w:t>
            </w: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Work area is cleared and cleaned</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Work area is made safe in accordance with safe electrical working practices</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Materials are disposed of or recycled in accordance with legislative and workplace requirements</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Tools and equipment are cleaned, checked and stored in accordance with</w:t>
            </w:r>
            <w:r w:rsidRPr="00AC531F">
              <w:t xml:space="preserve"> procedures</w:t>
            </w:r>
          </w:p>
        </w:tc>
      </w:tr>
      <w:tr w:rsidTr="00AC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C531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Maintenance reports are completed in accordance with procedures</w:t>
            </w:r>
          </w:p>
        </w:tc>
      </w:tr>
    </w:tbl>
    <w:p w:rsidR="00BE6D49" w:rsidP="00AC531F">
      <w:pPr>
        <w:pStyle w:val="NoPaddingFontSize1"/>
      </w:pPr>
    </w:p>
    <w:p w:rsidR="00BE6D49" w:rsidP="00AC531F">
      <w:pPr>
        <w:pStyle w:val="NoPaddingFontSize1"/>
      </w:pPr>
    </w:p>
    <w:p w:rsidR="00000000" w:rsidRPr="00AC531F" w:rsidP="00AC531F">
      <w:pPr>
        <w:pStyle w:val="Heading1"/>
      </w:pPr>
      <w:bookmarkStart w:id="7" w:name="O_1086129"/>
      <w:bookmarkEnd w:id="7"/>
      <w:r w:rsidRPr="00AC531F">
        <w:t>Foundation Skills</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Foundation skills essential to performance are explicit in the performance criteria of this unit of competency.</w:t>
            </w:r>
          </w:p>
        </w:tc>
      </w:tr>
    </w:tbl>
    <w:p w:rsidR="00BE6D49" w:rsidP="00AC531F">
      <w:pPr>
        <w:pStyle w:val="NoPaddingFontSize1"/>
      </w:pPr>
    </w:p>
    <w:p w:rsidR="00BE6D49" w:rsidP="00AC531F">
      <w:pPr>
        <w:pStyle w:val="NoPaddingFontSize1"/>
      </w:pPr>
    </w:p>
    <w:p w:rsidR="00000000" w:rsidRPr="00AC531F" w:rsidP="00AC531F">
      <w:pPr>
        <w:pStyle w:val="Heading1"/>
      </w:pPr>
      <w:bookmarkStart w:id="8" w:name="O_1086130"/>
      <w:bookmarkEnd w:id="8"/>
      <w:r w:rsidRPr="00AC531F">
        <w:t>Range of Conditions</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Range is restricted to essential operating conditions and any other variables essential to the work environment.</w:t>
            </w:r>
          </w:p>
        </w:tc>
      </w:tr>
    </w:tbl>
    <w:p w:rsidR="00BE6D49" w:rsidP="00AC531F">
      <w:pPr>
        <w:pStyle w:val="NoPaddingFontSize1"/>
      </w:pPr>
    </w:p>
    <w:p w:rsidR="00BE6D49" w:rsidP="00AC531F">
      <w:pPr>
        <w:pStyle w:val="NoPaddingFontSize1"/>
      </w:pPr>
    </w:p>
    <w:p w:rsidR="00000000" w:rsidRPr="00AC531F" w:rsidP="00AC531F">
      <w:pPr>
        <w:pStyle w:val="Heading1"/>
      </w:pPr>
      <w:bookmarkStart w:id="9" w:name="O_1086131"/>
      <w:bookmarkEnd w:id="9"/>
      <w:r w:rsidRPr="00AC531F">
        <w:t>Unit Mapping Information</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This is a new unit.  No equivalent unit.</w:t>
            </w:r>
          </w:p>
        </w:tc>
      </w:tr>
    </w:tbl>
    <w:p w:rsidR="00BE6D49" w:rsidP="00AC531F">
      <w:pPr>
        <w:pStyle w:val="NoPaddingFontSize1"/>
      </w:pPr>
    </w:p>
    <w:p w:rsidR="00BE6D49" w:rsidP="00AC531F">
      <w:pPr>
        <w:pStyle w:val="NoPaddingFontSize1"/>
      </w:pPr>
    </w:p>
    <w:p w:rsidR="00000000" w:rsidRPr="00AC531F" w:rsidP="00AC531F">
      <w:pPr>
        <w:pStyle w:val="Heading1"/>
      </w:pPr>
      <w:bookmarkStart w:id="10" w:name="O_1086138"/>
      <w:bookmarkEnd w:id="10"/>
      <w:r w:rsidRPr="00AC531F">
        <w:t>Link</w:t>
      </w:r>
      <w:r w:rsidRPr="00AC531F">
        <w:t>s</w:t>
      </w:r>
    </w:p>
    <w:p w:rsidR="00000000" w:rsidRPr="00AC531F" w:rsidP="00BE6D49">
      <w:pPr>
        <w:pStyle w:val="BodyText"/>
      </w:pPr>
      <w:r w:rsidRPr="00AC531F">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6C6565">
        <w:rPr>
          <w:rStyle w:val="Hyperlink"/>
        </w:rPr>
        <w:t>https://vetnet.gov.au/Pages/TrainingDocs.aspx?q=772efb7b-4cce-47fe-9bbd-ee3b1d1eb4c2</w:t>
      </w:r>
      <w:r>
        <w:fldChar w:fldCharType="end"/>
      </w:r>
    </w:p>
    <w:p w:rsidR="00000000" w:rsidRPr="00AC531F" w:rsidP="00BE6D49">
      <w:pPr>
        <w:pStyle w:val="BodyText"/>
        <w:sectPr w:rsidSect="00AC531F">
          <w:headerReference w:type="default" r:id="rId10"/>
          <w:footerReference w:type="default" r:id="rId11"/>
          <w:pgSz w:w="11908" w:h="16833"/>
          <w:pgMar w:top="1702" w:right="1418" w:bottom="1702" w:left="1418" w:header="992" w:footer="992" w:gutter="0"/>
          <w:cols w:space="720"/>
          <w:noEndnote/>
          <w:docGrid w:linePitch="299"/>
        </w:sectPr>
      </w:pPr>
    </w:p>
    <w:p w:rsidR="00000000" w:rsidRPr="00AC531F" w:rsidP="00AC531F">
      <w:pPr>
        <w:pStyle w:val="SuperHeading"/>
      </w:pPr>
      <w:r w:rsidRPr="00AC531F">
        <w:t>Assessment Requirements fo</w:t>
      </w:r>
      <w:r w:rsidRPr="00AC531F">
        <w:t>r MARB044 Operate and maintain ship power systems exceeding 1,000 volts</w:t>
      </w:r>
    </w:p>
    <w:p w:rsidR="00000000" w:rsidRPr="00AC531F" w:rsidP="00AC531F">
      <w:pPr>
        <w:pStyle w:val="Heading1"/>
      </w:pPr>
      <w:bookmarkStart w:id="11" w:name="O_1086133"/>
      <w:bookmarkEnd w:id="11"/>
      <w:r w:rsidRPr="00AC531F">
        <w:t>Modification History</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Release 1. This is the first release of this unit of competency in the MAR Maritime Training Package</w:t>
            </w:r>
          </w:p>
        </w:tc>
      </w:tr>
    </w:tbl>
    <w:p w:rsidR="00BE6D49" w:rsidP="00AC531F">
      <w:pPr>
        <w:pStyle w:val="NoPaddingFontSize1"/>
      </w:pPr>
    </w:p>
    <w:p w:rsidR="00BE6D49" w:rsidP="00AC531F">
      <w:pPr>
        <w:pStyle w:val="NoPaddingFontSize1"/>
      </w:pPr>
    </w:p>
    <w:p w:rsidR="00000000" w:rsidRPr="00AC531F" w:rsidP="00AC531F">
      <w:pPr>
        <w:pStyle w:val="Heading1"/>
      </w:pPr>
      <w:bookmarkStart w:id="12" w:name="O_1086134"/>
      <w:bookmarkEnd w:id="12"/>
      <w:r w:rsidRPr="00AC531F">
        <w:t>Performance Evidence</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E</w:t>
            </w:r>
            <w:r w:rsidRPr="00AC531F">
              <w:t>vidence required to demonstrate competence in this unit must be relevant to and satisfy all of the requirements of the elements and performance criteria on at least two separate occasions and include:</w:t>
            </w:r>
          </w:p>
        </w:tc>
      </w:tr>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ListBullet"/>
            </w:pPr>
            <w:r w:rsidRPr="00AC531F">
              <w:t>applying work health and safety (WHS)/occupational he</w:t>
            </w:r>
            <w:r w:rsidRPr="00AC531F">
              <w:t>alth and safety (OHS) requirements and work practices</w:t>
            </w:r>
          </w:p>
          <w:p w:rsidR="00000000" w:rsidRPr="00AC531F" w:rsidP="00AC531F">
            <w:pPr>
              <w:pStyle w:val="ListBullet"/>
            </w:pPr>
            <w:r w:rsidRPr="00AC531F">
              <w:t>applying safe operations and maintenance of high voltage (HV) systems procedures, including:</w:t>
            </w:r>
          </w:p>
          <w:p w:rsidR="00000000" w:rsidRPr="00AC531F" w:rsidP="00AC531F">
            <w:pPr>
              <w:pStyle w:val="ListBullet2"/>
            </w:pPr>
            <w:r w:rsidRPr="00AC531F">
              <w:t>de-energising</w:t>
            </w:r>
          </w:p>
          <w:p w:rsidR="00000000" w:rsidRPr="00AC531F" w:rsidP="00AC531F">
            <w:pPr>
              <w:pStyle w:val="ListBullet2"/>
            </w:pPr>
            <w:r w:rsidRPr="00AC531F">
              <w:t>earthing down</w:t>
            </w:r>
          </w:p>
          <w:p w:rsidR="00000000" w:rsidRPr="00AC531F" w:rsidP="00AC531F">
            <w:pPr>
              <w:pStyle w:val="ListBullet2"/>
            </w:pPr>
            <w:r w:rsidRPr="00AC531F">
              <w:t>isolating and switching procedures</w:t>
            </w:r>
          </w:p>
          <w:p w:rsidR="00000000" w:rsidRPr="00AC531F" w:rsidP="00AC531F">
            <w:pPr>
              <w:pStyle w:val="ListBullet2"/>
            </w:pPr>
            <w:r w:rsidRPr="00AC531F">
              <w:t>testing HV electrical systems</w:t>
            </w:r>
          </w:p>
          <w:p w:rsidR="00000000" w:rsidRPr="00AC531F" w:rsidP="00AC531F">
            <w:pPr>
              <w:pStyle w:val="ListBullet"/>
            </w:pPr>
            <w:r w:rsidRPr="00AC531F">
              <w:t>identifying and interpreting complex numerical and graphical information in electrical diagrams</w:t>
            </w:r>
          </w:p>
          <w:p w:rsidR="00000000" w:rsidRPr="00AC531F" w:rsidP="00AC531F">
            <w:pPr>
              <w:pStyle w:val="ListBullet"/>
            </w:pPr>
            <w:r w:rsidRPr="00AC531F">
              <w:t>identifying and suggesting ways of rectifying electrical hazards and emergency situations on a ship</w:t>
            </w:r>
          </w:p>
          <w:p w:rsidR="00000000" w:rsidRPr="00AC531F" w:rsidP="00AC531F">
            <w:pPr>
              <w:pStyle w:val="ListBullet"/>
            </w:pPr>
            <w:r w:rsidRPr="00AC531F">
              <w:t>reading and interpreting written information related to elec</w:t>
            </w:r>
            <w:r w:rsidRPr="00AC531F">
              <w:t>trical circuitry and components on a ship</w:t>
            </w:r>
          </w:p>
          <w:p w:rsidR="00000000" w:rsidRPr="00AC531F" w:rsidP="00AC531F">
            <w:pPr>
              <w:pStyle w:val="ListBullet"/>
            </w:pPr>
            <w:r w:rsidRPr="00AC531F">
              <w:t>using electrical measuring and testing instruments.</w:t>
            </w:r>
          </w:p>
          <w:p w:rsidR="00000000" w:rsidRPr="00AC531F" w:rsidP="00AC531F">
            <w:pPr>
              <w:pStyle w:val="BodyText"/>
            </w:pPr>
          </w:p>
        </w:tc>
      </w:tr>
    </w:tbl>
    <w:p w:rsidR="00BE6D49" w:rsidP="00AC531F">
      <w:pPr>
        <w:pStyle w:val="NoPaddingFontSize1"/>
      </w:pPr>
    </w:p>
    <w:p w:rsidR="00BE6D49" w:rsidP="00AC531F">
      <w:pPr>
        <w:pStyle w:val="NoPaddingFontSize1"/>
      </w:pPr>
    </w:p>
    <w:p w:rsidR="00000000" w:rsidRPr="00AC531F" w:rsidP="00AC531F">
      <w:pPr>
        <w:pStyle w:val="Heading1"/>
      </w:pPr>
      <w:bookmarkStart w:id="13" w:name="O_1086135"/>
      <w:bookmarkEnd w:id="13"/>
      <w:r w:rsidRPr="00AC531F">
        <w:t>Knowledge Evidence</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531F">
            <w:pPr>
              <w:pStyle w:val="BodyText"/>
              <w:rPr>
                <w:lang w:val="en-NZ"/>
              </w:rPr>
            </w:pPr>
            <w:r w:rsidRPr="00AC531F">
              <w:t>Evidence re</w:t>
            </w:r>
            <w:r w:rsidRPr="00AC531F">
              <w:t>quired to demonstrate competence in this unit must be relevant to and satisfy all of the requirements of the elements and performance criteria and include knowledge of:</w:t>
            </w:r>
          </w:p>
        </w:tc>
      </w:tr>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ListBullet"/>
            </w:pPr>
            <w:r w:rsidRPr="00AC531F">
              <w:t>electrical propulsions of the ships, electrical motors and control systems</w:t>
            </w:r>
          </w:p>
          <w:p w:rsidR="00000000" w:rsidRPr="00AC531F" w:rsidP="00AC531F">
            <w:pPr>
              <w:pStyle w:val="ListBullet"/>
            </w:pPr>
            <w:r w:rsidRPr="00AC531F">
              <w:t>electrical</w:t>
            </w:r>
            <w:r w:rsidRPr="00AC531F">
              <w:t>:</w:t>
            </w:r>
          </w:p>
          <w:p w:rsidR="00000000" w:rsidRPr="00AC531F" w:rsidP="00AC531F">
            <w:pPr>
              <w:pStyle w:val="ListBullet2"/>
            </w:pPr>
            <w:r w:rsidRPr="00AC531F">
              <w:t>layout systems</w:t>
            </w:r>
          </w:p>
          <w:p w:rsidR="00000000" w:rsidRPr="00AC531F" w:rsidP="00AC531F">
            <w:pPr>
              <w:pStyle w:val="ListBullet2"/>
            </w:pPr>
            <w:r w:rsidRPr="00AC531F">
              <w:t>measuring and testing instruments</w:t>
            </w:r>
          </w:p>
          <w:p w:rsidR="00000000" w:rsidRPr="00AC531F" w:rsidP="00AC531F">
            <w:pPr>
              <w:pStyle w:val="ListBullet2"/>
            </w:pPr>
            <w:r w:rsidRPr="00AC531F">
              <w:t>shipboard equipment</w:t>
            </w:r>
          </w:p>
          <w:p w:rsidR="00000000" w:rsidRPr="00AC531F" w:rsidP="00AC531F">
            <w:pPr>
              <w:pStyle w:val="ListBullet2"/>
            </w:pPr>
            <w:r w:rsidRPr="00AC531F">
              <w:t>symbols, electrical diagrams/circuits</w:t>
            </w:r>
          </w:p>
          <w:p w:rsidR="00000000" w:rsidRPr="00AC531F" w:rsidP="00AC531F">
            <w:pPr>
              <w:pStyle w:val="ListBullet"/>
            </w:pPr>
            <w:r w:rsidRPr="00AC531F">
              <w:t>HV electrical permit system, including:</w:t>
            </w:r>
          </w:p>
          <w:p w:rsidR="00000000" w:rsidRPr="00AC531F" w:rsidP="00AC531F">
            <w:pPr>
              <w:pStyle w:val="ListBullet2"/>
            </w:pPr>
            <w:r w:rsidRPr="00AC531F">
              <w:t>earthing down</w:t>
            </w:r>
          </w:p>
          <w:p w:rsidR="00000000" w:rsidRPr="00AC531F" w:rsidP="00AC531F">
            <w:pPr>
              <w:pStyle w:val="ListBullet2"/>
            </w:pPr>
            <w:r w:rsidRPr="00AC531F">
              <w:t>isolation and verification methods</w:t>
            </w:r>
          </w:p>
          <w:p w:rsidR="00000000" w:rsidRPr="00AC531F" w:rsidP="00AC531F">
            <w:pPr>
              <w:pStyle w:val="ListBullet2"/>
            </w:pPr>
            <w:r w:rsidRPr="00AC531F">
              <w:t xml:space="preserve">HV switching </w:t>
            </w:r>
          </w:p>
          <w:p w:rsidR="00000000" w:rsidRPr="00AC531F" w:rsidP="00AC531F">
            <w:pPr>
              <w:pStyle w:val="ListBullet"/>
            </w:pPr>
            <w:r w:rsidRPr="00AC531F">
              <w:t>HV technology</w:t>
            </w:r>
          </w:p>
          <w:p w:rsidR="00000000" w:rsidRPr="00AC531F" w:rsidP="00AC531F">
            <w:pPr>
              <w:pStyle w:val="ListBullet"/>
            </w:pPr>
            <w:r w:rsidRPr="00AC531F">
              <w:t>relevant industry standards</w:t>
            </w:r>
          </w:p>
          <w:p w:rsidR="00000000" w:rsidRPr="00AC531F" w:rsidP="00AC531F">
            <w:pPr>
              <w:pStyle w:val="ListBullet"/>
            </w:pPr>
            <w:r w:rsidRPr="00AC531F">
              <w:t>safety precautions and procedures, including electrical risk mitigation control measures</w:t>
            </w:r>
          </w:p>
          <w:p w:rsidR="00000000" w:rsidRPr="00AC531F" w:rsidP="00AC531F">
            <w:pPr>
              <w:pStyle w:val="ListBullet"/>
            </w:pPr>
            <w:r w:rsidRPr="00AC531F">
              <w:t>special technical types of HV systems and the danger resulting from operational voltage of more than 1,000 volts (V)</w:t>
            </w:r>
          </w:p>
          <w:p w:rsidR="00000000" w:rsidRPr="00AC531F" w:rsidP="00AC531F">
            <w:pPr>
              <w:pStyle w:val="ListBullet"/>
            </w:pPr>
            <w:r w:rsidRPr="00AC531F">
              <w:t xml:space="preserve">WHS/OHS requirements, </w:t>
            </w:r>
            <w:r w:rsidRPr="00AC531F">
              <w:t>including safe electrical working practices.</w:t>
            </w:r>
          </w:p>
        </w:tc>
      </w:tr>
    </w:tbl>
    <w:p w:rsidR="00000000" w:rsidRPr="00AC531F" w:rsidP="00AC531F">
      <w:pPr>
        <w:pStyle w:val="NoPaddingFontSize1"/>
      </w:pPr>
    </w:p>
    <w:p w:rsidR="00000000" w:rsidRPr="00AC531F" w:rsidP="00AC531F">
      <w:pPr>
        <w:pStyle w:val="AllowPageBreak"/>
      </w:pPr>
    </w:p>
    <w:p w:rsidR="00000000" w:rsidRPr="00AC531F" w:rsidP="00AC531F">
      <w:pPr>
        <w:pStyle w:val="Heading1"/>
      </w:pPr>
      <w:bookmarkStart w:id="14" w:name="O_1086136"/>
      <w:bookmarkEnd w:id="14"/>
      <w:r w:rsidRPr="00AC531F">
        <w:t>Assessment Conditions</w:t>
      </w:r>
    </w:p>
    <w:tbl>
      <w:tblPr>
        <w:tblW w:w="9497" w:type="dxa"/>
        <w:tblLayout w:type="fixed"/>
        <w:tblCellMar>
          <w:left w:w="62" w:type="dxa"/>
          <w:right w:w="62" w:type="dxa"/>
        </w:tblCellMar>
        <w:tblLook w:val="0000"/>
      </w:tblPr>
      <w:tblGrid>
        <w:gridCol w:w="9497"/>
      </w:tblGrid>
      <w:tr w:rsidTr="00AC53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531F" w:rsidP="00AC531F">
            <w:pPr>
              <w:pStyle w:val="BodyText"/>
            </w:pPr>
            <w:r w:rsidRPr="00AC531F">
              <w:t xml:space="preserve">Assessors must hold credentials specified within the Standards for Registered Training Organisations current at the time of assessment. </w:t>
            </w:r>
          </w:p>
          <w:p w:rsidR="00000000" w:rsidRPr="00AC531F" w:rsidP="00AC531F">
            <w:pPr>
              <w:pStyle w:val="BodyText"/>
            </w:pPr>
            <w:r w:rsidRPr="00AC531F">
              <w:t>Assessment must satisfy the Principles of Assessment and Rules of Evidence and all regulatory requirements included within the Standards for Registered Training Organisations current at the time of assessment.</w:t>
            </w:r>
          </w:p>
          <w:p w:rsidR="00000000" w:rsidRPr="00AC531F" w:rsidP="00AC531F">
            <w:pPr>
              <w:pStyle w:val="BodyText"/>
            </w:pPr>
            <w:r w:rsidRPr="00AC531F">
              <w:t>Assessment processes and techniques must be ap</w:t>
            </w:r>
            <w:r w:rsidRPr="00AC531F">
              <w:t>propriate to the language, literacy and numeracy requirements of the work being performed and the needs of the candidate.</w:t>
            </w:r>
          </w:p>
          <w:p w:rsidR="00000000" w:rsidRPr="00AC531F" w:rsidP="00AC531F">
            <w:pPr>
              <w:pStyle w:val="BodyText"/>
            </w:pPr>
            <w:r w:rsidRPr="00AC531F">
              <w:t>Practical assessment must occur in a workplace, or realistic simulated workplace, under the normal range of ship workplace conditions.</w:t>
            </w:r>
            <w:r w:rsidRPr="00AC531F">
              <w:t xml:space="preserve"> </w:t>
            </w:r>
          </w:p>
          <w:p w:rsidR="00000000" w:rsidRPr="00AC531F" w:rsidP="00AC531F">
            <w:pPr>
              <w:pStyle w:val="BodyText"/>
            </w:pPr>
            <w:r w:rsidRPr="00AC531F">
              <w:t>Simulations and scenarios may be used where situations cannot be provided in the workplace or may occur only rarely, in particular for situations relating to emergency procedures and adverse weather conditions where assessment would be unsafe, impractica</w:t>
            </w:r>
            <w:r w:rsidRPr="00AC531F">
              <w:t xml:space="preserve">l or may lead to environmental damage </w:t>
            </w:r>
          </w:p>
          <w:p w:rsidR="00000000" w:rsidRPr="00AC531F" w:rsidP="00AC531F">
            <w:pPr>
              <w:pStyle w:val="BodyText"/>
            </w:pPr>
            <w:r w:rsidRPr="00AC531F">
              <w:t>Resources for assessment must include access to:</w:t>
            </w:r>
          </w:p>
          <w:p w:rsidR="00000000" w:rsidRPr="00AC531F" w:rsidP="00AC531F">
            <w:pPr>
              <w:pStyle w:val="ListBullet"/>
            </w:pPr>
            <w:r w:rsidRPr="00AC531F">
              <w:t>applicable documentation, such as legislation, regulations, codes of practice, safety management system, workplace procedures and operational manuals</w:t>
            </w:r>
          </w:p>
          <w:p w:rsidR="00000000" w:rsidRPr="00AC531F" w:rsidP="00AC531F">
            <w:pPr>
              <w:pStyle w:val="ListBullet"/>
            </w:pPr>
            <w:r w:rsidRPr="00AC531F">
              <w:t>HV electrical sys</w:t>
            </w:r>
            <w:r w:rsidRPr="00AC531F">
              <w:t>tem</w:t>
            </w:r>
          </w:p>
          <w:p w:rsidR="00000000" w:rsidRPr="00AC531F" w:rsidP="00AC531F">
            <w:pPr>
              <w:pStyle w:val="ListBullet"/>
            </w:pPr>
            <w:r w:rsidRPr="00AC531F">
              <w:t>tools, equipment, machinery, materials and personal protective equipment (PPE) currently used in industry.</w:t>
            </w:r>
          </w:p>
        </w:tc>
      </w:tr>
    </w:tbl>
    <w:p w:rsidR="00000000" w:rsidRPr="00AC531F" w:rsidP="00AC531F">
      <w:pPr>
        <w:pStyle w:val="NoPaddingFontSize1"/>
      </w:pPr>
    </w:p>
    <w:p w:rsidR="00000000" w:rsidRPr="00AC531F" w:rsidP="00AC531F">
      <w:pPr>
        <w:pStyle w:val="AllowPageBreak"/>
      </w:pPr>
    </w:p>
    <w:p w:rsidR="00000000" w:rsidRPr="00AC531F" w:rsidP="00AC531F">
      <w:pPr>
        <w:pStyle w:val="Heading1"/>
      </w:pPr>
      <w:bookmarkStart w:id="15" w:name="O_1086139"/>
      <w:bookmarkEnd w:id="15"/>
      <w:r w:rsidRPr="00AC531F">
        <w:t>Links</w:t>
      </w:r>
    </w:p>
    <w:p w:rsidR="00000000" w:rsidRPr="00AC531F" w:rsidP="00BE6D49">
      <w:pPr>
        <w:pStyle w:val="BodyText"/>
      </w:pPr>
      <w:r w:rsidRPr="00AC531F">
        <w:t>Companion Volume i</w:t>
      </w:r>
      <w:r w:rsidRPr="00AC531F">
        <w:t xml:space="preserve">mplementation guide can be found in VetNet - </w:t>
      </w:r>
      <w:r>
        <w:fldChar w:fldCharType="begin"/>
      </w:r>
      <w:r>
        <w:instrText xml:space="preserve"> HYPERLINK "https://vetnet.gov.au/Pages/TrainingDocs.aspx?q=772efb7b-4cce-47fe-9bbd-ee3b1d1eb4c2" </w:instrText>
      </w:r>
      <w:r>
        <w:fldChar w:fldCharType="separate"/>
      </w:r>
      <w:r w:rsidRPr="006C6565">
        <w:rPr>
          <w:rStyle w:val="Hyperlink"/>
        </w:rPr>
        <w:t>https://vetnet.gov.au/Pages/TrainingDocs.aspx?q=772efb7b-4cce-47fe-9bbd-ee3b1d1eb4c2</w:t>
      </w:r>
      <w:r>
        <w:fldChar w:fldCharType="end"/>
      </w:r>
    </w:p>
    <w:p w:rsidR="00000000" w:rsidRPr="00AC531F" w:rsidP="00AC531F"/>
    <w:sectPr w:rsidSect="00AC53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1F" w:rsidRPr="00BE6D49" w:rsidP="00BE6D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49" w:rsidP="00AC5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E6D49" w:rsidP="00AC53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E6D49" w:rsidP="00AC53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1F" w:rsidP="00AC531F">
    <w:pPr>
      <w:pStyle w:val="Footer"/>
      <w:framePr w:wrap="around"/>
    </w:pPr>
    <w:r>
      <w:fldChar w:fldCharType="begin"/>
    </w:r>
    <w:r>
      <w:instrText xml:space="preserve"> DOCPROPERTY  Subject  \* MERGEFORMAT </w:instrText>
    </w:r>
    <w:r>
      <w:fldChar w:fldCharType="separate"/>
    </w:r>
    <w:r w:rsidR="00BE6D49">
      <w:t>Approved</w:t>
    </w:r>
    <w:r w:rsidR="00BE6D49">
      <w:fldChar w:fldCharType="end"/>
    </w:r>
    <w:r>
      <w:tab/>
      <w:t xml:space="preserve">Page </w:t>
    </w:r>
    <w:r>
      <w:fldChar w:fldCharType="begin"/>
    </w:r>
    <w:r>
      <w:instrText xml:space="preserve"> PAGE  \* Arabic  \* MERGEFORMAT </w:instrText>
    </w:r>
    <w:r>
      <w:fldChar w:fldCharType="separate"/>
    </w:r>
    <w:r w:rsidR="00BE6D4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6D49">
      <w:rPr>
        <w:noProof/>
      </w:rPr>
      <w:t>6</w:t>
    </w:r>
    <w:r>
      <w:rPr>
        <w:noProof/>
      </w:rPr>
      <w:fldChar w:fldCharType="end"/>
    </w:r>
  </w:p>
  <w:p w:rsidR="00AC531F" w:rsidP="00AC531F">
    <w:pPr>
      <w:pStyle w:val="Footer"/>
      <w:framePr w:wrap="around"/>
    </w:pPr>
    <w:r>
      <w:t xml:space="preserve">© Commonwealth of Australia, </w:t>
    </w:r>
    <w:r>
      <w:fldChar w:fldCharType="begin"/>
    </w:r>
    <w:r>
      <w:instrText xml:space="preserve"> DATE  \@ "yyyy"  \* MERGEFORMAT </w:instrText>
    </w:r>
    <w:r>
      <w:fldChar w:fldCharType="separate"/>
    </w:r>
    <w:r w:rsidR="00BE6D49">
      <w:rPr>
        <w:noProof/>
      </w:rPr>
      <w:t>2025</w:t>
    </w:r>
    <w:r>
      <w:fldChar w:fldCharType="end"/>
    </w:r>
    <w:r>
      <w:tab/>
    </w:r>
    <w:r>
      <w:fldChar w:fldCharType="begin"/>
    </w:r>
    <w:r>
      <w:instrText xml:space="preserve"> DOCPROPERTY  Author  \* MERGEFORMAT </w:instrText>
    </w:r>
    <w:r>
      <w:fldChar w:fldCharType="separate"/>
    </w:r>
    <w:r w:rsidR="00BE6D49">
      <w:t>Industry Skills Australia</w:t>
    </w:r>
    <w:r w:rsidR="00BE6D49">
      <w:fldChar w:fldCharType="end"/>
    </w:r>
  </w:p>
  <w:p w:rsidR="00AC531F" w:rsidP="00AC53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31F" w:rsidRPr="00BE6D49" w:rsidP="00BE6D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D49" w:rsidRPr="002D2AF8" w:rsidP="00AC531F">
    <w:pPr>
      <w:pStyle w:val="Header"/>
      <w:framePr w:wrap="around"/>
    </w:pPr>
    <w:r>
      <w:fldChar w:fldCharType="begin"/>
    </w:r>
    <w:r>
      <w:instrText xml:space="preserve"> TITLE   \* MERGEFORMAT </w:instrText>
    </w:r>
    <w:r>
      <w:fldChar w:fldCharType="separate"/>
    </w:r>
    <w:r>
      <w:t>MARB044 Operate and maintain ship power systems exceeding 1,000 volts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E6D49" w:rsidP="00AC53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1F" w:rsidRPr="002D2AF8" w:rsidP="00AC531F">
    <w:pPr>
      <w:pStyle w:val="Header"/>
      <w:framePr w:wrap="around"/>
    </w:pPr>
    <w:r>
      <w:fldChar w:fldCharType="begin"/>
    </w:r>
    <w:r>
      <w:instrText xml:space="preserve"> TITLE   \* MERGEFORMAT </w:instrText>
    </w:r>
    <w:r>
      <w:fldChar w:fldCharType="separate"/>
    </w:r>
    <w:r w:rsidR="00BE6D49">
      <w:t>MARB044 Operate and maintain ship power systems exceeding 1,000 volts</w:t>
    </w:r>
    <w:r w:rsidR="00BE6D49">
      <w:fldChar w:fldCharType="end"/>
    </w:r>
    <w:r>
      <w:tab/>
      <w:t xml:space="preserve">Date this document was generated: </w:t>
    </w:r>
    <w:r>
      <w:fldChar w:fldCharType="begin"/>
    </w:r>
    <w:r>
      <w:instrText xml:space="preserve"> CREATEDATE  \@ "d MMMM yyyy"  \* MERGEFORMAT </w:instrText>
    </w:r>
    <w:r>
      <w:fldChar w:fldCharType="separate"/>
    </w:r>
    <w:r w:rsidR="00BE6D49">
      <w:rPr>
        <w:noProof/>
      </w:rPr>
      <w:t>1 March 2025</w:t>
    </w:r>
    <w:r>
      <w:fldChar w:fldCharType="end"/>
    </w:r>
  </w:p>
  <w:p w:rsidR="00AC531F" w:rsidP="00AC5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74D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3293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0E9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31F"/>
    <w:pPr>
      <w:spacing w:before="360" w:after="60"/>
      <w:outlineLvl w:val="0"/>
    </w:pPr>
    <w:rPr>
      <w:sz w:val="32"/>
    </w:rPr>
  </w:style>
  <w:style w:type="paragraph" w:styleId="Heading2">
    <w:name w:val="heading 2"/>
    <w:basedOn w:val="HeadingBase"/>
    <w:next w:val="BodyText"/>
    <w:link w:val="Heading2Char"/>
    <w:qFormat/>
    <w:rsid w:val="00AC531F"/>
    <w:pPr>
      <w:keepLines/>
      <w:spacing w:before="240" w:after="120"/>
      <w:outlineLvl w:val="1"/>
    </w:pPr>
    <w:rPr>
      <w:sz w:val="28"/>
      <w:szCs w:val="40"/>
    </w:rPr>
  </w:style>
  <w:style w:type="paragraph" w:styleId="Heading3">
    <w:name w:val="heading 3"/>
    <w:basedOn w:val="HeadingBase"/>
    <w:next w:val="BodyText"/>
    <w:link w:val="Heading3Char"/>
    <w:qFormat/>
    <w:rsid w:val="00AC531F"/>
    <w:pPr>
      <w:spacing w:before="180" w:after="120"/>
      <w:outlineLvl w:val="2"/>
    </w:pPr>
    <w:rPr>
      <w:spacing w:val="-10"/>
      <w:kern w:val="32"/>
    </w:rPr>
  </w:style>
  <w:style w:type="paragraph" w:styleId="Heading4">
    <w:name w:val="heading 4"/>
    <w:basedOn w:val="HeadingBase"/>
    <w:next w:val="BodyText"/>
    <w:link w:val="Heading4Char"/>
    <w:qFormat/>
    <w:rsid w:val="00AC531F"/>
    <w:pPr>
      <w:spacing w:before="160" w:after="120"/>
      <w:outlineLvl w:val="3"/>
    </w:pPr>
    <w:rPr>
      <w:sz w:val="22"/>
    </w:rPr>
  </w:style>
  <w:style w:type="paragraph" w:styleId="Heading5">
    <w:name w:val="heading 5"/>
    <w:basedOn w:val="HeadingBase"/>
    <w:next w:val="Normal"/>
    <w:link w:val="Heading5Char"/>
    <w:qFormat/>
    <w:rsid w:val="00AC531F"/>
    <w:pPr>
      <w:spacing w:before="80"/>
      <w:outlineLvl w:val="4"/>
    </w:pPr>
    <w:rPr>
      <w:color w:val="918585"/>
      <w:sz w:val="20"/>
    </w:rPr>
  </w:style>
  <w:style w:type="paragraph" w:styleId="Heading6">
    <w:name w:val="heading 6"/>
    <w:basedOn w:val="HeadingBase"/>
    <w:next w:val="Normal"/>
    <w:link w:val="Heading6Char"/>
    <w:qFormat/>
    <w:rsid w:val="00AC531F"/>
    <w:pPr>
      <w:spacing w:before="60"/>
      <w:outlineLvl w:val="5"/>
    </w:pPr>
    <w:rPr>
      <w:color w:val="918585"/>
      <w:sz w:val="20"/>
    </w:rPr>
  </w:style>
  <w:style w:type="paragraph" w:styleId="Heading7">
    <w:name w:val="heading 7"/>
    <w:basedOn w:val="Normal"/>
    <w:next w:val="Normal"/>
    <w:link w:val="Heading7Char"/>
    <w:qFormat/>
    <w:rsid w:val="00AC531F"/>
    <w:pPr>
      <w:ind w:left="720"/>
      <w:outlineLvl w:val="6"/>
    </w:pPr>
    <w:rPr>
      <w:i/>
    </w:rPr>
  </w:style>
  <w:style w:type="paragraph" w:styleId="Heading8">
    <w:name w:val="heading 8"/>
    <w:basedOn w:val="Normal"/>
    <w:next w:val="Normal"/>
    <w:link w:val="Heading8Char"/>
    <w:qFormat/>
    <w:rsid w:val="00AC531F"/>
    <w:pPr>
      <w:ind w:left="720"/>
      <w:outlineLvl w:val="7"/>
    </w:pPr>
    <w:rPr>
      <w:i/>
    </w:rPr>
  </w:style>
  <w:style w:type="paragraph" w:styleId="Heading9">
    <w:name w:val="heading 9"/>
    <w:basedOn w:val="Normal"/>
    <w:next w:val="Normal"/>
    <w:link w:val="Heading9Char"/>
    <w:qFormat/>
    <w:rsid w:val="00AC531F"/>
    <w:pPr>
      <w:ind w:left="720"/>
      <w:outlineLvl w:val="8"/>
    </w:pPr>
    <w:rPr>
      <w:i/>
    </w:rPr>
  </w:style>
  <w:style w:type="character" w:default="1" w:styleId="DefaultParagraphFont">
    <w:name w:val="Default Paragraph Font"/>
    <w:uiPriority w:val="1"/>
    <w:unhideWhenUsed/>
    <w:rsid w:val="00AC5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31F"/>
  </w:style>
  <w:style w:type="character" w:customStyle="1" w:styleId="Heading1Char">
    <w:name w:val="Heading 1 Char"/>
    <w:basedOn w:val="DefaultParagraphFont"/>
    <w:link w:val="Heading1"/>
    <w:rsid w:val="00AC531F"/>
    <w:rPr>
      <w:rFonts w:ascii="Times New Roman" w:eastAsia="Times New Roman" w:hAnsi="Times New Roman" w:cs="Times New Roman"/>
      <w:b/>
      <w:sz w:val="32"/>
      <w:szCs w:val="20"/>
      <w:lang w:eastAsia="en-US"/>
    </w:rPr>
  </w:style>
  <w:style w:type="paragraph" w:styleId="BodyText">
    <w:name w:val="Body Text"/>
    <w:basedOn w:val="Normal"/>
    <w:link w:val="BodyTextChar"/>
    <w:rsid w:val="00AC53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31F"/>
    <w:rPr>
      <w:rFonts w:ascii="Times New Roman" w:eastAsia="Times New Roman" w:hAnsi="Times New Roman" w:cs="Times New Roman"/>
      <w:sz w:val="24"/>
      <w:lang w:eastAsia="en-US"/>
    </w:rPr>
  </w:style>
  <w:style w:type="paragraph" w:styleId="ListBullet">
    <w:name w:val="List Bullet"/>
    <w:basedOn w:val="List"/>
    <w:rsid w:val="00AC531F"/>
    <w:pPr>
      <w:numPr>
        <w:numId w:val="12"/>
      </w:numPr>
      <w:tabs>
        <w:tab w:val="clear" w:pos="340"/>
      </w:tabs>
      <w:spacing w:before="40" w:after="40"/>
    </w:pPr>
  </w:style>
  <w:style w:type="character" w:customStyle="1" w:styleId="SpecialBold">
    <w:name w:val="Special Bold"/>
    <w:basedOn w:val="DefaultParagraphFont"/>
    <w:rsid w:val="00AC531F"/>
    <w:rPr>
      <w:b/>
      <w:spacing w:val="0"/>
    </w:rPr>
  </w:style>
  <w:style w:type="paragraph" w:styleId="ListBullet2">
    <w:name w:val="List Bullet 2"/>
    <w:basedOn w:val="List2"/>
    <w:rsid w:val="00AC531F"/>
    <w:pPr>
      <w:numPr>
        <w:numId w:val="13"/>
      </w:numPr>
      <w:tabs>
        <w:tab w:val="clear" w:pos="680"/>
      </w:tabs>
    </w:pPr>
  </w:style>
  <w:style w:type="paragraph" w:customStyle="1" w:styleId="SuperHeading">
    <w:name w:val="SuperHeading"/>
    <w:basedOn w:val="Normal"/>
    <w:rsid w:val="00AC531F"/>
    <w:pPr>
      <w:spacing w:before="240" w:after="120"/>
      <w:outlineLvl w:val="0"/>
    </w:pPr>
    <w:rPr>
      <w:rFonts w:ascii="Times New Roman" w:hAnsi="Times New Roman"/>
      <w:b/>
      <w:sz w:val="32"/>
    </w:rPr>
  </w:style>
  <w:style w:type="paragraph" w:customStyle="1" w:styleId="AllowPageBreak">
    <w:name w:val="AllowPageBreak"/>
    <w:rsid w:val="00AC53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5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31F"/>
    <w:rPr>
      <w:rFonts w:ascii="Courier New" w:eastAsia="Times New Roman" w:hAnsi="Courier New" w:cs="Times New Roman"/>
      <w:i/>
      <w:szCs w:val="20"/>
      <w:lang w:eastAsia="en-US"/>
    </w:rPr>
  </w:style>
  <w:style w:type="paragraph" w:customStyle="1" w:styleId="HeadingBase">
    <w:name w:val="Heading Base"/>
    <w:rsid w:val="00AC5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31F"/>
    <w:pPr>
      <w:tabs>
        <w:tab w:val="right" w:leader="dot" w:pos="9072"/>
      </w:tabs>
      <w:ind w:left="567"/>
    </w:pPr>
    <w:rPr>
      <w:szCs w:val="22"/>
    </w:rPr>
  </w:style>
  <w:style w:type="paragraph" w:customStyle="1" w:styleId="TOCBase">
    <w:name w:val="TOC Base"/>
    <w:rsid w:val="00AC5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31F"/>
    <w:pPr>
      <w:tabs>
        <w:tab w:val="right" w:leader="dot" w:pos="9072"/>
      </w:tabs>
      <w:spacing w:before="40" w:after="40"/>
      <w:ind w:left="284"/>
    </w:pPr>
    <w:rPr>
      <w:rFonts w:ascii="Times New Roman" w:hAnsi="Times New Roman"/>
    </w:rPr>
  </w:style>
  <w:style w:type="paragraph" w:styleId="TOC1">
    <w:name w:val="toc 1"/>
    <w:basedOn w:val="TOCBase"/>
    <w:next w:val="Normal"/>
    <w:rsid w:val="00AC53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31F"/>
    <w:rPr>
      <w:rFonts w:ascii="Times New Roman" w:eastAsia="Times New Roman" w:hAnsi="Times New Roman" w:cs="Times New Roman"/>
      <w:sz w:val="16"/>
      <w:lang w:eastAsia="en-US"/>
    </w:rPr>
  </w:style>
  <w:style w:type="paragraph" w:styleId="Title">
    <w:name w:val="Title"/>
    <w:basedOn w:val="HeadingBase"/>
    <w:link w:val="TitleChar"/>
    <w:qFormat/>
    <w:rsid w:val="00AC531F"/>
    <w:pPr>
      <w:spacing w:before="5040"/>
      <w:jc w:val="center"/>
    </w:pPr>
    <w:rPr>
      <w:sz w:val="48"/>
      <w:szCs w:val="72"/>
      <w:lang w:val="en-US"/>
    </w:rPr>
  </w:style>
  <w:style w:type="character" w:customStyle="1" w:styleId="TitleChar">
    <w:name w:val="Title Char"/>
    <w:basedOn w:val="DefaultParagraphFont"/>
    <w:link w:val="Title"/>
    <w:rsid w:val="00AC5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31F"/>
    <w:pPr>
      <w:tabs>
        <w:tab w:val="left" w:pos="3600"/>
        <w:tab w:val="left" w:pos="3958"/>
      </w:tabs>
    </w:pPr>
  </w:style>
  <w:style w:type="paragraph" w:styleId="List">
    <w:name w:val="List"/>
    <w:basedOn w:val="BodyText"/>
    <w:next w:val="BodyText"/>
    <w:rsid w:val="00AC531F"/>
    <w:pPr>
      <w:tabs>
        <w:tab w:val="left" w:pos="340"/>
      </w:tabs>
      <w:spacing w:before="60" w:after="60"/>
      <w:ind w:left="340" w:hanging="340"/>
    </w:pPr>
  </w:style>
  <w:style w:type="paragraph" w:customStyle="1" w:styleId="Note">
    <w:name w:val="Note"/>
    <w:basedOn w:val="BodyText"/>
    <w:rsid w:val="00AC5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31F"/>
    <w:pPr>
      <w:framePr w:wrap="auto" w:hAnchor="text" w:y="6049"/>
    </w:pPr>
    <w:rPr>
      <w:color w:val="000000"/>
      <w:sz w:val="40"/>
    </w:rPr>
  </w:style>
  <w:style w:type="paragraph" w:customStyle="1" w:styleId="TOCTitle">
    <w:name w:val="TOCTitle"/>
    <w:basedOn w:val="Heading1"/>
    <w:rsid w:val="00AC531F"/>
    <w:pPr>
      <w:spacing w:after="240"/>
      <w:jc w:val="center"/>
      <w:outlineLvl w:val="9"/>
    </w:pPr>
    <w:rPr>
      <w:caps/>
    </w:rPr>
  </w:style>
  <w:style w:type="paragraph" w:customStyle="1" w:styleId="Version">
    <w:name w:val="Version"/>
    <w:rsid w:val="00AC5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31F"/>
    <w:pPr>
      <w:keepNext w:val="0"/>
      <w:tabs>
        <w:tab w:val="right" w:pos="4176"/>
      </w:tabs>
      <w:ind w:left="198" w:hanging="198"/>
    </w:pPr>
    <w:rPr>
      <w:rFonts w:ascii="Garamond" w:hAnsi="Garamond"/>
    </w:rPr>
  </w:style>
  <w:style w:type="paragraph" w:styleId="IndexHeading">
    <w:name w:val="index heading"/>
    <w:basedOn w:val="Normal"/>
    <w:next w:val="Index1"/>
    <w:semiHidden/>
    <w:rsid w:val="00AC531F"/>
    <w:pPr>
      <w:spacing w:before="120" w:after="120"/>
    </w:pPr>
    <w:rPr>
      <w:rFonts w:ascii="Arial" w:hAnsi="Arial"/>
      <w:b/>
      <w:color w:val="918585"/>
      <w:sz w:val="24"/>
    </w:rPr>
  </w:style>
  <w:style w:type="paragraph" w:styleId="Header">
    <w:name w:val="header"/>
    <w:basedOn w:val="Normal"/>
    <w:link w:val="HeaderChar"/>
    <w:rsid w:val="00AC5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31F"/>
    <w:rPr>
      <w:rFonts w:ascii="Times New Roman" w:eastAsia="Times New Roman" w:hAnsi="Times New Roman" w:cs="Times New Roman"/>
      <w:sz w:val="16"/>
      <w:szCs w:val="20"/>
      <w:lang w:val="en-GB" w:eastAsia="en-US"/>
    </w:rPr>
  </w:style>
  <w:style w:type="paragraph" w:customStyle="1" w:styleId="Chapter">
    <w:name w:val="Chapter"/>
    <w:basedOn w:val="Normal"/>
    <w:rsid w:val="00AC531F"/>
    <w:pPr>
      <w:spacing w:before="240"/>
    </w:pPr>
    <w:rPr>
      <w:rFonts w:ascii="Times New Roman" w:hAnsi="Times New Roman"/>
      <w:smallCaps/>
      <w:spacing w:val="80"/>
      <w:sz w:val="28"/>
    </w:rPr>
  </w:style>
  <w:style w:type="paragraph" w:customStyle="1" w:styleId="InChapter">
    <w:name w:val="InChapter"/>
    <w:basedOn w:val="Heading3"/>
    <w:rsid w:val="00AC531F"/>
    <w:pPr>
      <w:spacing w:after="240"/>
      <w:outlineLvl w:val="9"/>
    </w:pPr>
    <w:rPr>
      <w:noProof/>
    </w:rPr>
  </w:style>
  <w:style w:type="paragraph" w:styleId="Index2">
    <w:name w:val="index 2"/>
    <w:basedOn w:val="Normal"/>
    <w:next w:val="Normal"/>
    <w:semiHidden/>
    <w:rsid w:val="00AC531F"/>
    <w:pPr>
      <w:tabs>
        <w:tab w:val="right" w:pos="4176"/>
      </w:tabs>
      <w:ind w:left="568" w:hanging="284"/>
    </w:pPr>
    <w:rPr>
      <w:rFonts w:ascii="Garamond" w:hAnsi="Garamond"/>
    </w:rPr>
  </w:style>
  <w:style w:type="paragraph" w:customStyle="1" w:styleId="Byline">
    <w:name w:val="Byline"/>
    <w:rsid w:val="00AC5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31F"/>
    <w:pPr>
      <w:tabs>
        <w:tab w:val="clear" w:pos="3600"/>
        <w:tab w:val="clear" w:pos="3958"/>
      </w:tabs>
      <w:jc w:val="right"/>
    </w:pPr>
  </w:style>
  <w:style w:type="character" w:styleId="Emphasis">
    <w:name w:val="Emphasis"/>
    <w:basedOn w:val="DefaultParagraphFont"/>
    <w:qFormat/>
    <w:rsid w:val="00AC531F"/>
    <w:rPr>
      <w:i/>
    </w:rPr>
  </w:style>
  <w:style w:type="paragraph" w:styleId="Caption">
    <w:name w:val="caption"/>
    <w:basedOn w:val="BodyText"/>
    <w:next w:val="Normal"/>
    <w:qFormat/>
    <w:rsid w:val="00AC531F"/>
    <w:pPr>
      <w:framePr w:w="2268" w:hSpace="181" w:vSpace="181" w:wrap="around" w:vAnchor="text" w:hAnchor="page" w:x="1135" w:y="285" w:anchorLock="1"/>
    </w:pPr>
    <w:rPr>
      <w:i/>
    </w:rPr>
  </w:style>
  <w:style w:type="paragraph" w:customStyle="1" w:styleId="MiniTOCTitle">
    <w:name w:val="MiniTOCTitle"/>
    <w:basedOn w:val="Heading4"/>
    <w:rsid w:val="00AC531F"/>
    <w:pPr>
      <w:spacing w:before="240"/>
      <w:outlineLvl w:val="9"/>
    </w:pPr>
    <w:rPr>
      <w:noProof/>
      <w:sz w:val="24"/>
    </w:rPr>
  </w:style>
  <w:style w:type="paragraph" w:customStyle="1" w:styleId="MiniTOCItem">
    <w:name w:val="MiniTOCItem"/>
    <w:basedOn w:val="ListBullet"/>
    <w:rsid w:val="00AC531F"/>
    <w:pPr>
      <w:numPr>
        <w:numId w:val="0"/>
      </w:numPr>
      <w:tabs>
        <w:tab w:val="right" w:leader="dot" w:pos="6521"/>
      </w:tabs>
      <w:spacing w:before="0" w:after="0"/>
    </w:pPr>
  </w:style>
  <w:style w:type="paragraph" w:customStyle="1" w:styleId="TOFTitle">
    <w:name w:val="TOFTitle"/>
    <w:basedOn w:val="TOCTitle"/>
    <w:rsid w:val="00AC531F"/>
  </w:style>
  <w:style w:type="paragraph" w:styleId="TableofFigures">
    <w:name w:val="table of figures"/>
    <w:basedOn w:val="Normal"/>
    <w:next w:val="Normal"/>
    <w:semiHidden/>
    <w:rsid w:val="00AC531F"/>
    <w:pPr>
      <w:tabs>
        <w:tab w:val="right" w:leader="dot" w:pos="9072"/>
      </w:tabs>
      <w:ind w:left="970" w:hanging="403"/>
    </w:pPr>
    <w:rPr>
      <w:rFonts w:ascii="Times New Roman" w:hAnsi="Times New Roman"/>
      <w:b/>
    </w:rPr>
  </w:style>
  <w:style w:type="paragraph" w:styleId="ListNumber">
    <w:name w:val="List Number"/>
    <w:basedOn w:val="List"/>
    <w:rsid w:val="00AC531F"/>
    <w:pPr>
      <w:numPr>
        <w:numId w:val="15"/>
      </w:numPr>
      <w:tabs>
        <w:tab w:val="clear" w:pos="340"/>
      </w:tabs>
    </w:pPr>
  </w:style>
  <w:style w:type="character" w:customStyle="1" w:styleId="WingdingSymbols">
    <w:name w:val="Wingding Symbols"/>
    <w:rsid w:val="00AC531F"/>
    <w:rPr>
      <w:rFonts w:ascii="Wingdings" w:hAnsi="Wingdings"/>
    </w:rPr>
  </w:style>
  <w:style w:type="paragraph" w:customStyle="1" w:styleId="TableHeading">
    <w:name w:val="Table Heading"/>
    <w:basedOn w:val="HeadingBase"/>
    <w:rsid w:val="00AC531F"/>
    <w:pPr>
      <w:keepLines/>
      <w:pBdr>
        <w:bottom w:val="single" w:sz="6" w:space="1" w:color="918585"/>
      </w:pBdr>
      <w:spacing w:before="240"/>
    </w:pPr>
  </w:style>
  <w:style w:type="character" w:customStyle="1" w:styleId="HotSpot">
    <w:name w:val="HotSpot"/>
    <w:rsid w:val="00AC531F"/>
    <w:rPr>
      <w:color w:val="0033CC"/>
      <w:u w:val="none"/>
    </w:rPr>
  </w:style>
  <w:style w:type="paragraph" w:customStyle="1" w:styleId="BodyTextRight">
    <w:name w:val="Body Text Right"/>
    <w:basedOn w:val="BodyText"/>
    <w:rsid w:val="00AC531F"/>
    <w:pPr>
      <w:spacing w:before="0" w:after="0"/>
      <w:jc w:val="right"/>
    </w:pPr>
  </w:style>
  <w:style w:type="paragraph" w:styleId="Index3">
    <w:name w:val="index 3"/>
    <w:basedOn w:val="ListNumber2"/>
    <w:next w:val="Normal"/>
    <w:semiHidden/>
    <w:rsid w:val="00AC531F"/>
    <w:pPr>
      <w:numPr>
        <w:numId w:val="0"/>
      </w:numPr>
      <w:tabs>
        <w:tab w:val="right" w:leader="dot" w:pos="4176"/>
      </w:tabs>
    </w:pPr>
  </w:style>
  <w:style w:type="paragraph" w:styleId="ListNumber2">
    <w:name w:val="List Number 2"/>
    <w:basedOn w:val="List2"/>
    <w:rsid w:val="00AC531F"/>
    <w:pPr>
      <w:numPr>
        <w:numId w:val="10"/>
      </w:numPr>
      <w:tabs>
        <w:tab w:val="clear" w:pos="1060"/>
      </w:tabs>
    </w:pPr>
  </w:style>
  <w:style w:type="paragraph" w:customStyle="1" w:styleId="MarginNote">
    <w:name w:val="Margin Note"/>
    <w:basedOn w:val="BodyText"/>
    <w:rsid w:val="00AC5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31F"/>
    <w:rPr>
      <w:sz w:val="32"/>
    </w:rPr>
  </w:style>
  <w:style w:type="paragraph" w:customStyle="1" w:styleId="HeadingProcedure">
    <w:name w:val="Heading Procedure"/>
    <w:basedOn w:val="HeadingBase"/>
    <w:next w:val="Normal"/>
    <w:rsid w:val="00AC531F"/>
    <w:pPr>
      <w:tabs>
        <w:tab w:val="left" w:pos="0"/>
      </w:tabs>
      <w:spacing w:before="120" w:after="60"/>
    </w:pPr>
    <w:rPr>
      <w:i/>
      <w:color w:val="918585"/>
      <w:sz w:val="22"/>
    </w:rPr>
  </w:style>
  <w:style w:type="paragraph" w:customStyle="1" w:styleId="TableBodyText">
    <w:name w:val="Table Body Text"/>
    <w:basedOn w:val="BodyText"/>
    <w:rsid w:val="00AC531F"/>
    <w:pPr>
      <w:spacing w:before="60" w:after="60"/>
    </w:pPr>
  </w:style>
  <w:style w:type="paragraph" w:styleId="ListContinue">
    <w:name w:val="List Continue"/>
    <w:basedOn w:val="List"/>
    <w:rsid w:val="00AC531F"/>
    <w:pPr>
      <w:ind w:firstLine="0"/>
    </w:pPr>
  </w:style>
  <w:style w:type="paragraph" w:customStyle="1" w:styleId="ListNote">
    <w:name w:val="List Note"/>
    <w:basedOn w:val="List"/>
    <w:rsid w:val="00AC531F"/>
    <w:pPr>
      <w:pBdr>
        <w:top w:val="single" w:sz="6" w:space="2" w:color="918585"/>
        <w:bottom w:val="single" w:sz="6" w:space="2" w:color="918585"/>
      </w:pBdr>
      <w:tabs>
        <w:tab w:val="left" w:pos="1021"/>
      </w:tabs>
      <w:ind w:firstLine="0"/>
    </w:pPr>
  </w:style>
  <w:style w:type="paragraph" w:customStyle="1" w:styleId="Warning">
    <w:name w:val="Warning"/>
    <w:basedOn w:val="BodyText"/>
    <w:rsid w:val="00AC531F"/>
    <w:pPr>
      <w:shd w:val="clear" w:color="auto" w:fill="D9D9D9"/>
      <w:tabs>
        <w:tab w:val="left" w:pos="992"/>
      </w:tabs>
      <w:ind w:left="119" w:right="119"/>
    </w:pPr>
    <w:rPr>
      <w:sz w:val="20"/>
    </w:rPr>
  </w:style>
  <w:style w:type="paragraph" w:customStyle="1" w:styleId="MarginIcons">
    <w:name w:val="Margin Icons"/>
    <w:basedOn w:val="BodyText"/>
    <w:rsid w:val="00AC5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31F"/>
    <w:rPr>
      <w:rFonts w:ascii="Courier New" w:hAnsi="Courier New"/>
    </w:rPr>
  </w:style>
  <w:style w:type="paragraph" w:customStyle="1" w:styleId="NoteBullet">
    <w:name w:val="Note Bullet"/>
    <w:basedOn w:val="Note"/>
    <w:rsid w:val="00AC531F"/>
    <w:pPr>
      <w:tabs>
        <w:tab w:val="clear" w:pos="680"/>
      </w:tabs>
      <w:spacing w:before="60" w:after="60"/>
    </w:pPr>
  </w:style>
  <w:style w:type="paragraph" w:customStyle="1" w:styleId="SubHeading2">
    <w:name w:val="SubHeading2"/>
    <w:basedOn w:val="HeadingBase"/>
    <w:rsid w:val="00AC531F"/>
    <w:pPr>
      <w:spacing w:before="240" w:after="60"/>
    </w:pPr>
    <w:rPr>
      <w:sz w:val="20"/>
    </w:rPr>
  </w:style>
  <w:style w:type="paragraph" w:customStyle="1" w:styleId="SubHeading1">
    <w:name w:val="SubHeading1"/>
    <w:basedOn w:val="HeadingBase"/>
    <w:rsid w:val="00AC531F"/>
    <w:pPr>
      <w:spacing w:before="240" w:after="60"/>
    </w:pPr>
    <w:rPr>
      <w:color w:val="918585"/>
      <w:sz w:val="22"/>
    </w:rPr>
  </w:style>
  <w:style w:type="paragraph" w:customStyle="1" w:styleId="SideHeading">
    <w:name w:val="Side Heading"/>
    <w:basedOn w:val="HeadingBase"/>
    <w:rsid w:val="00AC5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31F"/>
    <w:pPr>
      <w:tabs>
        <w:tab w:val="num" w:pos="360"/>
      </w:tabs>
    </w:pPr>
  </w:style>
  <w:style w:type="paragraph" w:styleId="PlainText">
    <w:name w:val="Plain Text"/>
    <w:basedOn w:val="Normal"/>
    <w:link w:val="PlainTextChar"/>
    <w:rsid w:val="00AC531F"/>
    <w:rPr>
      <w:sz w:val="20"/>
    </w:rPr>
  </w:style>
  <w:style w:type="character" w:customStyle="1" w:styleId="PlainTextChar">
    <w:name w:val="Plain Text Char"/>
    <w:basedOn w:val="DefaultParagraphFont"/>
    <w:link w:val="PlainText"/>
    <w:rsid w:val="00AC531F"/>
    <w:rPr>
      <w:rFonts w:ascii="Courier New" w:eastAsia="Times New Roman" w:hAnsi="Courier New" w:cs="Times New Roman"/>
      <w:sz w:val="20"/>
      <w:szCs w:val="20"/>
      <w:lang w:eastAsia="en-US"/>
    </w:rPr>
  </w:style>
  <w:style w:type="character" w:customStyle="1" w:styleId="MenuOption">
    <w:name w:val="Menu Option"/>
    <w:basedOn w:val="DefaultParagraphFont"/>
    <w:rsid w:val="00AC531F"/>
    <w:rPr>
      <w:b/>
      <w:smallCaps/>
    </w:rPr>
  </w:style>
  <w:style w:type="paragraph" w:customStyle="1" w:styleId="TableListNumber">
    <w:name w:val="Table List Number"/>
    <w:basedOn w:val="ListNumber"/>
    <w:rsid w:val="00AC531F"/>
    <w:pPr>
      <w:numPr>
        <w:numId w:val="0"/>
      </w:numPr>
    </w:pPr>
  </w:style>
  <w:style w:type="paragraph" w:styleId="TOC4">
    <w:name w:val="toc 4"/>
    <w:basedOn w:val="TOCBase"/>
    <w:next w:val="Normal"/>
    <w:semiHidden/>
    <w:rsid w:val="00AC531F"/>
    <w:pPr>
      <w:tabs>
        <w:tab w:val="right" w:leader="dot" w:pos="9071"/>
      </w:tabs>
      <w:ind w:left="1701"/>
    </w:pPr>
  </w:style>
  <w:style w:type="paragraph" w:customStyle="1" w:styleId="ListAlpha">
    <w:name w:val="List Alpha"/>
    <w:basedOn w:val="List"/>
    <w:rsid w:val="00AC531F"/>
    <w:pPr>
      <w:numPr>
        <w:numId w:val="9"/>
      </w:numPr>
    </w:pPr>
  </w:style>
  <w:style w:type="paragraph" w:customStyle="1" w:styleId="ListAlpha2">
    <w:name w:val="List Alpha 2"/>
    <w:basedOn w:val="List2"/>
    <w:rsid w:val="00AC531F"/>
    <w:pPr>
      <w:numPr>
        <w:numId w:val="8"/>
      </w:numPr>
    </w:pPr>
  </w:style>
  <w:style w:type="paragraph" w:styleId="List2">
    <w:name w:val="List 2"/>
    <w:basedOn w:val="BodyText"/>
    <w:rsid w:val="00AC531F"/>
    <w:pPr>
      <w:tabs>
        <w:tab w:val="left" w:pos="680"/>
      </w:tabs>
      <w:spacing w:before="60" w:after="60"/>
      <w:ind w:left="680" w:hanging="340"/>
    </w:pPr>
  </w:style>
  <w:style w:type="paragraph" w:styleId="List3">
    <w:name w:val="List 3"/>
    <w:basedOn w:val="BodyText"/>
    <w:rsid w:val="00AC531F"/>
    <w:pPr>
      <w:tabs>
        <w:tab w:val="left" w:pos="1021"/>
      </w:tabs>
      <w:spacing w:before="60" w:after="60"/>
      <w:ind w:left="1020" w:hanging="340"/>
    </w:pPr>
  </w:style>
  <w:style w:type="paragraph" w:styleId="List4">
    <w:name w:val="List 4"/>
    <w:basedOn w:val="BodyText"/>
    <w:rsid w:val="00AC531F"/>
    <w:pPr>
      <w:tabs>
        <w:tab w:val="left" w:pos="1361"/>
      </w:tabs>
      <w:spacing w:before="60" w:after="60"/>
      <w:ind w:left="1361" w:hanging="340"/>
    </w:pPr>
  </w:style>
  <w:style w:type="paragraph" w:styleId="List5">
    <w:name w:val="List 5"/>
    <w:basedOn w:val="BodyText"/>
    <w:rsid w:val="00AC531F"/>
    <w:pPr>
      <w:tabs>
        <w:tab w:val="left" w:pos="1701"/>
      </w:tabs>
      <w:spacing w:before="60" w:after="60"/>
      <w:ind w:left="1701" w:hanging="340"/>
    </w:pPr>
  </w:style>
  <w:style w:type="paragraph" w:styleId="ListBullet3">
    <w:name w:val="List Bullet 3"/>
    <w:basedOn w:val="List3"/>
    <w:rsid w:val="00AC531F"/>
    <w:pPr>
      <w:numPr>
        <w:numId w:val="14"/>
      </w:numPr>
      <w:tabs>
        <w:tab w:val="clear" w:pos="1021"/>
      </w:tabs>
      <w:ind w:left="1037" w:hanging="357"/>
    </w:pPr>
  </w:style>
  <w:style w:type="paragraph" w:styleId="ListBullet4">
    <w:name w:val="List Bullet 4"/>
    <w:basedOn w:val="List4"/>
    <w:rsid w:val="00AC531F"/>
    <w:pPr>
      <w:numPr>
        <w:numId w:val="3"/>
      </w:numPr>
      <w:tabs>
        <w:tab w:val="clear" w:pos="1361"/>
      </w:tabs>
    </w:pPr>
  </w:style>
  <w:style w:type="paragraph" w:styleId="ListBullet5">
    <w:name w:val="List Bullet 5"/>
    <w:basedOn w:val="List5"/>
    <w:rsid w:val="00AC531F"/>
    <w:pPr>
      <w:numPr>
        <w:numId w:val="4"/>
      </w:numPr>
    </w:pPr>
  </w:style>
  <w:style w:type="paragraph" w:styleId="ListContinue2">
    <w:name w:val="List Continue 2"/>
    <w:basedOn w:val="List2"/>
    <w:rsid w:val="00AC531F"/>
    <w:pPr>
      <w:ind w:firstLine="0"/>
    </w:pPr>
  </w:style>
  <w:style w:type="paragraph" w:styleId="ListContinue3">
    <w:name w:val="List Continue 3"/>
    <w:basedOn w:val="List3"/>
    <w:rsid w:val="00AC531F"/>
    <w:pPr>
      <w:ind w:left="1021" w:firstLine="0"/>
    </w:pPr>
  </w:style>
  <w:style w:type="paragraph" w:styleId="ListContinue4">
    <w:name w:val="List Continue 4"/>
    <w:basedOn w:val="List4"/>
    <w:rsid w:val="00AC531F"/>
    <w:pPr>
      <w:ind w:firstLine="0"/>
    </w:pPr>
  </w:style>
  <w:style w:type="paragraph" w:styleId="ListContinue5">
    <w:name w:val="List Continue 5"/>
    <w:basedOn w:val="List5"/>
    <w:rsid w:val="00AC531F"/>
    <w:pPr>
      <w:ind w:firstLine="0"/>
    </w:pPr>
  </w:style>
  <w:style w:type="paragraph" w:styleId="ListNumber3">
    <w:name w:val="List Number 3"/>
    <w:basedOn w:val="List3"/>
    <w:rsid w:val="00AC531F"/>
    <w:pPr>
      <w:numPr>
        <w:numId w:val="5"/>
      </w:numPr>
    </w:pPr>
  </w:style>
  <w:style w:type="paragraph" w:styleId="ListNumber4">
    <w:name w:val="List Number 4"/>
    <w:basedOn w:val="List4"/>
    <w:rsid w:val="00AC531F"/>
    <w:pPr>
      <w:numPr>
        <w:numId w:val="6"/>
      </w:numPr>
    </w:pPr>
  </w:style>
  <w:style w:type="paragraph" w:styleId="ListNumber5">
    <w:name w:val="List Number 5"/>
    <w:basedOn w:val="List5"/>
    <w:rsid w:val="00AC531F"/>
    <w:pPr>
      <w:numPr>
        <w:numId w:val="7"/>
      </w:numPr>
    </w:pPr>
  </w:style>
  <w:style w:type="paragraph" w:styleId="BlockText">
    <w:name w:val="Block Text"/>
    <w:basedOn w:val="Normal"/>
    <w:rsid w:val="00AC531F"/>
    <w:pPr>
      <w:spacing w:after="120"/>
      <w:ind w:left="1440" w:right="1440"/>
    </w:pPr>
  </w:style>
  <w:style w:type="character" w:customStyle="1" w:styleId="Subscript">
    <w:name w:val="Subscript"/>
    <w:basedOn w:val="DefaultParagraphFont"/>
    <w:rsid w:val="00AC531F"/>
    <w:rPr>
      <w:sz w:val="16"/>
      <w:vertAlign w:val="subscript"/>
    </w:rPr>
  </w:style>
  <w:style w:type="character" w:customStyle="1" w:styleId="Superscript">
    <w:name w:val="Superscript"/>
    <w:basedOn w:val="DefaultParagraphFont"/>
    <w:rsid w:val="00AC531F"/>
    <w:rPr>
      <w:sz w:val="16"/>
      <w:vertAlign w:val="superscript"/>
    </w:rPr>
  </w:style>
  <w:style w:type="character" w:customStyle="1" w:styleId="Symbols">
    <w:name w:val="Symbols"/>
    <w:basedOn w:val="DefaultParagraphFont"/>
    <w:rsid w:val="00AC531F"/>
    <w:rPr>
      <w:rFonts w:ascii="Symbol" w:hAnsi="Symbol"/>
    </w:rPr>
  </w:style>
  <w:style w:type="character" w:customStyle="1" w:styleId="MenuOptions">
    <w:name w:val="Menu Options"/>
    <w:basedOn w:val="DefaultParagraphFont"/>
    <w:rsid w:val="00AC531F"/>
    <w:rPr>
      <w:rFonts w:ascii="Arial Narrow" w:hAnsi="Arial Narrow"/>
      <w:smallCaps/>
    </w:rPr>
  </w:style>
  <w:style w:type="character" w:customStyle="1" w:styleId="Buttons">
    <w:name w:val="Buttons"/>
    <w:basedOn w:val="DefaultParagraphFont"/>
    <w:rsid w:val="00AC531F"/>
    <w:rPr>
      <w:b/>
    </w:rPr>
  </w:style>
  <w:style w:type="character" w:customStyle="1" w:styleId="Underlined">
    <w:name w:val="Underlined"/>
    <w:basedOn w:val="DefaultParagraphFont"/>
    <w:rsid w:val="00AC531F"/>
    <w:rPr>
      <w:u w:val="single"/>
    </w:rPr>
  </w:style>
  <w:style w:type="paragraph" w:customStyle="1" w:styleId="TableBodyTextRight">
    <w:name w:val="Table Body Text Right"/>
    <w:basedOn w:val="TableBodyText"/>
    <w:rsid w:val="00AC531F"/>
    <w:pPr>
      <w:widowControl w:val="0"/>
      <w:autoSpaceDE w:val="0"/>
      <w:autoSpaceDN w:val="0"/>
      <w:adjustRightInd w:val="0"/>
      <w:jc w:val="right"/>
    </w:pPr>
    <w:rPr>
      <w:rFonts w:cs="Arial"/>
      <w:szCs w:val="18"/>
    </w:rPr>
  </w:style>
  <w:style w:type="paragraph" w:customStyle="1" w:styleId="CopyrightText">
    <w:name w:val="Copyright Text"/>
    <w:basedOn w:val="BodyText"/>
    <w:rsid w:val="00AC531F"/>
    <w:rPr>
      <w:sz w:val="18"/>
    </w:rPr>
  </w:style>
  <w:style w:type="paragraph" w:customStyle="1" w:styleId="BodySmallRight">
    <w:name w:val="Body Small Right"/>
    <w:basedOn w:val="BodyTextRight"/>
    <w:rsid w:val="00AC531F"/>
    <w:rPr>
      <w:sz w:val="18"/>
      <w:szCs w:val="18"/>
    </w:rPr>
  </w:style>
  <w:style w:type="paragraph" w:customStyle="1" w:styleId="MarginEdition">
    <w:name w:val="Margin Edition"/>
    <w:basedOn w:val="MarginNote"/>
    <w:rsid w:val="00AC531F"/>
    <w:pPr>
      <w:spacing w:before="0" w:after="0"/>
    </w:pPr>
    <w:rPr>
      <w:rFonts w:ascii="Times New Roman" w:hAnsi="Times New Roman"/>
      <w:color w:val="999999"/>
    </w:rPr>
  </w:style>
  <w:style w:type="paragraph" w:customStyle="1" w:styleId="Spacer">
    <w:name w:val="Spacer"/>
    <w:basedOn w:val="Normal"/>
    <w:rsid w:val="00AC531F"/>
    <w:rPr>
      <w:sz w:val="2"/>
      <w:szCs w:val="2"/>
    </w:rPr>
  </w:style>
  <w:style w:type="character" w:customStyle="1" w:styleId="Small">
    <w:name w:val="Small"/>
    <w:basedOn w:val="DefaultParagraphFont"/>
    <w:rsid w:val="00AC531F"/>
    <w:rPr>
      <w:sz w:val="16"/>
    </w:rPr>
  </w:style>
  <w:style w:type="paragraph" w:customStyle="1" w:styleId="WideTable">
    <w:name w:val="Wide Table"/>
    <w:basedOn w:val="Normal"/>
    <w:rsid w:val="00AC531F"/>
    <w:pPr>
      <w:ind w:left="-1418"/>
    </w:pPr>
    <w:rPr>
      <w:sz w:val="2"/>
      <w:szCs w:val="2"/>
    </w:rPr>
  </w:style>
  <w:style w:type="character" w:styleId="PageNumber">
    <w:name w:val="page number"/>
    <w:basedOn w:val="DefaultParagraphFont"/>
    <w:rsid w:val="00AC531F"/>
  </w:style>
  <w:style w:type="paragraph" w:styleId="Quote">
    <w:name w:val="Quote"/>
    <w:basedOn w:val="Heading1"/>
    <w:link w:val="QuoteChar"/>
    <w:qFormat/>
    <w:rsid w:val="00AC531F"/>
    <w:rPr>
      <w:b w:val="0"/>
      <w:sz w:val="72"/>
      <w:szCs w:val="72"/>
      <w:lang w:val="en-NZ"/>
    </w:rPr>
  </w:style>
  <w:style w:type="character" w:customStyle="1" w:styleId="QuoteChar">
    <w:name w:val="Quote Char"/>
    <w:basedOn w:val="DefaultParagraphFont"/>
    <w:link w:val="Quote"/>
    <w:rsid w:val="00AC5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31F"/>
    <w:pPr>
      <w:pageBreakBefore/>
    </w:pPr>
  </w:style>
  <w:style w:type="paragraph" w:customStyle="1" w:styleId="Border">
    <w:name w:val="Border"/>
    <w:basedOn w:val="Normal"/>
    <w:qFormat/>
    <w:rsid w:val="00AC5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31F"/>
    <w:rPr>
      <w:b/>
      <w:bCs/>
      <w:i/>
      <w:iCs/>
      <w:color w:val="auto"/>
    </w:rPr>
  </w:style>
  <w:style w:type="paragraph" w:styleId="IntenseQuote">
    <w:name w:val="Intense Quote"/>
    <w:basedOn w:val="Normal"/>
    <w:next w:val="Normal"/>
    <w:link w:val="IntenseQuoteChar"/>
    <w:uiPriority w:val="30"/>
    <w:qFormat/>
    <w:rsid w:val="00AC5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31F"/>
    <w:rPr>
      <w:smallCaps/>
      <w:color w:val="auto"/>
      <w:u w:val="single"/>
    </w:rPr>
  </w:style>
  <w:style w:type="character" w:styleId="IntenseReference">
    <w:name w:val="Intense Reference"/>
    <w:basedOn w:val="DefaultParagraphFont"/>
    <w:uiPriority w:val="32"/>
    <w:qFormat/>
    <w:rsid w:val="00AC531F"/>
    <w:rPr>
      <w:b/>
      <w:bCs/>
      <w:smallCaps/>
      <w:color w:val="auto"/>
      <w:spacing w:val="5"/>
      <w:u w:val="single"/>
    </w:rPr>
  </w:style>
  <w:style w:type="paragraph" w:customStyle="1" w:styleId="2ColumnHeading">
    <w:name w:val="2Column Heading"/>
    <w:basedOn w:val="BodyText"/>
    <w:qFormat/>
    <w:rsid w:val="00AC531F"/>
    <w:pPr>
      <w:spacing w:after="60"/>
      <w:ind w:left="-2268"/>
    </w:pPr>
    <w:rPr>
      <w:b/>
    </w:rPr>
  </w:style>
  <w:style w:type="paragraph" w:customStyle="1" w:styleId="Heading1TOC">
    <w:name w:val="Heading1 TOC"/>
    <w:basedOn w:val="Normal"/>
    <w:qFormat/>
    <w:rsid w:val="00AC531F"/>
    <w:pPr>
      <w:spacing w:before="240" w:after="120"/>
    </w:pPr>
    <w:rPr>
      <w:rFonts w:ascii="Times New Roman" w:hAnsi="Times New Roman"/>
      <w:b/>
      <w:sz w:val="32"/>
    </w:rPr>
  </w:style>
  <w:style w:type="paragraph" w:customStyle="1" w:styleId="Heading2TOC">
    <w:name w:val="Heading2 TOC"/>
    <w:basedOn w:val="Normal"/>
    <w:qFormat/>
    <w:rsid w:val="00AC531F"/>
    <w:pPr>
      <w:spacing w:before="240" w:after="60"/>
    </w:pPr>
    <w:rPr>
      <w:rFonts w:ascii="Times New Roman" w:hAnsi="Times New Roman"/>
      <w:b/>
      <w:sz w:val="28"/>
    </w:rPr>
  </w:style>
  <w:style w:type="character" w:customStyle="1" w:styleId="Underline">
    <w:name w:val="Underline"/>
    <w:basedOn w:val="DefaultParagraphFont"/>
    <w:qFormat/>
    <w:rsid w:val="00AC531F"/>
    <w:rPr>
      <w:u w:val="single"/>
    </w:rPr>
  </w:style>
  <w:style w:type="character" w:customStyle="1" w:styleId="BoldandItalics">
    <w:name w:val="Bold and Italics"/>
    <w:qFormat/>
    <w:rsid w:val="00AC531F"/>
    <w:rPr>
      <w:b/>
      <w:i/>
      <w:u w:val="none"/>
    </w:rPr>
  </w:style>
  <w:style w:type="paragraph" w:styleId="BalloonText">
    <w:name w:val="Balloon Text"/>
    <w:basedOn w:val="Normal"/>
    <w:link w:val="BalloonTextChar"/>
    <w:rsid w:val="00AC531F"/>
    <w:rPr>
      <w:rFonts w:ascii="Tahoma" w:hAnsi="Tahoma" w:cs="Tahoma"/>
      <w:sz w:val="16"/>
      <w:szCs w:val="16"/>
    </w:rPr>
  </w:style>
  <w:style w:type="character" w:customStyle="1" w:styleId="BalloonTextChar">
    <w:name w:val="Balloon Text Char"/>
    <w:basedOn w:val="DefaultParagraphFont"/>
    <w:link w:val="BalloonText"/>
    <w:rsid w:val="00AC5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3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31F"/>
    <w:rPr>
      <w:b/>
      <w:color w:val="660033"/>
      <w:spacing w:val="0"/>
    </w:rPr>
  </w:style>
  <w:style w:type="paragraph" w:customStyle="1" w:styleId="Nameditemlist">
    <w:name w:val="Named item list"/>
    <w:basedOn w:val="BodyText"/>
    <w:qFormat/>
    <w:rsid w:val="00AC531F"/>
    <w:pPr>
      <w:tabs>
        <w:tab w:val="left" w:pos="2835"/>
      </w:tabs>
      <w:ind w:left="2835" w:hanging="2835"/>
    </w:pPr>
  </w:style>
  <w:style w:type="paragraph" w:customStyle="1" w:styleId="BodyTextnopadding">
    <w:name w:val="Body Text no padding"/>
    <w:basedOn w:val="BodyText"/>
    <w:qFormat/>
    <w:rsid w:val="00AC531F"/>
    <w:pPr>
      <w:spacing w:before="0" w:after="0"/>
    </w:pPr>
  </w:style>
  <w:style w:type="paragraph" w:customStyle="1" w:styleId="BodyTextBold">
    <w:name w:val="Body Text Bold"/>
    <w:basedOn w:val="BodyText"/>
    <w:qFormat/>
    <w:rsid w:val="00AC531F"/>
    <w:rPr>
      <w:b/>
    </w:rPr>
  </w:style>
  <w:style w:type="character" w:styleId="Hyperlink">
    <w:name w:val="Hyperlink"/>
    <w:basedOn w:val="DefaultParagraphFont"/>
    <w:uiPriority w:val="99"/>
    <w:unhideWhenUsed/>
    <w:rsid w:val="00BE6D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7661</Characters>
  <Application>Microsoft Office Word</Application>
  <DocSecurity>0</DocSecurity>
  <Lines>255</Lines>
  <Paragraphs>142</Paragraphs>
  <ScaleCrop>false</ScaleCrop>
  <Company>Author-it Software Corporation Ltd.</Company>
  <LinksUpToDate>false</LinksUpToDate>
  <CharactersWithSpaces>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MARB044 Operate and maintain ship power systems exceeding 1,000 volts</dc:title>
  <dc:subject>Approved</dc:subject>
  <dc:creator>Industry Skills Australia</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