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F0D" w:rsidP="00F94F0D">
      <w:pPr>
        <w:pStyle w:val="Title"/>
      </w:pPr>
      <w:r>
        <w:fldChar w:fldCharType="begin"/>
      </w:r>
      <w:r>
        <w:instrText xml:space="preserve"> TITLE   \* MERGEFORMAT </w:instrText>
      </w:r>
      <w:r>
        <w:fldChar w:fldCharType="separate"/>
      </w:r>
      <w:r>
        <w:t>MARB038 Maintain and repair marine electrical and electronic equipment</w:t>
      </w:r>
      <w:r>
        <w:fldChar w:fldCharType="end"/>
      </w:r>
    </w:p>
    <w:p w:rsidR="00F94F0D" w:rsidP="00F94F0D">
      <w:pPr>
        <w:pStyle w:val="Version"/>
        <w:sectPr w:rsidSect="009A3D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3D0E" w:rsidP="009A3D0E">
      <w:pPr>
        <w:pStyle w:val="SuperHeading"/>
      </w:pPr>
      <w:r w:rsidRPr="009A3D0E">
        <w:t>MARB038 Maintain and repair marine electrical and electronic equipment</w:t>
      </w:r>
    </w:p>
    <w:p w:rsidR="00000000" w:rsidRPr="009A3D0E" w:rsidP="009A3D0E">
      <w:pPr>
        <w:pStyle w:val="Heading1"/>
      </w:pPr>
      <w:bookmarkStart w:id="1" w:name="O_1086009"/>
      <w:bookmarkEnd w:id="1"/>
      <w:r w:rsidRPr="009A3D0E">
        <w:t>Modification History</w:t>
      </w:r>
    </w:p>
    <w:tbl>
      <w:tblPr>
        <w:tblW w:w="9497" w:type="dxa"/>
        <w:tblLayout w:type="fixed"/>
        <w:tblCellMar>
          <w:left w:w="62" w:type="dxa"/>
          <w:right w:w="62" w:type="dxa"/>
        </w:tblCellMar>
        <w:tblLook w:val="0000"/>
      </w:tblPr>
      <w:tblGrid>
        <w:gridCol w:w="9497"/>
      </w:tblGrid>
      <w:tr w:rsidTr="009A3D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t xml:space="preserve">Release 1. This is the first release of this unit of competency in the MAR Maritime Training Package. </w:t>
            </w:r>
          </w:p>
        </w:tc>
      </w:tr>
    </w:tbl>
    <w:p w:rsidR="00F94F0D" w:rsidP="009A3D0E">
      <w:pPr>
        <w:pStyle w:val="NoPaddingFontSize1"/>
      </w:pPr>
    </w:p>
    <w:p w:rsidR="00F94F0D" w:rsidP="009A3D0E">
      <w:pPr>
        <w:pStyle w:val="NoPaddingFontSize1"/>
      </w:pPr>
    </w:p>
    <w:p w:rsidR="00000000" w:rsidRPr="009A3D0E" w:rsidP="009A3D0E">
      <w:pPr>
        <w:pStyle w:val="Heading1"/>
      </w:pPr>
      <w:bookmarkStart w:id="2" w:name="O_1086010"/>
      <w:bookmarkEnd w:id="2"/>
      <w:r w:rsidRPr="009A3D0E">
        <w:t>Application</w:t>
      </w:r>
    </w:p>
    <w:tbl>
      <w:tblPr>
        <w:tblW w:w="9497" w:type="dxa"/>
        <w:tblLayout w:type="fixed"/>
        <w:tblCellMar>
          <w:left w:w="62" w:type="dxa"/>
          <w:right w:w="62" w:type="dxa"/>
        </w:tblCellMar>
        <w:tblLook w:val="0000"/>
      </w:tblPr>
      <w:tblGrid>
        <w:gridCol w:w="9497"/>
      </w:tblGrid>
      <w:tr w:rsidTr="009A3D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t>This unit involves the skills and knowledge required to maintain and repair marine electrical and electronic equipment on a vessel. This includes carrying out routine maintenance of marine generators, switchboards, electric motors, motor starters, direct c</w:t>
            </w:r>
            <w:r w:rsidRPr="009A3D0E">
              <w:t>urrent (DC) electrical systems and electrical distribution systems; and identifying faults in automated control systems.</w:t>
            </w:r>
          </w:p>
          <w:p w:rsidR="00000000" w:rsidRPr="009A3D0E" w:rsidP="009A3D0E">
            <w:pPr>
              <w:pStyle w:val="BodyText"/>
            </w:pPr>
            <w:r w:rsidRPr="009A3D0E">
              <w:t>This unit applies to people working in the maritime industry in the capacity of:</w:t>
            </w:r>
          </w:p>
          <w:p w:rsidR="00000000" w:rsidRPr="009A3D0E" w:rsidP="009A3D0E">
            <w:pPr>
              <w:pStyle w:val="ListBullet"/>
            </w:pPr>
            <w:r w:rsidRPr="009A3D0E">
              <w:t>Electro-Technical Officer (STCW Electro-Technical Off</w:t>
            </w:r>
            <w:r w:rsidRPr="009A3D0E">
              <w:t>icer Unlimited)</w:t>
            </w:r>
          </w:p>
          <w:p w:rsidR="00000000" w:rsidRPr="009A3D0E" w:rsidP="009A3D0E">
            <w:pPr>
              <w:pStyle w:val="ListBullet"/>
            </w:pPr>
            <w:r w:rsidRPr="009A3D0E">
              <w:t>Engineer Watchkeeper (STCW Engineer Watchkeeper Unlimited).</w:t>
            </w:r>
          </w:p>
          <w:p w:rsidR="00000000" w:rsidRPr="009A3D0E" w:rsidP="009A3D0E">
            <w:pPr>
              <w:pStyle w:val="BodyText"/>
            </w:pPr>
          </w:p>
          <w:p w:rsidR="00000000" w:rsidRPr="009A3D0E" w:rsidP="009A3D0E">
            <w:pPr>
              <w:pStyle w:val="BodyText"/>
            </w:pPr>
            <w:r w:rsidRPr="009A3D0E">
              <w:rPr>
                <w:rStyle w:val="SpecialBold"/>
              </w:rPr>
              <w:t>Licensing/Regulatory Information</w:t>
            </w:r>
          </w:p>
          <w:p w:rsidR="00000000" w:rsidRPr="009A3D0E" w:rsidP="009A3D0E">
            <w:pPr>
              <w:pStyle w:val="BodyText"/>
            </w:pPr>
            <w:r w:rsidRPr="009A3D0E">
              <w:t xml:space="preserve">Legislative and regulatory requirements are applicable to this unit.  </w:t>
            </w:r>
          </w:p>
          <w:p w:rsidR="00000000" w:rsidRPr="009A3D0E" w:rsidP="009A3D0E">
            <w:pPr>
              <w:pStyle w:val="ListBullet"/>
            </w:pPr>
            <w:r w:rsidRPr="009A3D0E">
              <w:t>This unit is one of the requirements to obtain Australian Maritime Safety Authority (AMSA) certification as an Electro-Technical Officer (STCW Electro-Technical Officer Unlimited) or Engineer Watchkeeper (STCW Engineer Watchkeeper Unlimited) and to meet re</w:t>
            </w:r>
            <w:r w:rsidRPr="009A3D0E">
              <w:t>gulatory requirements this unit must be delivered consistent with Marine Orders and with the relevant sections of the International Convention on Standards of Training, Certification and Watchkeeping for Seafarers (STCW).</w:t>
            </w:r>
          </w:p>
          <w:p w:rsidR="00000000" w:rsidRPr="009A3D0E" w:rsidP="009A3D0E">
            <w:pPr>
              <w:pStyle w:val="BodyText"/>
            </w:pPr>
          </w:p>
          <w:p w:rsidR="00000000" w:rsidRPr="009A3D0E" w:rsidP="009A3D0E">
            <w:pPr>
              <w:pStyle w:val="ListBullet"/>
            </w:pPr>
            <w:r w:rsidRPr="009A3D0E">
              <w:t>Those regulatory requirements in</w:t>
            </w:r>
            <w:r w:rsidRPr="009A3D0E">
              <w:t>clude STCW International Maritime Organization (IMO) model course competencies and areas of knowledge, understanding and proficiency, together with the estimated total hours required for lectures and practical exercises. Teaching staff should note that tim</w:t>
            </w:r>
            <w:r w:rsidRPr="009A3D0E">
              <w:t>ings are suggestions only and should be adapted to suit individual groups of trainees depending on their experience, ability, equipment and staff available for training.</w:t>
            </w:r>
          </w:p>
        </w:tc>
      </w:tr>
    </w:tbl>
    <w:p w:rsidR="00000000" w:rsidRPr="009A3D0E" w:rsidP="009A3D0E">
      <w:pPr>
        <w:pStyle w:val="NoPaddingFontSize1"/>
      </w:pPr>
    </w:p>
    <w:p w:rsidR="00000000" w:rsidRPr="009A3D0E" w:rsidP="009A3D0E">
      <w:pPr>
        <w:pStyle w:val="AllowPageBreak"/>
      </w:pPr>
    </w:p>
    <w:p w:rsidR="00000000" w:rsidRPr="009A3D0E" w:rsidP="009A3D0E">
      <w:pPr>
        <w:pStyle w:val="Heading1"/>
      </w:pPr>
      <w:bookmarkStart w:id="3" w:name="O_1086011"/>
      <w:bookmarkEnd w:id="3"/>
      <w:r w:rsidRPr="009A3D0E">
        <w:t>Pre-requisite Unit</w:t>
      </w:r>
    </w:p>
    <w:tbl>
      <w:tblPr>
        <w:tblW w:w="9497" w:type="dxa"/>
        <w:tblLayout w:type="fixed"/>
        <w:tblCellMar>
          <w:left w:w="62" w:type="dxa"/>
          <w:right w:w="62" w:type="dxa"/>
        </w:tblCellMar>
        <w:tblLook w:val="0000"/>
      </w:tblPr>
      <w:tblGrid>
        <w:gridCol w:w="9497"/>
      </w:tblGrid>
      <w:tr w:rsidTr="009A3D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t>Not applicable.</w:t>
            </w:r>
          </w:p>
        </w:tc>
      </w:tr>
    </w:tbl>
    <w:p w:rsidR="00F94F0D" w:rsidP="009A3D0E">
      <w:pPr>
        <w:pStyle w:val="NoPaddingFontSize1"/>
      </w:pPr>
    </w:p>
    <w:p w:rsidR="00F94F0D" w:rsidP="009A3D0E">
      <w:pPr>
        <w:pStyle w:val="NoPaddingFontSize1"/>
      </w:pPr>
    </w:p>
    <w:p w:rsidR="00000000" w:rsidRPr="009A3D0E" w:rsidP="009A3D0E">
      <w:pPr>
        <w:pStyle w:val="Heading1"/>
      </w:pPr>
      <w:bookmarkStart w:id="4" w:name="O_1086012"/>
      <w:bookmarkEnd w:id="4"/>
      <w:r w:rsidRPr="009A3D0E">
        <w:t>Competen</w:t>
      </w:r>
      <w:r w:rsidRPr="009A3D0E">
        <w:t>cy Field</w:t>
      </w:r>
    </w:p>
    <w:tbl>
      <w:tblPr>
        <w:tblW w:w="9497" w:type="dxa"/>
        <w:tblLayout w:type="fixed"/>
        <w:tblCellMar>
          <w:left w:w="62" w:type="dxa"/>
          <w:right w:w="62" w:type="dxa"/>
        </w:tblCellMar>
        <w:tblLook w:val="0000"/>
      </w:tblPr>
      <w:tblGrid>
        <w:gridCol w:w="9497"/>
      </w:tblGrid>
      <w:tr w:rsidTr="009A3D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t>B – Equipment Checking and Maintenance</w:t>
            </w:r>
          </w:p>
        </w:tc>
      </w:tr>
    </w:tbl>
    <w:p w:rsidR="00F94F0D" w:rsidP="009A3D0E">
      <w:pPr>
        <w:pStyle w:val="NoPaddingFontSize1"/>
      </w:pPr>
    </w:p>
    <w:p w:rsidR="00F94F0D" w:rsidP="009A3D0E">
      <w:pPr>
        <w:pStyle w:val="NoPaddingFontSize1"/>
      </w:pPr>
    </w:p>
    <w:p w:rsidR="00000000" w:rsidRPr="009A3D0E" w:rsidP="009A3D0E">
      <w:pPr>
        <w:pStyle w:val="Heading1"/>
      </w:pPr>
      <w:bookmarkStart w:id="5" w:name="O_1086013"/>
      <w:bookmarkEnd w:id="5"/>
      <w:r w:rsidRPr="009A3D0E">
        <w:t>Unit Sector</w:t>
      </w:r>
    </w:p>
    <w:tbl>
      <w:tblPr>
        <w:tblW w:w="9497" w:type="dxa"/>
        <w:tblLayout w:type="fixed"/>
        <w:tblCellMar>
          <w:left w:w="62" w:type="dxa"/>
          <w:right w:w="62" w:type="dxa"/>
        </w:tblCellMar>
        <w:tblLook w:val="0000"/>
      </w:tblPr>
      <w:tblGrid>
        <w:gridCol w:w="9497"/>
      </w:tblGrid>
      <w:tr w:rsidTr="009A3D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t>Not applicable.</w:t>
            </w:r>
          </w:p>
        </w:tc>
      </w:tr>
    </w:tbl>
    <w:p w:rsidR="00F94F0D" w:rsidP="009A3D0E">
      <w:pPr>
        <w:pStyle w:val="NoPaddingFontSize1"/>
      </w:pPr>
    </w:p>
    <w:p w:rsidR="00F94F0D" w:rsidP="009A3D0E">
      <w:pPr>
        <w:pStyle w:val="NoPaddingFontSize1"/>
      </w:pPr>
    </w:p>
    <w:p w:rsidR="00000000" w:rsidRPr="009A3D0E" w:rsidP="009A3D0E">
      <w:pPr>
        <w:pStyle w:val="Heading1"/>
      </w:pPr>
      <w:bookmarkStart w:id="6" w:name="O_1086014"/>
      <w:bookmarkEnd w:id="6"/>
      <w:r w:rsidRPr="009A3D0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A3D0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PERFORMANCE CRITERIA</w:t>
            </w:r>
          </w:p>
        </w:tc>
      </w:tr>
      <w:tr w:rsidTr="009A3D0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Performance criteria describe the performance needed to demonstrate achievement of the element.</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Maintain marine generators</w:t>
            </w: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Safety requirements associated with working on marine electrical generation systems are complied with</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Marine generato</w:t>
            </w:r>
            <w:r w:rsidRPr="009A3D0E">
              <w:t>rs are inspected using appropriate manuals and drawings according to regulatory, organisational and manufacturer requirements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Routine maintenance and testing of marine generators is performed according to regulatory, organisational and manufacturer requirements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Alternators are synchronised according to organisational and manufacturer requirements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Testing and mainten</w:t>
            </w:r>
            <w:r w:rsidRPr="009A3D0E">
              <w:t>ance records are maintained according to regulatory, organisational and manufacturer requirements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Maintain marine switchboards</w:t>
            </w: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Safety requirements associated with handling circuit breakers are complied with</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Routine maintenance is performed on main circuit breaker according to with regulatory, organisational and manufacturer requirements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Faults in circuit breakers are detected and corrected according to regulatory, organisational and manufacturer requir</w:t>
            </w:r>
            <w:r w:rsidRPr="009A3D0E">
              <w:t>ements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Testing and maintenance records are maintained according to regulatory, organisational and manufacturer requirements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Maintain marine electrical motors</w:t>
            </w: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Safety requirements associated with working on marine electrical motors are complied with</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 xml:space="preserve">Equipment required for maintenance of electrical motors </w:t>
            </w:r>
            <w:r w:rsidRPr="009A3D0E">
              <w:t>is selected and checked for serviceability</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Routine maintenance procedures are applied on marine electrical motors according to regulatory, organisational and manufacturer requirements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Test marine electrical motor starters</w:t>
            </w: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Safety requirements associated with working on marine electrical motor</w:t>
            </w:r>
            <w:r w:rsidRPr="009A3D0E">
              <w:t xml:space="preserve"> starters are complied with</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Faults in electrical motor starters are detected and rectified according to regulatory, organisational and manufacturer requirements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Starting and running current load testing is performed on electrical motors accor</w:t>
            </w:r>
            <w:r w:rsidRPr="009A3D0E">
              <w:t>ding to regulatory, organisational and manufacturer requirements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Procedures for finding start and finish of electrical motor windings are applied according to regulatory, organisational and manufacturer requirements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Testing, repairs and maintenance records are maintained according to regulatory, organisational and manufacturer requirements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Maintain marine electrical distribution systems</w:t>
            </w: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Safety requirements associated with working on marine electrical distributi</w:t>
            </w:r>
            <w:r w:rsidRPr="009A3D0E">
              <w:t>on systems are complied with</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Causes and potential dangers associated with earth faults in multiple earthed neutral (MEN) and floating neutral systems are identified</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Earth faults are detected and repaired using correct equipment according to regulatory, organisational and manufacturer requirements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Hazards associated with working on fluorescent lamp circuits are identified</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Fluorescent lamp circuit is const</w:t>
            </w:r>
            <w:r w:rsidRPr="009A3D0E">
              <w:t>ructed using appropriate manuals and drawings according to regulatory, organisational and manufacturer requirements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Components, function and operation of watertight and flame proof fittings are identified</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Reasons for earthing high voltage (HV</w:t>
            </w:r>
            <w:r w:rsidRPr="009A3D0E">
              <w:t>) systems via a resistor are outlined</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Routine maintenance, inspection and testing of marine electrical distribution systems is performed according to regulatory, organisational and manufacturer requirements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Temporary repairs to insulation are performed according to regulatory, organisational and manufacturer requirements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5.10</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Limitation of temporary repairs to insulation in terms of survey requirements are identified</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Maintain DC electrical systems</w:t>
            </w: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S</w:t>
            </w:r>
            <w:r w:rsidRPr="009A3D0E">
              <w:t>afety requirements associated with working on marine DC electrical systems are complied with</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Operation of a rectifier is identified</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Single-phase full wave rectifier fitted with filters is built and operated</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Routine battery maintenance is carried out according to organisational and manufacturer requirements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Correct procedures for checking specific gravity of electrolyte in lead acid and alkaline batteries are applied according to manufacturer requiremen</w:t>
            </w:r>
            <w:r w:rsidRPr="009A3D0E">
              <w:t>ts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Methods for supplying back-up power for remote/automatic control equipment are identified</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6.7</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Procedure for testing back-up power is identified and applied</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Identify faults in automated control systems</w:t>
            </w: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Pneumatic, hydraulic, electronic/electrical control systems are compared and contrasted</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Function and operation of main components of automated control systems are outlined</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Faults in automated control systems are detected and rectified using s</w:t>
            </w:r>
            <w:r w:rsidRPr="009A3D0E">
              <w:t>tandard fault-finding procedures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Testing procedures for identifying function and performance of automatic control systems in vessel operating systems are identified and applied</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Operate electrical testing and measuring equipment</w:t>
            </w: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Insulation tester is operated safely according to manufacturer procedures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Continuity testing on electrical circuits is performed according to organisational and manufacturer procedures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 xml:space="preserve">Clamp meter is operated safely according to manufacturer </w:t>
            </w:r>
            <w:r w:rsidRPr="009A3D0E">
              <w:t>procedures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Multimeter is operated safely according to manufacturer procedures</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rPr>
                <w:rStyle w:val="SpecialBold"/>
              </w:rPr>
              <w:t>Test automatic control devices</w:t>
            </w: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Operational functions are performed on a monitor</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t>Different types and operation of control valves are identified</w:t>
            </w:r>
          </w:p>
        </w:tc>
      </w:tr>
      <w:tr w:rsidTr="009A3D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A3D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A3D0E">
            <w:pPr>
              <w:pStyle w:val="BodyText"/>
              <w:rPr>
                <w:lang w:val="en-NZ"/>
              </w:rPr>
            </w:pPr>
            <w:r w:rsidRPr="009A3D0E">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t>Control system control functions are applied using different control devices</w:t>
            </w:r>
          </w:p>
        </w:tc>
      </w:tr>
    </w:tbl>
    <w:p w:rsidR="00F94F0D" w:rsidP="009A3D0E">
      <w:pPr>
        <w:pStyle w:val="NoPaddingFontSize1"/>
      </w:pPr>
    </w:p>
    <w:p w:rsidR="00F94F0D" w:rsidP="009A3D0E">
      <w:pPr>
        <w:pStyle w:val="NoPaddingFontSize1"/>
      </w:pPr>
    </w:p>
    <w:p w:rsidR="00000000" w:rsidRPr="009A3D0E" w:rsidP="009A3D0E">
      <w:pPr>
        <w:pStyle w:val="Heading1"/>
      </w:pPr>
      <w:bookmarkStart w:id="7" w:name="O_1086015"/>
      <w:bookmarkEnd w:id="7"/>
      <w:r w:rsidRPr="009A3D0E">
        <w:t>Foundation Skills</w:t>
      </w:r>
    </w:p>
    <w:tbl>
      <w:tblPr>
        <w:tblW w:w="9497" w:type="dxa"/>
        <w:tblLayout w:type="fixed"/>
        <w:tblCellMar>
          <w:left w:w="62" w:type="dxa"/>
          <w:right w:w="62" w:type="dxa"/>
        </w:tblCellMar>
        <w:tblLook w:val="0000"/>
      </w:tblPr>
      <w:tblGrid>
        <w:gridCol w:w="9497"/>
      </w:tblGrid>
      <w:tr w:rsidTr="009A3D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t>Foundation skills essential to performance are explicit in the performance criteria of this unit of competency.</w:t>
            </w:r>
          </w:p>
        </w:tc>
      </w:tr>
    </w:tbl>
    <w:p w:rsidR="00F94F0D" w:rsidP="009A3D0E">
      <w:pPr>
        <w:pStyle w:val="NoPaddingFontSize1"/>
      </w:pPr>
    </w:p>
    <w:p w:rsidR="00F94F0D" w:rsidP="009A3D0E">
      <w:pPr>
        <w:pStyle w:val="NoPaddingFontSize1"/>
      </w:pPr>
    </w:p>
    <w:p w:rsidR="00000000" w:rsidRPr="009A3D0E" w:rsidP="009A3D0E">
      <w:pPr>
        <w:pStyle w:val="Heading1"/>
      </w:pPr>
      <w:bookmarkStart w:id="8" w:name="O_1086016"/>
      <w:bookmarkEnd w:id="8"/>
      <w:r w:rsidRPr="009A3D0E">
        <w:t>Range of Conditions</w:t>
      </w:r>
    </w:p>
    <w:tbl>
      <w:tblPr>
        <w:tblW w:w="9497" w:type="dxa"/>
        <w:tblLayout w:type="fixed"/>
        <w:tblCellMar>
          <w:left w:w="62" w:type="dxa"/>
          <w:right w:w="62" w:type="dxa"/>
        </w:tblCellMar>
        <w:tblLook w:val="0000"/>
      </w:tblPr>
      <w:tblGrid>
        <w:gridCol w:w="9497"/>
      </w:tblGrid>
      <w:tr w:rsidTr="009A3D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t xml:space="preserve">Range is restricted to essential operating conditions and any other variables essential to the work </w:t>
            </w:r>
            <w:r w:rsidRPr="009A3D0E">
              <w:t>environment.</w:t>
            </w:r>
          </w:p>
        </w:tc>
      </w:tr>
    </w:tbl>
    <w:p w:rsidR="00F94F0D" w:rsidP="009A3D0E">
      <w:pPr>
        <w:pStyle w:val="NoPaddingFontSize1"/>
      </w:pPr>
    </w:p>
    <w:p w:rsidR="00F94F0D" w:rsidP="009A3D0E">
      <w:pPr>
        <w:pStyle w:val="NoPaddingFontSize1"/>
      </w:pPr>
    </w:p>
    <w:p w:rsidR="00000000" w:rsidRPr="009A3D0E" w:rsidP="009A3D0E">
      <w:pPr>
        <w:pStyle w:val="Heading1"/>
      </w:pPr>
      <w:bookmarkStart w:id="9" w:name="O_1086017"/>
      <w:bookmarkEnd w:id="9"/>
      <w:r w:rsidRPr="009A3D0E">
        <w:t>Unit Mapping Information</w:t>
      </w:r>
    </w:p>
    <w:tbl>
      <w:tblPr>
        <w:tblW w:w="9497" w:type="dxa"/>
        <w:tblLayout w:type="fixed"/>
        <w:tblCellMar>
          <w:left w:w="62" w:type="dxa"/>
          <w:right w:w="62" w:type="dxa"/>
        </w:tblCellMar>
        <w:tblLook w:val="0000"/>
      </w:tblPr>
      <w:tblGrid>
        <w:gridCol w:w="9497"/>
      </w:tblGrid>
      <w:tr w:rsidTr="009A3D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A3D0E" w:rsidP="009A3D0E">
            <w:pPr>
              <w:pStyle w:val="BodyText"/>
            </w:pPr>
            <w:r w:rsidRPr="009A3D0E">
              <w:t>This unit replaces and is equivalent to MARB013 Maintain and repair marine e</w:t>
            </w:r>
            <w:r w:rsidRPr="009A3D0E">
              <w:t>lectrical and electronic equipment.</w:t>
            </w:r>
          </w:p>
        </w:tc>
      </w:tr>
    </w:tbl>
    <w:p w:rsidR="00F94F0D" w:rsidP="009A3D0E">
      <w:pPr>
        <w:pStyle w:val="NoPaddingFontSize1"/>
      </w:pPr>
    </w:p>
    <w:p w:rsidR="00F94F0D" w:rsidP="009A3D0E">
      <w:pPr>
        <w:pStyle w:val="NoPaddingFontSize1"/>
      </w:pPr>
    </w:p>
    <w:p w:rsidR="00000000" w:rsidRPr="009A3D0E" w:rsidP="009A3D0E">
      <w:pPr>
        <w:pStyle w:val="Heading1"/>
      </w:pPr>
      <w:bookmarkStart w:id="10" w:name="O_1086024"/>
      <w:bookmarkEnd w:id="10"/>
      <w:r w:rsidRPr="009A3D0E">
        <w:t>Links</w:t>
      </w:r>
    </w:p>
    <w:p w:rsidR="00000000" w:rsidRPr="009A3D0E" w:rsidP="00F94F0D">
      <w:pPr>
        <w:pStyle w:val="BodyText"/>
      </w:pPr>
      <w:r w:rsidRPr="009A3D0E">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1233B">
        <w:rPr>
          <w:rStyle w:val="Hyperlink"/>
        </w:rPr>
        <w:t>https://vetnet.gov.au/Pages/TrainingDocs.aspx?q=772efb7b-4cce-47fe-9bbd-ee3b1d1eb4c2</w:t>
      </w:r>
      <w:r>
        <w:fldChar w:fldCharType="end"/>
      </w:r>
    </w:p>
    <w:p w:rsidR="00000000" w:rsidRPr="009A3D0E" w:rsidP="009A3D0E"/>
    <w:sectPr w:rsidSect="009A3D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0E" w:rsidRPr="00F94F0D" w:rsidP="00F94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0D" w:rsidP="009A3D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4F0D" w:rsidP="009A3D0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94F0D" w:rsidP="009A3D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3D0E" w:rsidRPr="00F94F0D" w:rsidP="00F94F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D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F0D" w:rsidRPr="002D2AF8" w:rsidP="009A3D0E">
    <w:pPr>
      <w:pStyle w:val="Header"/>
      <w:framePr w:wrap="around"/>
    </w:pPr>
    <w:r>
      <w:fldChar w:fldCharType="begin"/>
    </w:r>
    <w:r>
      <w:instrText xml:space="preserve"> TITLE   \* MERGEFORMAT </w:instrText>
    </w:r>
    <w:r>
      <w:fldChar w:fldCharType="separate"/>
    </w:r>
    <w:r>
      <w:t>MARB038 Maintain and repair marine electrical and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F94F0D" w:rsidP="009A3D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705B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8E0F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D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3D0E"/>
    <w:pPr>
      <w:spacing w:before="360" w:after="60"/>
      <w:outlineLvl w:val="0"/>
    </w:pPr>
    <w:rPr>
      <w:sz w:val="32"/>
    </w:rPr>
  </w:style>
  <w:style w:type="paragraph" w:styleId="Heading2">
    <w:name w:val="heading 2"/>
    <w:basedOn w:val="HeadingBase"/>
    <w:next w:val="BodyText"/>
    <w:link w:val="Heading2Char"/>
    <w:qFormat/>
    <w:rsid w:val="009A3D0E"/>
    <w:pPr>
      <w:keepLines/>
      <w:spacing w:before="240" w:after="120"/>
      <w:outlineLvl w:val="1"/>
    </w:pPr>
    <w:rPr>
      <w:sz w:val="28"/>
      <w:szCs w:val="40"/>
    </w:rPr>
  </w:style>
  <w:style w:type="paragraph" w:styleId="Heading3">
    <w:name w:val="heading 3"/>
    <w:basedOn w:val="HeadingBase"/>
    <w:next w:val="BodyText"/>
    <w:link w:val="Heading3Char"/>
    <w:qFormat/>
    <w:rsid w:val="009A3D0E"/>
    <w:pPr>
      <w:spacing w:before="180" w:after="120"/>
      <w:outlineLvl w:val="2"/>
    </w:pPr>
    <w:rPr>
      <w:spacing w:val="-10"/>
      <w:kern w:val="32"/>
    </w:rPr>
  </w:style>
  <w:style w:type="paragraph" w:styleId="Heading4">
    <w:name w:val="heading 4"/>
    <w:basedOn w:val="HeadingBase"/>
    <w:next w:val="BodyText"/>
    <w:link w:val="Heading4Char"/>
    <w:qFormat/>
    <w:rsid w:val="009A3D0E"/>
    <w:pPr>
      <w:spacing w:before="160" w:after="120"/>
      <w:outlineLvl w:val="3"/>
    </w:pPr>
    <w:rPr>
      <w:sz w:val="22"/>
    </w:rPr>
  </w:style>
  <w:style w:type="paragraph" w:styleId="Heading5">
    <w:name w:val="heading 5"/>
    <w:basedOn w:val="HeadingBase"/>
    <w:next w:val="Normal"/>
    <w:link w:val="Heading5Char"/>
    <w:qFormat/>
    <w:rsid w:val="009A3D0E"/>
    <w:pPr>
      <w:spacing w:before="80"/>
      <w:outlineLvl w:val="4"/>
    </w:pPr>
    <w:rPr>
      <w:color w:val="918585"/>
      <w:sz w:val="20"/>
    </w:rPr>
  </w:style>
  <w:style w:type="paragraph" w:styleId="Heading6">
    <w:name w:val="heading 6"/>
    <w:basedOn w:val="HeadingBase"/>
    <w:next w:val="Normal"/>
    <w:link w:val="Heading6Char"/>
    <w:qFormat/>
    <w:rsid w:val="009A3D0E"/>
    <w:pPr>
      <w:spacing w:before="60"/>
      <w:outlineLvl w:val="5"/>
    </w:pPr>
    <w:rPr>
      <w:color w:val="918585"/>
      <w:sz w:val="20"/>
    </w:rPr>
  </w:style>
  <w:style w:type="paragraph" w:styleId="Heading7">
    <w:name w:val="heading 7"/>
    <w:basedOn w:val="Normal"/>
    <w:next w:val="Normal"/>
    <w:link w:val="Heading7Char"/>
    <w:qFormat/>
    <w:rsid w:val="009A3D0E"/>
    <w:pPr>
      <w:ind w:left="720"/>
      <w:outlineLvl w:val="6"/>
    </w:pPr>
    <w:rPr>
      <w:i/>
    </w:rPr>
  </w:style>
  <w:style w:type="paragraph" w:styleId="Heading8">
    <w:name w:val="heading 8"/>
    <w:basedOn w:val="Normal"/>
    <w:next w:val="Normal"/>
    <w:link w:val="Heading8Char"/>
    <w:qFormat/>
    <w:rsid w:val="009A3D0E"/>
    <w:pPr>
      <w:ind w:left="720"/>
      <w:outlineLvl w:val="7"/>
    </w:pPr>
    <w:rPr>
      <w:i/>
    </w:rPr>
  </w:style>
  <w:style w:type="paragraph" w:styleId="Heading9">
    <w:name w:val="heading 9"/>
    <w:basedOn w:val="Normal"/>
    <w:next w:val="Normal"/>
    <w:link w:val="Heading9Char"/>
    <w:qFormat/>
    <w:rsid w:val="009A3D0E"/>
    <w:pPr>
      <w:ind w:left="720"/>
      <w:outlineLvl w:val="8"/>
    </w:pPr>
    <w:rPr>
      <w:i/>
    </w:rPr>
  </w:style>
  <w:style w:type="character" w:default="1" w:styleId="DefaultParagraphFont">
    <w:name w:val="Default Paragraph Font"/>
    <w:uiPriority w:val="1"/>
    <w:unhideWhenUsed/>
    <w:rsid w:val="009A3D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3D0E"/>
  </w:style>
  <w:style w:type="character" w:customStyle="1" w:styleId="Heading1Char">
    <w:name w:val="Heading 1 Char"/>
    <w:basedOn w:val="DefaultParagraphFont"/>
    <w:link w:val="Heading1"/>
    <w:rsid w:val="009A3D0E"/>
    <w:rPr>
      <w:rFonts w:ascii="Times New Roman" w:eastAsia="Times New Roman" w:hAnsi="Times New Roman" w:cs="Times New Roman"/>
      <w:b/>
      <w:sz w:val="32"/>
      <w:szCs w:val="20"/>
      <w:lang w:eastAsia="en-US"/>
    </w:rPr>
  </w:style>
  <w:style w:type="paragraph" w:styleId="BodyText">
    <w:name w:val="Body Text"/>
    <w:basedOn w:val="Normal"/>
    <w:link w:val="BodyTextChar"/>
    <w:rsid w:val="009A3D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3D0E"/>
    <w:rPr>
      <w:rFonts w:ascii="Times New Roman" w:eastAsia="Times New Roman" w:hAnsi="Times New Roman" w:cs="Times New Roman"/>
      <w:sz w:val="24"/>
      <w:lang w:eastAsia="en-US"/>
    </w:rPr>
  </w:style>
  <w:style w:type="paragraph" w:styleId="ListBullet">
    <w:name w:val="List Bullet"/>
    <w:basedOn w:val="List"/>
    <w:rsid w:val="009A3D0E"/>
    <w:pPr>
      <w:numPr>
        <w:numId w:val="11"/>
      </w:numPr>
      <w:tabs>
        <w:tab w:val="clear" w:pos="340"/>
      </w:tabs>
      <w:spacing w:before="40" w:after="40"/>
    </w:pPr>
  </w:style>
  <w:style w:type="character" w:customStyle="1" w:styleId="SpecialBold">
    <w:name w:val="Special Bold"/>
    <w:basedOn w:val="DefaultParagraphFont"/>
    <w:rsid w:val="009A3D0E"/>
    <w:rPr>
      <w:b/>
      <w:spacing w:val="0"/>
    </w:rPr>
  </w:style>
  <w:style w:type="paragraph" w:customStyle="1" w:styleId="SuperHeading">
    <w:name w:val="SuperHeading"/>
    <w:basedOn w:val="Normal"/>
    <w:rsid w:val="009A3D0E"/>
    <w:pPr>
      <w:spacing w:before="240" w:after="120"/>
      <w:outlineLvl w:val="0"/>
    </w:pPr>
    <w:rPr>
      <w:rFonts w:ascii="Times New Roman" w:hAnsi="Times New Roman"/>
      <w:b/>
      <w:sz w:val="32"/>
    </w:rPr>
  </w:style>
  <w:style w:type="paragraph" w:customStyle="1" w:styleId="AllowPageBreak">
    <w:name w:val="AllowPageBreak"/>
    <w:rsid w:val="009A3D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A3D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3D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3D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3D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3D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3D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3D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3D0E"/>
    <w:rPr>
      <w:rFonts w:ascii="Courier New" w:eastAsia="Times New Roman" w:hAnsi="Courier New" w:cs="Times New Roman"/>
      <w:i/>
      <w:szCs w:val="20"/>
      <w:lang w:eastAsia="en-US"/>
    </w:rPr>
  </w:style>
  <w:style w:type="paragraph" w:customStyle="1" w:styleId="HeadingBase">
    <w:name w:val="Heading Base"/>
    <w:rsid w:val="009A3D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3D0E"/>
    <w:pPr>
      <w:tabs>
        <w:tab w:val="right" w:leader="dot" w:pos="9072"/>
      </w:tabs>
      <w:ind w:left="567"/>
    </w:pPr>
    <w:rPr>
      <w:szCs w:val="22"/>
    </w:rPr>
  </w:style>
  <w:style w:type="paragraph" w:customStyle="1" w:styleId="TOCBase">
    <w:name w:val="TOC Base"/>
    <w:rsid w:val="009A3D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3D0E"/>
    <w:pPr>
      <w:tabs>
        <w:tab w:val="right" w:leader="dot" w:pos="9072"/>
      </w:tabs>
      <w:spacing w:before="40" w:after="40"/>
      <w:ind w:left="284"/>
    </w:pPr>
    <w:rPr>
      <w:rFonts w:ascii="Times New Roman" w:hAnsi="Times New Roman"/>
    </w:rPr>
  </w:style>
  <w:style w:type="paragraph" w:styleId="TOC1">
    <w:name w:val="toc 1"/>
    <w:basedOn w:val="TOCBase"/>
    <w:next w:val="Normal"/>
    <w:rsid w:val="009A3D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3D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3D0E"/>
    <w:rPr>
      <w:rFonts w:ascii="Times New Roman" w:eastAsia="Times New Roman" w:hAnsi="Times New Roman" w:cs="Times New Roman"/>
      <w:sz w:val="16"/>
      <w:lang w:eastAsia="en-US"/>
    </w:rPr>
  </w:style>
  <w:style w:type="paragraph" w:styleId="Title">
    <w:name w:val="Title"/>
    <w:basedOn w:val="HeadingBase"/>
    <w:link w:val="TitleChar"/>
    <w:qFormat/>
    <w:rsid w:val="009A3D0E"/>
    <w:pPr>
      <w:spacing w:before="5040"/>
      <w:jc w:val="center"/>
    </w:pPr>
    <w:rPr>
      <w:sz w:val="48"/>
      <w:szCs w:val="72"/>
      <w:lang w:val="en-US"/>
    </w:rPr>
  </w:style>
  <w:style w:type="character" w:customStyle="1" w:styleId="TitleChar">
    <w:name w:val="Title Char"/>
    <w:basedOn w:val="DefaultParagraphFont"/>
    <w:link w:val="Title"/>
    <w:rsid w:val="009A3D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3D0E"/>
    <w:pPr>
      <w:tabs>
        <w:tab w:val="left" w:pos="3600"/>
        <w:tab w:val="left" w:pos="3958"/>
      </w:tabs>
    </w:pPr>
  </w:style>
  <w:style w:type="paragraph" w:styleId="List">
    <w:name w:val="List"/>
    <w:basedOn w:val="BodyText"/>
    <w:next w:val="BodyText"/>
    <w:rsid w:val="009A3D0E"/>
    <w:pPr>
      <w:tabs>
        <w:tab w:val="left" w:pos="340"/>
      </w:tabs>
      <w:spacing w:before="60" w:after="60"/>
      <w:ind w:left="340" w:hanging="340"/>
    </w:pPr>
  </w:style>
  <w:style w:type="paragraph" w:customStyle="1" w:styleId="Note">
    <w:name w:val="Note"/>
    <w:basedOn w:val="BodyText"/>
    <w:rsid w:val="009A3D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3D0E"/>
    <w:pPr>
      <w:framePr w:wrap="auto" w:hAnchor="text" w:y="6049"/>
    </w:pPr>
    <w:rPr>
      <w:color w:val="000000"/>
      <w:sz w:val="40"/>
    </w:rPr>
  </w:style>
  <w:style w:type="paragraph" w:customStyle="1" w:styleId="TOCTitle">
    <w:name w:val="TOCTitle"/>
    <w:basedOn w:val="Heading1"/>
    <w:rsid w:val="009A3D0E"/>
    <w:pPr>
      <w:spacing w:after="240"/>
      <w:jc w:val="center"/>
      <w:outlineLvl w:val="9"/>
    </w:pPr>
    <w:rPr>
      <w:caps/>
    </w:rPr>
  </w:style>
  <w:style w:type="paragraph" w:customStyle="1" w:styleId="Version">
    <w:name w:val="Version"/>
    <w:rsid w:val="009A3D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3D0E"/>
    <w:pPr>
      <w:numPr>
        <w:numId w:val="12"/>
      </w:numPr>
      <w:tabs>
        <w:tab w:val="clear" w:pos="680"/>
      </w:tabs>
    </w:pPr>
  </w:style>
  <w:style w:type="paragraph" w:styleId="Index1">
    <w:name w:val="index 1"/>
    <w:basedOn w:val="Normal"/>
    <w:next w:val="Normal"/>
    <w:semiHidden/>
    <w:rsid w:val="009A3D0E"/>
    <w:pPr>
      <w:keepNext w:val="0"/>
      <w:tabs>
        <w:tab w:val="right" w:pos="4176"/>
      </w:tabs>
      <w:ind w:left="198" w:hanging="198"/>
    </w:pPr>
    <w:rPr>
      <w:rFonts w:ascii="Garamond" w:hAnsi="Garamond"/>
    </w:rPr>
  </w:style>
  <w:style w:type="paragraph" w:styleId="IndexHeading">
    <w:name w:val="index heading"/>
    <w:basedOn w:val="Normal"/>
    <w:next w:val="Index1"/>
    <w:semiHidden/>
    <w:rsid w:val="009A3D0E"/>
    <w:pPr>
      <w:spacing w:before="120" w:after="120"/>
    </w:pPr>
    <w:rPr>
      <w:rFonts w:ascii="Arial" w:hAnsi="Arial"/>
      <w:b/>
      <w:color w:val="918585"/>
      <w:sz w:val="24"/>
    </w:rPr>
  </w:style>
  <w:style w:type="paragraph" w:styleId="Header">
    <w:name w:val="header"/>
    <w:basedOn w:val="Normal"/>
    <w:link w:val="HeaderChar"/>
    <w:rsid w:val="009A3D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3D0E"/>
    <w:rPr>
      <w:rFonts w:ascii="Times New Roman" w:eastAsia="Times New Roman" w:hAnsi="Times New Roman" w:cs="Times New Roman"/>
      <w:sz w:val="16"/>
      <w:szCs w:val="20"/>
      <w:lang w:val="en-GB" w:eastAsia="en-US"/>
    </w:rPr>
  </w:style>
  <w:style w:type="paragraph" w:customStyle="1" w:styleId="Chapter">
    <w:name w:val="Chapter"/>
    <w:basedOn w:val="Normal"/>
    <w:rsid w:val="009A3D0E"/>
    <w:pPr>
      <w:spacing w:before="240"/>
    </w:pPr>
    <w:rPr>
      <w:rFonts w:ascii="Times New Roman" w:hAnsi="Times New Roman"/>
      <w:smallCaps/>
      <w:spacing w:val="80"/>
      <w:sz w:val="28"/>
    </w:rPr>
  </w:style>
  <w:style w:type="paragraph" w:customStyle="1" w:styleId="InChapter">
    <w:name w:val="InChapter"/>
    <w:basedOn w:val="Heading3"/>
    <w:rsid w:val="009A3D0E"/>
    <w:pPr>
      <w:spacing w:after="240"/>
      <w:outlineLvl w:val="9"/>
    </w:pPr>
    <w:rPr>
      <w:noProof/>
    </w:rPr>
  </w:style>
  <w:style w:type="paragraph" w:styleId="Index2">
    <w:name w:val="index 2"/>
    <w:basedOn w:val="Normal"/>
    <w:next w:val="Normal"/>
    <w:semiHidden/>
    <w:rsid w:val="009A3D0E"/>
    <w:pPr>
      <w:tabs>
        <w:tab w:val="right" w:pos="4176"/>
      </w:tabs>
      <w:ind w:left="568" w:hanging="284"/>
    </w:pPr>
    <w:rPr>
      <w:rFonts w:ascii="Garamond" w:hAnsi="Garamond"/>
    </w:rPr>
  </w:style>
  <w:style w:type="paragraph" w:customStyle="1" w:styleId="Byline">
    <w:name w:val="Byline"/>
    <w:rsid w:val="009A3D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3D0E"/>
    <w:pPr>
      <w:tabs>
        <w:tab w:val="clear" w:pos="3600"/>
        <w:tab w:val="clear" w:pos="3958"/>
      </w:tabs>
      <w:jc w:val="right"/>
    </w:pPr>
  </w:style>
  <w:style w:type="character" w:styleId="Emphasis">
    <w:name w:val="Emphasis"/>
    <w:basedOn w:val="DefaultParagraphFont"/>
    <w:qFormat/>
    <w:rsid w:val="009A3D0E"/>
    <w:rPr>
      <w:i/>
    </w:rPr>
  </w:style>
  <w:style w:type="paragraph" w:styleId="Caption">
    <w:name w:val="caption"/>
    <w:basedOn w:val="BodyText"/>
    <w:next w:val="Normal"/>
    <w:qFormat/>
    <w:rsid w:val="009A3D0E"/>
    <w:pPr>
      <w:framePr w:w="2268" w:hSpace="181" w:vSpace="181" w:wrap="around" w:vAnchor="text" w:hAnchor="page" w:x="1135" w:y="285" w:anchorLock="1"/>
    </w:pPr>
    <w:rPr>
      <w:i/>
    </w:rPr>
  </w:style>
  <w:style w:type="paragraph" w:customStyle="1" w:styleId="MiniTOCTitle">
    <w:name w:val="MiniTOCTitle"/>
    <w:basedOn w:val="Heading4"/>
    <w:rsid w:val="009A3D0E"/>
    <w:pPr>
      <w:spacing w:before="240"/>
      <w:outlineLvl w:val="9"/>
    </w:pPr>
    <w:rPr>
      <w:noProof/>
      <w:sz w:val="24"/>
    </w:rPr>
  </w:style>
  <w:style w:type="paragraph" w:customStyle="1" w:styleId="MiniTOCItem">
    <w:name w:val="MiniTOCItem"/>
    <w:basedOn w:val="ListBullet"/>
    <w:rsid w:val="009A3D0E"/>
    <w:pPr>
      <w:numPr>
        <w:numId w:val="0"/>
      </w:numPr>
      <w:tabs>
        <w:tab w:val="right" w:leader="dot" w:pos="6521"/>
      </w:tabs>
      <w:spacing w:before="0" w:after="0"/>
    </w:pPr>
  </w:style>
  <w:style w:type="paragraph" w:customStyle="1" w:styleId="TOFTitle">
    <w:name w:val="TOFTitle"/>
    <w:basedOn w:val="TOCTitle"/>
    <w:rsid w:val="009A3D0E"/>
  </w:style>
  <w:style w:type="paragraph" w:styleId="TableofFigures">
    <w:name w:val="table of figures"/>
    <w:basedOn w:val="Normal"/>
    <w:next w:val="Normal"/>
    <w:semiHidden/>
    <w:rsid w:val="009A3D0E"/>
    <w:pPr>
      <w:tabs>
        <w:tab w:val="right" w:leader="dot" w:pos="9072"/>
      </w:tabs>
      <w:ind w:left="970" w:hanging="403"/>
    </w:pPr>
    <w:rPr>
      <w:rFonts w:ascii="Times New Roman" w:hAnsi="Times New Roman"/>
      <w:b/>
    </w:rPr>
  </w:style>
  <w:style w:type="paragraph" w:styleId="ListNumber">
    <w:name w:val="List Number"/>
    <w:basedOn w:val="List"/>
    <w:rsid w:val="009A3D0E"/>
    <w:pPr>
      <w:numPr>
        <w:numId w:val="14"/>
      </w:numPr>
      <w:tabs>
        <w:tab w:val="clear" w:pos="340"/>
      </w:tabs>
    </w:pPr>
  </w:style>
  <w:style w:type="character" w:customStyle="1" w:styleId="WingdingSymbols">
    <w:name w:val="Wingding Symbols"/>
    <w:rsid w:val="009A3D0E"/>
    <w:rPr>
      <w:rFonts w:ascii="Wingdings" w:hAnsi="Wingdings"/>
    </w:rPr>
  </w:style>
  <w:style w:type="paragraph" w:customStyle="1" w:styleId="TableHeading">
    <w:name w:val="Table Heading"/>
    <w:basedOn w:val="HeadingBase"/>
    <w:rsid w:val="009A3D0E"/>
    <w:pPr>
      <w:keepLines/>
      <w:pBdr>
        <w:bottom w:val="single" w:sz="6" w:space="1" w:color="918585"/>
      </w:pBdr>
      <w:spacing w:before="240"/>
    </w:pPr>
  </w:style>
  <w:style w:type="character" w:customStyle="1" w:styleId="HotSpot">
    <w:name w:val="HotSpot"/>
    <w:rsid w:val="009A3D0E"/>
    <w:rPr>
      <w:color w:val="0033CC"/>
      <w:u w:val="none"/>
    </w:rPr>
  </w:style>
  <w:style w:type="paragraph" w:customStyle="1" w:styleId="BodyTextRight">
    <w:name w:val="Body Text Right"/>
    <w:basedOn w:val="BodyText"/>
    <w:rsid w:val="009A3D0E"/>
    <w:pPr>
      <w:spacing w:before="0" w:after="0"/>
      <w:jc w:val="right"/>
    </w:pPr>
  </w:style>
  <w:style w:type="paragraph" w:styleId="Index3">
    <w:name w:val="index 3"/>
    <w:basedOn w:val="ListNumber2"/>
    <w:next w:val="Normal"/>
    <w:semiHidden/>
    <w:rsid w:val="009A3D0E"/>
    <w:pPr>
      <w:numPr>
        <w:numId w:val="0"/>
      </w:numPr>
      <w:tabs>
        <w:tab w:val="right" w:leader="dot" w:pos="4176"/>
      </w:tabs>
    </w:pPr>
  </w:style>
  <w:style w:type="paragraph" w:styleId="ListNumber2">
    <w:name w:val="List Number 2"/>
    <w:basedOn w:val="List2"/>
    <w:rsid w:val="009A3D0E"/>
    <w:pPr>
      <w:numPr>
        <w:numId w:val="9"/>
      </w:numPr>
      <w:tabs>
        <w:tab w:val="clear" w:pos="1060"/>
      </w:tabs>
    </w:pPr>
  </w:style>
  <w:style w:type="paragraph" w:customStyle="1" w:styleId="MarginNote">
    <w:name w:val="Margin Note"/>
    <w:basedOn w:val="BodyText"/>
    <w:rsid w:val="009A3D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3D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3D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3D0E"/>
    <w:rPr>
      <w:sz w:val="32"/>
    </w:rPr>
  </w:style>
  <w:style w:type="paragraph" w:customStyle="1" w:styleId="HeadingProcedure">
    <w:name w:val="Heading Procedure"/>
    <w:basedOn w:val="HeadingBase"/>
    <w:next w:val="Normal"/>
    <w:rsid w:val="009A3D0E"/>
    <w:pPr>
      <w:tabs>
        <w:tab w:val="left" w:pos="0"/>
      </w:tabs>
      <w:spacing w:before="120" w:after="60"/>
    </w:pPr>
    <w:rPr>
      <w:i/>
      <w:color w:val="918585"/>
      <w:sz w:val="22"/>
    </w:rPr>
  </w:style>
  <w:style w:type="paragraph" w:customStyle="1" w:styleId="TableBodyText">
    <w:name w:val="Table Body Text"/>
    <w:basedOn w:val="BodyText"/>
    <w:rsid w:val="009A3D0E"/>
    <w:pPr>
      <w:spacing w:before="60" w:after="60"/>
    </w:pPr>
  </w:style>
  <w:style w:type="paragraph" w:styleId="ListContinue">
    <w:name w:val="List Continue"/>
    <w:basedOn w:val="List"/>
    <w:rsid w:val="009A3D0E"/>
    <w:pPr>
      <w:ind w:firstLine="0"/>
    </w:pPr>
  </w:style>
  <w:style w:type="paragraph" w:customStyle="1" w:styleId="ListNote">
    <w:name w:val="List Note"/>
    <w:basedOn w:val="List"/>
    <w:rsid w:val="009A3D0E"/>
    <w:pPr>
      <w:pBdr>
        <w:top w:val="single" w:sz="6" w:space="2" w:color="918585"/>
        <w:bottom w:val="single" w:sz="6" w:space="2" w:color="918585"/>
      </w:pBdr>
      <w:tabs>
        <w:tab w:val="left" w:pos="1021"/>
      </w:tabs>
      <w:ind w:firstLine="0"/>
    </w:pPr>
  </w:style>
  <w:style w:type="paragraph" w:customStyle="1" w:styleId="Warning">
    <w:name w:val="Warning"/>
    <w:basedOn w:val="BodyText"/>
    <w:rsid w:val="009A3D0E"/>
    <w:pPr>
      <w:shd w:val="clear" w:color="auto" w:fill="D9D9D9"/>
      <w:tabs>
        <w:tab w:val="left" w:pos="992"/>
      </w:tabs>
      <w:ind w:left="119" w:right="119"/>
    </w:pPr>
    <w:rPr>
      <w:sz w:val="20"/>
    </w:rPr>
  </w:style>
  <w:style w:type="paragraph" w:customStyle="1" w:styleId="MarginIcons">
    <w:name w:val="Margin Icons"/>
    <w:basedOn w:val="BodyText"/>
    <w:rsid w:val="009A3D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3D0E"/>
    <w:rPr>
      <w:rFonts w:ascii="Courier New" w:hAnsi="Courier New"/>
    </w:rPr>
  </w:style>
  <w:style w:type="paragraph" w:customStyle="1" w:styleId="NoteBullet">
    <w:name w:val="Note Bullet"/>
    <w:basedOn w:val="Note"/>
    <w:rsid w:val="009A3D0E"/>
    <w:pPr>
      <w:tabs>
        <w:tab w:val="clear" w:pos="680"/>
      </w:tabs>
      <w:spacing w:before="60" w:after="60"/>
    </w:pPr>
  </w:style>
  <w:style w:type="paragraph" w:customStyle="1" w:styleId="SubHeading2">
    <w:name w:val="SubHeading2"/>
    <w:basedOn w:val="HeadingBase"/>
    <w:rsid w:val="009A3D0E"/>
    <w:pPr>
      <w:spacing w:before="240" w:after="60"/>
    </w:pPr>
    <w:rPr>
      <w:sz w:val="20"/>
    </w:rPr>
  </w:style>
  <w:style w:type="paragraph" w:customStyle="1" w:styleId="SubHeading1">
    <w:name w:val="SubHeading1"/>
    <w:basedOn w:val="HeadingBase"/>
    <w:rsid w:val="009A3D0E"/>
    <w:pPr>
      <w:spacing w:before="240" w:after="60"/>
    </w:pPr>
    <w:rPr>
      <w:color w:val="918585"/>
      <w:sz w:val="22"/>
    </w:rPr>
  </w:style>
  <w:style w:type="paragraph" w:customStyle="1" w:styleId="SideHeading">
    <w:name w:val="Side Heading"/>
    <w:basedOn w:val="HeadingBase"/>
    <w:rsid w:val="009A3D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3D0E"/>
    <w:pPr>
      <w:numPr>
        <w:numId w:val="10"/>
      </w:numPr>
    </w:pPr>
  </w:style>
  <w:style w:type="paragraph" w:styleId="PlainText">
    <w:name w:val="Plain Text"/>
    <w:basedOn w:val="Normal"/>
    <w:link w:val="PlainTextChar"/>
    <w:rsid w:val="009A3D0E"/>
    <w:rPr>
      <w:sz w:val="20"/>
    </w:rPr>
  </w:style>
  <w:style w:type="character" w:customStyle="1" w:styleId="PlainTextChar">
    <w:name w:val="Plain Text Char"/>
    <w:basedOn w:val="DefaultParagraphFont"/>
    <w:link w:val="PlainText"/>
    <w:rsid w:val="009A3D0E"/>
    <w:rPr>
      <w:rFonts w:ascii="Courier New" w:eastAsia="Times New Roman" w:hAnsi="Courier New" w:cs="Times New Roman"/>
      <w:sz w:val="20"/>
      <w:szCs w:val="20"/>
      <w:lang w:eastAsia="en-US"/>
    </w:rPr>
  </w:style>
  <w:style w:type="character" w:customStyle="1" w:styleId="MenuOption">
    <w:name w:val="Menu Option"/>
    <w:basedOn w:val="DefaultParagraphFont"/>
    <w:rsid w:val="009A3D0E"/>
    <w:rPr>
      <w:b/>
      <w:smallCaps/>
    </w:rPr>
  </w:style>
  <w:style w:type="paragraph" w:customStyle="1" w:styleId="TableListNumber">
    <w:name w:val="Table List Number"/>
    <w:basedOn w:val="ListNumber"/>
    <w:rsid w:val="009A3D0E"/>
    <w:pPr>
      <w:numPr>
        <w:numId w:val="0"/>
      </w:numPr>
    </w:pPr>
  </w:style>
  <w:style w:type="paragraph" w:styleId="TOC4">
    <w:name w:val="toc 4"/>
    <w:basedOn w:val="TOCBase"/>
    <w:next w:val="Normal"/>
    <w:semiHidden/>
    <w:rsid w:val="009A3D0E"/>
    <w:pPr>
      <w:tabs>
        <w:tab w:val="right" w:leader="dot" w:pos="9071"/>
      </w:tabs>
      <w:ind w:left="1701"/>
    </w:pPr>
  </w:style>
  <w:style w:type="paragraph" w:customStyle="1" w:styleId="ListAlpha">
    <w:name w:val="List Alpha"/>
    <w:basedOn w:val="List"/>
    <w:rsid w:val="009A3D0E"/>
    <w:pPr>
      <w:numPr>
        <w:numId w:val="8"/>
      </w:numPr>
    </w:pPr>
  </w:style>
  <w:style w:type="paragraph" w:customStyle="1" w:styleId="ListAlpha2">
    <w:name w:val="List Alpha 2"/>
    <w:basedOn w:val="List2"/>
    <w:rsid w:val="009A3D0E"/>
    <w:pPr>
      <w:numPr>
        <w:numId w:val="7"/>
      </w:numPr>
    </w:pPr>
  </w:style>
  <w:style w:type="paragraph" w:styleId="List2">
    <w:name w:val="List 2"/>
    <w:basedOn w:val="BodyText"/>
    <w:rsid w:val="009A3D0E"/>
    <w:pPr>
      <w:tabs>
        <w:tab w:val="left" w:pos="680"/>
      </w:tabs>
      <w:spacing w:before="60" w:after="60"/>
      <w:ind w:left="680" w:hanging="340"/>
    </w:pPr>
  </w:style>
  <w:style w:type="paragraph" w:styleId="List3">
    <w:name w:val="List 3"/>
    <w:basedOn w:val="BodyText"/>
    <w:rsid w:val="009A3D0E"/>
    <w:pPr>
      <w:tabs>
        <w:tab w:val="left" w:pos="1021"/>
      </w:tabs>
      <w:spacing w:before="60" w:after="60"/>
      <w:ind w:left="1020" w:hanging="340"/>
    </w:pPr>
  </w:style>
  <w:style w:type="paragraph" w:styleId="List4">
    <w:name w:val="List 4"/>
    <w:basedOn w:val="BodyText"/>
    <w:rsid w:val="009A3D0E"/>
    <w:pPr>
      <w:tabs>
        <w:tab w:val="left" w:pos="1361"/>
      </w:tabs>
      <w:spacing w:before="60" w:after="60"/>
      <w:ind w:left="1361" w:hanging="340"/>
    </w:pPr>
  </w:style>
  <w:style w:type="paragraph" w:styleId="List5">
    <w:name w:val="List 5"/>
    <w:basedOn w:val="BodyText"/>
    <w:rsid w:val="009A3D0E"/>
    <w:pPr>
      <w:tabs>
        <w:tab w:val="left" w:pos="1701"/>
      </w:tabs>
      <w:spacing w:before="60" w:after="60"/>
      <w:ind w:left="1701" w:hanging="340"/>
    </w:pPr>
  </w:style>
  <w:style w:type="paragraph" w:styleId="ListBullet3">
    <w:name w:val="List Bullet 3"/>
    <w:basedOn w:val="List3"/>
    <w:rsid w:val="009A3D0E"/>
    <w:pPr>
      <w:numPr>
        <w:numId w:val="13"/>
      </w:numPr>
      <w:tabs>
        <w:tab w:val="clear" w:pos="1021"/>
      </w:tabs>
      <w:ind w:left="1037" w:hanging="357"/>
    </w:pPr>
  </w:style>
  <w:style w:type="paragraph" w:styleId="ListBullet4">
    <w:name w:val="List Bullet 4"/>
    <w:basedOn w:val="List4"/>
    <w:rsid w:val="009A3D0E"/>
    <w:pPr>
      <w:numPr>
        <w:numId w:val="2"/>
      </w:numPr>
      <w:tabs>
        <w:tab w:val="clear" w:pos="1361"/>
      </w:tabs>
    </w:pPr>
  </w:style>
  <w:style w:type="paragraph" w:styleId="ListBullet5">
    <w:name w:val="List Bullet 5"/>
    <w:basedOn w:val="List5"/>
    <w:rsid w:val="009A3D0E"/>
    <w:pPr>
      <w:numPr>
        <w:numId w:val="3"/>
      </w:numPr>
    </w:pPr>
  </w:style>
  <w:style w:type="paragraph" w:styleId="ListContinue2">
    <w:name w:val="List Continue 2"/>
    <w:basedOn w:val="List2"/>
    <w:rsid w:val="009A3D0E"/>
    <w:pPr>
      <w:ind w:firstLine="0"/>
    </w:pPr>
  </w:style>
  <w:style w:type="paragraph" w:styleId="ListContinue3">
    <w:name w:val="List Continue 3"/>
    <w:basedOn w:val="List3"/>
    <w:rsid w:val="009A3D0E"/>
    <w:pPr>
      <w:ind w:left="1021" w:firstLine="0"/>
    </w:pPr>
  </w:style>
  <w:style w:type="paragraph" w:styleId="ListContinue4">
    <w:name w:val="List Continue 4"/>
    <w:basedOn w:val="List4"/>
    <w:rsid w:val="009A3D0E"/>
    <w:pPr>
      <w:ind w:firstLine="0"/>
    </w:pPr>
  </w:style>
  <w:style w:type="paragraph" w:styleId="ListContinue5">
    <w:name w:val="List Continue 5"/>
    <w:basedOn w:val="List5"/>
    <w:rsid w:val="009A3D0E"/>
    <w:pPr>
      <w:ind w:firstLine="0"/>
    </w:pPr>
  </w:style>
  <w:style w:type="paragraph" w:styleId="ListNumber3">
    <w:name w:val="List Number 3"/>
    <w:basedOn w:val="List3"/>
    <w:rsid w:val="009A3D0E"/>
    <w:pPr>
      <w:numPr>
        <w:numId w:val="4"/>
      </w:numPr>
    </w:pPr>
  </w:style>
  <w:style w:type="paragraph" w:styleId="ListNumber4">
    <w:name w:val="List Number 4"/>
    <w:basedOn w:val="List4"/>
    <w:rsid w:val="009A3D0E"/>
    <w:pPr>
      <w:numPr>
        <w:numId w:val="5"/>
      </w:numPr>
    </w:pPr>
  </w:style>
  <w:style w:type="paragraph" w:styleId="ListNumber5">
    <w:name w:val="List Number 5"/>
    <w:basedOn w:val="List5"/>
    <w:rsid w:val="009A3D0E"/>
    <w:pPr>
      <w:numPr>
        <w:numId w:val="6"/>
      </w:numPr>
    </w:pPr>
  </w:style>
  <w:style w:type="paragraph" w:styleId="BlockText">
    <w:name w:val="Block Text"/>
    <w:basedOn w:val="Normal"/>
    <w:rsid w:val="009A3D0E"/>
    <w:pPr>
      <w:spacing w:after="120"/>
      <w:ind w:left="1440" w:right="1440"/>
    </w:pPr>
  </w:style>
  <w:style w:type="character" w:customStyle="1" w:styleId="Subscript">
    <w:name w:val="Subscript"/>
    <w:basedOn w:val="DefaultParagraphFont"/>
    <w:rsid w:val="009A3D0E"/>
    <w:rPr>
      <w:sz w:val="16"/>
      <w:vertAlign w:val="subscript"/>
    </w:rPr>
  </w:style>
  <w:style w:type="character" w:customStyle="1" w:styleId="Superscript">
    <w:name w:val="Superscript"/>
    <w:basedOn w:val="DefaultParagraphFont"/>
    <w:rsid w:val="009A3D0E"/>
    <w:rPr>
      <w:sz w:val="16"/>
      <w:vertAlign w:val="superscript"/>
    </w:rPr>
  </w:style>
  <w:style w:type="character" w:customStyle="1" w:styleId="Symbols">
    <w:name w:val="Symbols"/>
    <w:basedOn w:val="DefaultParagraphFont"/>
    <w:rsid w:val="009A3D0E"/>
    <w:rPr>
      <w:rFonts w:ascii="Symbol" w:hAnsi="Symbol"/>
    </w:rPr>
  </w:style>
  <w:style w:type="character" w:customStyle="1" w:styleId="MenuOptions">
    <w:name w:val="Menu Options"/>
    <w:basedOn w:val="DefaultParagraphFont"/>
    <w:rsid w:val="009A3D0E"/>
    <w:rPr>
      <w:rFonts w:ascii="Arial Narrow" w:hAnsi="Arial Narrow"/>
      <w:smallCaps/>
    </w:rPr>
  </w:style>
  <w:style w:type="character" w:customStyle="1" w:styleId="Buttons">
    <w:name w:val="Buttons"/>
    <w:basedOn w:val="DefaultParagraphFont"/>
    <w:rsid w:val="009A3D0E"/>
    <w:rPr>
      <w:b/>
    </w:rPr>
  </w:style>
  <w:style w:type="character" w:customStyle="1" w:styleId="Underlined">
    <w:name w:val="Underlined"/>
    <w:basedOn w:val="DefaultParagraphFont"/>
    <w:rsid w:val="009A3D0E"/>
    <w:rPr>
      <w:u w:val="single"/>
    </w:rPr>
  </w:style>
  <w:style w:type="paragraph" w:customStyle="1" w:styleId="TableBodyTextRight">
    <w:name w:val="Table Body Text Right"/>
    <w:basedOn w:val="TableBodyText"/>
    <w:rsid w:val="009A3D0E"/>
    <w:pPr>
      <w:widowControl w:val="0"/>
      <w:autoSpaceDE w:val="0"/>
      <w:autoSpaceDN w:val="0"/>
      <w:adjustRightInd w:val="0"/>
      <w:jc w:val="right"/>
    </w:pPr>
    <w:rPr>
      <w:rFonts w:cs="Arial"/>
      <w:szCs w:val="18"/>
    </w:rPr>
  </w:style>
  <w:style w:type="paragraph" w:customStyle="1" w:styleId="CopyrightText">
    <w:name w:val="Copyright Text"/>
    <w:basedOn w:val="BodyText"/>
    <w:rsid w:val="009A3D0E"/>
    <w:rPr>
      <w:sz w:val="18"/>
    </w:rPr>
  </w:style>
  <w:style w:type="paragraph" w:customStyle="1" w:styleId="BodySmallRight">
    <w:name w:val="Body Small Right"/>
    <w:basedOn w:val="BodyTextRight"/>
    <w:rsid w:val="009A3D0E"/>
    <w:rPr>
      <w:sz w:val="18"/>
      <w:szCs w:val="18"/>
    </w:rPr>
  </w:style>
  <w:style w:type="paragraph" w:customStyle="1" w:styleId="MarginEdition">
    <w:name w:val="Margin Edition"/>
    <w:basedOn w:val="MarginNote"/>
    <w:rsid w:val="009A3D0E"/>
    <w:pPr>
      <w:spacing w:before="0" w:after="0"/>
    </w:pPr>
    <w:rPr>
      <w:rFonts w:ascii="Times New Roman" w:hAnsi="Times New Roman"/>
      <w:color w:val="999999"/>
    </w:rPr>
  </w:style>
  <w:style w:type="paragraph" w:customStyle="1" w:styleId="Spacer">
    <w:name w:val="Spacer"/>
    <w:basedOn w:val="Normal"/>
    <w:rsid w:val="009A3D0E"/>
    <w:rPr>
      <w:sz w:val="2"/>
      <w:szCs w:val="2"/>
    </w:rPr>
  </w:style>
  <w:style w:type="character" w:customStyle="1" w:styleId="Small">
    <w:name w:val="Small"/>
    <w:basedOn w:val="DefaultParagraphFont"/>
    <w:rsid w:val="009A3D0E"/>
    <w:rPr>
      <w:sz w:val="16"/>
    </w:rPr>
  </w:style>
  <w:style w:type="paragraph" w:customStyle="1" w:styleId="WideTable">
    <w:name w:val="Wide Table"/>
    <w:basedOn w:val="Normal"/>
    <w:rsid w:val="009A3D0E"/>
    <w:pPr>
      <w:ind w:left="-1418"/>
    </w:pPr>
    <w:rPr>
      <w:sz w:val="2"/>
      <w:szCs w:val="2"/>
    </w:rPr>
  </w:style>
  <w:style w:type="character" w:styleId="PageNumber">
    <w:name w:val="page number"/>
    <w:basedOn w:val="DefaultParagraphFont"/>
    <w:rsid w:val="009A3D0E"/>
  </w:style>
  <w:style w:type="paragraph" w:styleId="Quote">
    <w:name w:val="Quote"/>
    <w:basedOn w:val="Heading1"/>
    <w:link w:val="QuoteChar"/>
    <w:qFormat/>
    <w:rsid w:val="009A3D0E"/>
    <w:rPr>
      <w:b w:val="0"/>
      <w:sz w:val="72"/>
      <w:szCs w:val="72"/>
      <w:lang w:val="en-NZ"/>
    </w:rPr>
  </w:style>
  <w:style w:type="character" w:customStyle="1" w:styleId="QuoteChar">
    <w:name w:val="Quote Char"/>
    <w:basedOn w:val="DefaultParagraphFont"/>
    <w:link w:val="Quote"/>
    <w:rsid w:val="009A3D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3D0E"/>
    <w:pPr>
      <w:pageBreakBefore/>
    </w:pPr>
  </w:style>
  <w:style w:type="paragraph" w:customStyle="1" w:styleId="Border">
    <w:name w:val="Border"/>
    <w:basedOn w:val="Normal"/>
    <w:qFormat/>
    <w:rsid w:val="009A3D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3D0E"/>
    <w:rPr>
      <w:b/>
      <w:bCs/>
      <w:i/>
      <w:iCs/>
      <w:color w:val="auto"/>
    </w:rPr>
  </w:style>
  <w:style w:type="paragraph" w:styleId="IntenseQuote">
    <w:name w:val="Intense Quote"/>
    <w:basedOn w:val="Normal"/>
    <w:next w:val="Normal"/>
    <w:link w:val="IntenseQuoteChar"/>
    <w:uiPriority w:val="30"/>
    <w:qFormat/>
    <w:rsid w:val="009A3D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3D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3D0E"/>
    <w:rPr>
      <w:smallCaps/>
      <w:color w:val="auto"/>
      <w:u w:val="single"/>
    </w:rPr>
  </w:style>
  <w:style w:type="character" w:styleId="IntenseReference">
    <w:name w:val="Intense Reference"/>
    <w:basedOn w:val="DefaultParagraphFont"/>
    <w:uiPriority w:val="32"/>
    <w:qFormat/>
    <w:rsid w:val="009A3D0E"/>
    <w:rPr>
      <w:b/>
      <w:bCs/>
      <w:smallCaps/>
      <w:color w:val="auto"/>
      <w:spacing w:val="5"/>
      <w:u w:val="single"/>
    </w:rPr>
  </w:style>
  <w:style w:type="paragraph" w:customStyle="1" w:styleId="2ColumnHeading">
    <w:name w:val="2Column Heading"/>
    <w:basedOn w:val="BodyText"/>
    <w:qFormat/>
    <w:rsid w:val="009A3D0E"/>
    <w:pPr>
      <w:spacing w:after="60"/>
      <w:ind w:left="-2268"/>
    </w:pPr>
    <w:rPr>
      <w:b/>
    </w:rPr>
  </w:style>
  <w:style w:type="paragraph" w:customStyle="1" w:styleId="Heading1TOC">
    <w:name w:val="Heading1 TOC"/>
    <w:basedOn w:val="Normal"/>
    <w:qFormat/>
    <w:rsid w:val="009A3D0E"/>
    <w:pPr>
      <w:spacing w:before="240" w:after="120"/>
    </w:pPr>
    <w:rPr>
      <w:rFonts w:ascii="Times New Roman" w:hAnsi="Times New Roman"/>
      <w:b/>
      <w:sz w:val="32"/>
    </w:rPr>
  </w:style>
  <w:style w:type="paragraph" w:customStyle="1" w:styleId="Heading2TOC">
    <w:name w:val="Heading2 TOC"/>
    <w:basedOn w:val="Normal"/>
    <w:qFormat/>
    <w:rsid w:val="009A3D0E"/>
    <w:pPr>
      <w:spacing w:before="240" w:after="60"/>
    </w:pPr>
    <w:rPr>
      <w:rFonts w:ascii="Times New Roman" w:hAnsi="Times New Roman"/>
      <w:b/>
      <w:sz w:val="28"/>
    </w:rPr>
  </w:style>
  <w:style w:type="character" w:customStyle="1" w:styleId="Underline">
    <w:name w:val="Underline"/>
    <w:basedOn w:val="DefaultParagraphFont"/>
    <w:qFormat/>
    <w:rsid w:val="009A3D0E"/>
    <w:rPr>
      <w:u w:val="single"/>
    </w:rPr>
  </w:style>
  <w:style w:type="character" w:customStyle="1" w:styleId="BoldandItalics">
    <w:name w:val="Bold and Italics"/>
    <w:qFormat/>
    <w:rsid w:val="009A3D0E"/>
    <w:rPr>
      <w:b/>
      <w:i/>
      <w:u w:val="none"/>
    </w:rPr>
  </w:style>
  <w:style w:type="paragraph" w:styleId="BalloonText">
    <w:name w:val="Balloon Text"/>
    <w:basedOn w:val="Normal"/>
    <w:link w:val="BalloonTextChar"/>
    <w:rsid w:val="009A3D0E"/>
    <w:rPr>
      <w:rFonts w:ascii="Tahoma" w:hAnsi="Tahoma" w:cs="Tahoma"/>
      <w:sz w:val="16"/>
      <w:szCs w:val="16"/>
    </w:rPr>
  </w:style>
  <w:style w:type="character" w:customStyle="1" w:styleId="BalloonTextChar">
    <w:name w:val="Balloon Text Char"/>
    <w:basedOn w:val="DefaultParagraphFont"/>
    <w:link w:val="BalloonText"/>
    <w:rsid w:val="009A3D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3D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3D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3D0E"/>
    <w:rPr>
      <w:b/>
      <w:color w:val="660033"/>
      <w:spacing w:val="0"/>
    </w:rPr>
  </w:style>
  <w:style w:type="paragraph" w:customStyle="1" w:styleId="Nameditemlist">
    <w:name w:val="Named item list"/>
    <w:basedOn w:val="BodyText"/>
    <w:qFormat/>
    <w:rsid w:val="009A3D0E"/>
    <w:pPr>
      <w:tabs>
        <w:tab w:val="left" w:pos="2835"/>
      </w:tabs>
      <w:ind w:left="2835" w:hanging="2835"/>
    </w:pPr>
  </w:style>
  <w:style w:type="paragraph" w:customStyle="1" w:styleId="BodyTextnopadding">
    <w:name w:val="Body Text no padding"/>
    <w:basedOn w:val="BodyText"/>
    <w:qFormat/>
    <w:rsid w:val="009A3D0E"/>
    <w:pPr>
      <w:spacing w:before="0" w:after="0"/>
    </w:pPr>
  </w:style>
  <w:style w:type="paragraph" w:customStyle="1" w:styleId="BodyTextBold">
    <w:name w:val="Body Text Bold"/>
    <w:basedOn w:val="BodyText"/>
    <w:qFormat/>
    <w:rsid w:val="009A3D0E"/>
    <w:rPr>
      <w:b/>
    </w:rPr>
  </w:style>
  <w:style w:type="character" w:styleId="Hyperlink">
    <w:name w:val="Hyperlink"/>
    <w:basedOn w:val="DefaultParagraphFont"/>
    <w:uiPriority w:val="99"/>
    <w:unhideWhenUsed/>
    <w:rsid w:val="00F94F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1080</Words>
  <Characters>7263</Characters>
  <Application>Microsoft Office Word</Application>
  <DocSecurity>0</DocSecurity>
  <Lines>345</Lines>
  <Paragraphs>166</Paragraphs>
  <ScaleCrop>false</ScaleCrop>
  <Company>Author-it Software Corporation Ltd.</Company>
  <LinksUpToDate>false</LinksUpToDate>
  <CharactersWithSpaces>8177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MARB038 Maintain and repair marine electrical and electronic equipment</dc:title>
  <dc:subject>Approved</dc:subject>
  <dc:creator>Industry Skills Australia</dc:creator>
  <cp:keywords>Release: 1</cp:keywords>
  <dc:description>Review Date: 12 April 2008</dc:description>
  <cp:lastModifiedBy>HSD_TPCMSd.prod</cp:lastModifiedBy>
  <cp:revision>3</cp:revision>
  <dcterms:created xsi:type="dcterms:W3CDTF">2024-11-22T08:13:00Z</dcterms:created>
  <dcterms:modified xsi:type="dcterms:W3CDTF">2024-11-22T08:13:00Z</dcterms:modified>
</cp:coreProperties>
</file>