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15E" w:rsidP="00403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MARB032 Undertake basic maintenance of electrical systems</w:t>
      </w:r>
      <w:r>
        <w:fldChar w:fldCharType="end"/>
      </w:r>
    </w:p>
    <w:p w:rsidR="0040315E" w:rsidP="0040315E">
      <w:pPr>
        <w:pStyle w:val="Version"/>
        <w:sectPr w:rsidSect="003264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645E" w:rsidP="0032645E">
      <w:pPr>
        <w:pStyle w:val="SuperHeading"/>
      </w:pPr>
      <w:r w:rsidRPr="0032645E">
        <w:t>Assessment Requirements for MARB032 Undertake basic maintenance of electrical systems</w:t>
      </w:r>
    </w:p>
    <w:p w:rsidR="00000000" w:rsidRPr="0032645E" w:rsidP="0032645E">
      <w:pPr>
        <w:pStyle w:val="Heading1"/>
      </w:pPr>
      <w:bookmarkStart w:id="1" w:name="O_1284628"/>
      <w:bookmarkEnd w:id="1"/>
      <w:r w:rsidRPr="003264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45E" w:rsidP="0032645E">
            <w:pPr>
              <w:pStyle w:val="BodyText"/>
            </w:pPr>
            <w:r w:rsidRPr="0032645E">
              <w:rPr>
                <w:rStyle w:val="SpecialBold"/>
              </w:rPr>
              <w:t>Release 2</w:t>
            </w:r>
            <w:r w:rsidRPr="0032645E">
              <w:t>. This is the second release of this unit of competency in the MAR Maritime Training Package.</w:t>
            </w:r>
          </w:p>
          <w:p w:rsidR="00000000" w:rsidRPr="0032645E" w:rsidP="0032645E">
            <w:pPr>
              <w:pStyle w:val="ListBullet"/>
            </w:pPr>
            <w:r w:rsidRPr="0032645E">
              <w:t>Minor statement changes in unit Application</w:t>
            </w:r>
          </w:p>
          <w:p w:rsidR="00000000" w:rsidP="0032645E">
            <w:pPr>
              <w:pStyle w:val="ListBullet"/>
              <w:rPr>
                <w:lang w:val="en-NZ"/>
              </w:rPr>
            </w:pPr>
            <w:r w:rsidRPr="0032645E">
              <w:t>Minor statement changes in Assessment Conditions.</w:t>
            </w:r>
          </w:p>
        </w:tc>
      </w:tr>
      <w:tr w:rsidTr="0032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45E" w:rsidP="0032645E">
            <w:pPr>
              <w:pStyle w:val="BodyText"/>
            </w:pPr>
            <w:r w:rsidRPr="0032645E">
              <w:rPr>
                <w:rStyle w:val="SpecialBold"/>
              </w:rPr>
              <w:t>Release 1</w:t>
            </w:r>
            <w:r w:rsidRPr="0032645E">
              <w:t>. New unit of competency. Licensing/regulatory information has been incorporated in accordance with Regulatory requirements. Assessment Requirements hav</w:t>
            </w:r>
            <w:r w:rsidRPr="0032645E">
              <w:t>e been strengthened in accordance with Regulatory requirements.</w:t>
            </w:r>
          </w:p>
        </w:tc>
      </w:tr>
    </w:tbl>
    <w:p w:rsidR="00000000" w:rsidRPr="0032645E" w:rsidP="0032645E">
      <w:pPr>
        <w:pStyle w:val="NoPaddingFontSize1"/>
      </w:pPr>
    </w:p>
    <w:p w:rsidR="00000000" w:rsidRPr="0032645E" w:rsidP="0032645E">
      <w:pPr>
        <w:pStyle w:val="AllowPageBreak"/>
      </w:pPr>
    </w:p>
    <w:p w:rsidR="00000000" w:rsidRPr="0032645E" w:rsidP="0032645E">
      <w:pPr>
        <w:pStyle w:val="Heading1"/>
      </w:pPr>
      <w:bookmarkStart w:id="2" w:name="O_1284627"/>
      <w:bookmarkEnd w:id="2"/>
      <w:r w:rsidRPr="003264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45E" w:rsidP="0032645E">
            <w:pPr>
              <w:pStyle w:val="BodyText"/>
            </w:pPr>
            <w:r w:rsidRPr="0032645E">
              <w:t>Evidence required to demonstrate competence in this unit must be relevant to and satisfy all of the requirements of the elements and performance crite</w:t>
            </w:r>
            <w:r w:rsidRPr="0032645E">
              <w:t>ria on at least one occasion and include:</w:t>
            </w:r>
          </w:p>
          <w:p w:rsidR="00000000" w:rsidRPr="0032645E" w:rsidP="0032645E">
            <w:pPr>
              <w:pStyle w:val="ListBullet"/>
            </w:pPr>
            <w:r w:rsidRPr="0032645E">
              <w:t>applying safety requirements throughout the work sequence, including the use of personal protective equipment (PPE)</w:t>
            </w:r>
          </w:p>
          <w:p w:rsidR="00000000" w:rsidRPr="0032645E" w:rsidP="0032645E">
            <w:pPr>
              <w:pStyle w:val="ListBullet"/>
            </w:pPr>
            <w:r w:rsidRPr="0032645E">
              <w:t>carrying out maintenance tasks, including:</w:t>
            </w:r>
          </w:p>
          <w:p w:rsidR="00000000" w:rsidRPr="0032645E" w:rsidP="0032645E">
            <w:pPr>
              <w:pStyle w:val="ListBullet2"/>
            </w:pPr>
            <w:r w:rsidRPr="0032645E">
              <w:t>battery maintenance</w:t>
            </w:r>
          </w:p>
          <w:p w:rsidR="00000000" w:rsidRPr="0032645E" w:rsidP="0032645E">
            <w:pPr>
              <w:pStyle w:val="ListBullet2"/>
            </w:pPr>
            <w:r w:rsidRPr="0032645E">
              <w:t>testing:</w:t>
            </w:r>
          </w:p>
          <w:p w:rsidR="00000000" w:rsidRPr="0032645E" w:rsidP="0032645E">
            <w:pPr>
              <w:pStyle w:val="ListBullet3"/>
            </w:pPr>
            <w:r w:rsidRPr="0032645E">
              <w:t>alarm systems</w:t>
            </w:r>
          </w:p>
          <w:p w:rsidR="00000000" w:rsidRPr="0032645E" w:rsidP="0032645E">
            <w:pPr>
              <w:pStyle w:val="ListBullet3"/>
            </w:pPr>
            <w:r w:rsidRPr="0032645E">
              <w:t>emergency generator</w:t>
            </w:r>
          </w:p>
          <w:p w:rsidR="00000000" w:rsidRPr="0032645E" w:rsidP="0032645E">
            <w:pPr>
              <w:pStyle w:val="ListBullet3"/>
            </w:pPr>
            <w:r w:rsidRPr="0032645E">
              <w:t>power and lighting systems</w:t>
            </w:r>
          </w:p>
          <w:p w:rsidR="00000000" w:rsidRPr="0032645E" w:rsidP="0032645E">
            <w:pPr>
              <w:pStyle w:val="ListBullet"/>
            </w:pPr>
            <w:r w:rsidRPr="0032645E">
              <w:t>carrying out simple maintenance of electrical systems in the event of:</w:t>
            </w:r>
          </w:p>
          <w:p w:rsidR="00000000" w:rsidRPr="0032645E" w:rsidP="0032645E">
            <w:pPr>
              <w:pStyle w:val="ListBullet2"/>
            </w:pPr>
            <w:r w:rsidRPr="0032645E">
              <w:t>blown fuses or open circuit breakers</w:t>
            </w:r>
          </w:p>
          <w:p w:rsidR="00000000" w:rsidRPr="0032645E" w:rsidP="0032645E">
            <w:pPr>
              <w:pStyle w:val="ListBullet2"/>
            </w:pPr>
            <w:r w:rsidRPr="0032645E">
              <w:t xml:space="preserve">earthing </w:t>
            </w:r>
          </w:p>
          <w:p w:rsidR="00000000" w:rsidRPr="0032645E" w:rsidP="0032645E">
            <w:pPr>
              <w:pStyle w:val="ListBullet2"/>
            </w:pPr>
            <w:r w:rsidRPr="0032645E">
              <w:t>failure of electricity generating systems</w:t>
            </w:r>
          </w:p>
          <w:p w:rsidR="00000000" w:rsidRPr="0032645E" w:rsidP="0032645E">
            <w:pPr>
              <w:pStyle w:val="ListBullet2"/>
            </w:pPr>
            <w:r w:rsidRPr="0032645E">
              <w:t>motor brake failure to release</w:t>
            </w:r>
          </w:p>
          <w:p w:rsidR="00000000" w:rsidRPr="0032645E" w:rsidP="0032645E">
            <w:pPr>
              <w:pStyle w:val="ListBullet2"/>
            </w:pPr>
            <w:r w:rsidRPr="0032645E">
              <w:t>motor failure</w:t>
            </w:r>
          </w:p>
          <w:p w:rsidR="00000000" w:rsidRPr="0032645E" w:rsidP="0032645E">
            <w:pPr>
              <w:pStyle w:val="ListBullet2"/>
            </w:pPr>
            <w:r w:rsidRPr="0032645E">
              <w:t>shorting</w:t>
            </w:r>
          </w:p>
          <w:p w:rsidR="00000000" w:rsidRPr="0032645E" w:rsidP="0032645E">
            <w:pPr>
              <w:pStyle w:val="ListBullet"/>
            </w:pPr>
            <w:r w:rsidRPr="0032645E">
              <w:t>implementing safe and environmentally responsible work practices</w:t>
            </w:r>
          </w:p>
          <w:p w:rsidR="00000000" w:rsidRPr="0032645E" w:rsidP="0032645E">
            <w:pPr>
              <w:pStyle w:val="ListBullet"/>
            </w:pPr>
            <w:r w:rsidRPr="0032645E">
              <w:t>performing isolation, lock out and tag out procedures</w:t>
            </w:r>
          </w:p>
          <w:p w:rsidR="00000000" w:rsidRPr="0032645E" w:rsidP="0032645E">
            <w:pPr>
              <w:pStyle w:val="ListBullet"/>
            </w:pPr>
            <w:r w:rsidRPr="0032645E">
              <w:t>planning maintenance activities according to technical, legislative, safety and procedural specifications.</w:t>
            </w:r>
          </w:p>
        </w:tc>
      </w:tr>
    </w:tbl>
    <w:p w:rsidR="00000000" w:rsidRPr="0032645E" w:rsidP="0032645E">
      <w:pPr>
        <w:pStyle w:val="NoPaddingFontSize1"/>
      </w:pPr>
    </w:p>
    <w:p w:rsidR="00000000" w:rsidRPr="0032645E" w:rsidP="0032645E">
      <w:pPr>
        <w:pStyle w:val="AllowPageBreak"/>
      </w:pPr>
    </w:p>
    <w:p w:rsidR="00000000" w:rsidRPr="0032645E" w:rsidP="0032645E">
      <w:pPr>
        <w:pStyle w:val="Heading1"/>
      </w:pPr>
      <w:bookmarkStart w:id="3" w:name="O_1284626"/>
      <w:bookmarkEnd w:id="3"/>
      <w:r w:rsidRPr="003264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45E" w:rsidP="0032645E">
            <w:pPr>
              <w:pStyle w:val="BodyText"/>
            </w:pPr>
            <w:r w:rsidRPr="0032645E">
              <w:t xml:space="preserve">Evidence required to demonstrate competence in this unit must be relevant to and satisfy all of </w:t>
            </w:r>
            <w:r w:rsidRPr="0032645E">
              <w:t>the requirements of the elements and performance criteria and include knowledge of:</w:t>
            </w:r>
          </w:p>
          <w:p w:rsidR="00000000" w:rsidRPr="0032645E" w:rsidP="0032645E">
            <w:pPr>
              <w:pStyle w:val="ListBullet"/>
            </w:pPr>
            <w:r w:rsidRPr="0032645E">
              <w:t>battery:</w:t>
            </w:r>
          </w:p>
          <w:p w:rsidR="00000000" w:rsidRPr="0032645E" w:rsidP="0032645E">
            <w:pPr>
              <w:pStyle w:val="ListBullet2"/>
            </w:pPr>
            <w:r w:rsidRPr="0032645E">
              <w:t>charging systems</w:t>
            </w:r>
          </w:p>
          <w:p w:rsidR="00000000" w:rsidRPr="0032645E" w:rsidP="0032645E">
            <w:pPr>
              <w:pStyle w:val="ListBullet2"/>
            </w:pPr>
            <w:r w:rsidRPr="0032645E">
              <w:t>maintenance</w:t>
            </w:r>
          </w:p>
          <w:p w:rsidR="00000000" w:rsidRPr="0032645E" w:rsidP="0032645E">
            <w:pPr>
              <w:pStyle w:val="ListBullet2"/>
            </w:pPr>
            <w:r w:rsidRPr="0032645E">
              <w:t>operation</w:t>
            </w:r>
          </w:p>
          <w:p w:rsidR="00000000" w:rsidRPr="0032645E" w:rsidP="0032645E">
            <w:pPr>
              <w:pStyle w:val="ListBullet2"/>
            </w:pPr>
            <w:r w:rsidRPr="0032645E">
              <w:t>types and associated hazards</w:t>
            </w:r>
          </w:p>
          <w:p w:rsidR="00000000" w:rsidRPr="0032645E" w:rsidP="0032645E">
            <w:pPr>
              <w:pStyle w:val="ListBullet"/>
            </w:pPr>
            <w:r w:rsidRPr="0032645E">
              <w:t>connection to shore power</w:t>
            </w:r>
          </w:p>
          <w:p w:rsidR="00000000" w:rsidRPr="0032645E" w:rsidP="0032645E">
            <w:pPr>
              <w:pStyle w:val="ListBullet"/>
            </w:pPr>
            <w:r w:rsidRPr="0032645E">
              <w:t>earth indicating devices</w:t>
            </w:r>
          </w:p>
          <w:p w:rsidR="00000000" w:rsidRPr="0032645E" w:rsidP="0032645E">
            <w:pPr>
              <w:pStyle w:val="ListBullet"/>
            </w:pPr>
            <w:r w:rsidRPr="0032645E">
              <w:t>electrical distribution systems</w:t>
            </w:r>
          </w:p>
          <w:p w:rsidR="00000000" w:rsidRPr="0032645E" w:rsidP="0032645E">
            <w:pPr>
              <w:pStyle w:val="ListBullet"/>
            </w:pPr>
            <w:r w:rsidRPr="0032645E">
              <w:t>isolation of electrical circuits</w:t>
            </w:r>
          </w:p>
          <w:p w:rsidR="00000000" w:rsidRPr="0032645E" w:rsidP="0032645E">
            <w:pPr>
              <w:pStyle w:val="ListBullet"/>
            </w:pPr>
            <w:r w:rsidRPr="0032645E">
              <w:t>main faults that can occur in:</w:t>
            </w:r>
          </w:p>
          <w:p w:rsidR="00000000" w:rsidRPr="0032645E" w:rsidP="0032645E">
            <w:pPr>
              <w:pStyle w:val="ListBullet2"/>
            </w:pPr>
            <w:r w:rsidRPr="0032645E">
              <w:t>alternating current (AC) electrical systems</w:t>
            </w:r>
          </w:p>
          <w:p w:rsidR="00000000" w:rsidRPr="0032645E" w:rsidP="0032645E">
            <w:pPr>
              <w:pStyle w:val="ListBullet2"/>
            </w:pPr>
            <w:r w:rsidRPr="0032645E">
              <w:t>direct current (DC) elec</w:t>
            </w:r>
            <w:r w:rsidRPr="0032645E">
              <w:t>trical systems</w:t>
            </w:r>
          </w:p>
          <w:p w:rsidR="00000000" w:rsidRPr="0032645E" w:rsidP="0032645E">
            <w:pPr>
              <w:pStyle w:val="ListBullet"/>
            </w:pPr>
            <w:r w:rsidRPr="0032645E">
              <w:t>maintenance requirements for:</w:t>
            </w:r>
          </w:p>
          <w:p w:rsidR="00000000" w:rsidRPr="0032645E" w:rsidP="0032645E">
            <w:pPr>
              <w:pStyle w:val="ListBullet2"/>
            </w:pPr>
            <w:r w:rsidRPr="0032645E">
              <w:t>alarm systems</w:t>
            </w:r>
          </w:p>
          <w:p w:rsidR="00000000" w:rsidRPr="0032645E" w:rsidP="0032645E">
            <w:pPr>
              <w:pStyle w:val="ListBullet2"/>
            </w:pPr>
            <w:r w:rsidRPr="0032645E">
              <w:t>emergency electrical supply</w:t>
            </w:r>
          </w:p>
          <w:p w:rsidR="00000000" w:rsidRPr="0032645E" w:rsidP="0032645E">
            <w:pPr>
              <w:pStyle w:val="ListBullet2"/>
            </w:pPr>
            <w:r w:rsidRPr="0032645E">
              <w:t>emergency generators</w:t>
            </w:r>
          </w:p>
          <w:p w:rsidR="00000000" w:rsidRPr="0032645E" w:rsidP="0032645E">
            <w:pPr>
              <w:pStyle w:val="ListBullet2"/>
            </w:pPr>
            <w:r w:rsidRPr="0032645E">
              <w:t>generators</w:t>
            </w:r>
          </w:p>
          <w:p w:rsidR="00000000" w:rsidRPr="0032645E" w:rsidP="0032645E">
            <w:pPr>
              <w:pStyle w:val="ListBullet2"/>
            </w:pPr>
            <w:r w:rsidRPr="0032645E">
              <w:t>motor starting circuits</w:t>
            </w:r>
          </w:p>
          <w:p w:rsidR="00000000" w:rsidRPr="0032645E" w:rsidP="0032645E">
            <w:pPr>
              <w:pStyle w:val="ListBullet2"/>
            </w:pPr>
            <w:r w:rsidRPr="0032645E">
              <w:t>power and lighting</w:t>
            </w:r>
          </w:p>
          <w:p w:rsidR="00000000" w:rsidRPr="0032645E" w:rsidP="0032645E">
            <w:pPr>
              <w:pStyle w:val="ListBullet2"/>
            </w:pPr>
            <w:r w:rsidRPr="0032645E">
              <w:t>shore supply</w:t>
            </w:r>
          </w:p>
          <w:p w:rsidR="00000000" w:rsidRPr="0032645E" w:rsidP="0032645E">
            <w:pPr>
              <w:pStyle w:val="ListBullet2"/>
            </w:pPr>
            <w:r w:rsidRPr="0032645E">
              <w:t>steering gear circuits</w:t>
            </w:r>
          </w:p>
          <w:p w:rsidR="00000000" w:rsidRPr="0032645E" w:rsidP="0032645E">
            <w:pPr>
              <w:pStyle w:val="ListBullet2"/>
            </w:pPr>
            <w:r w:rsidRPr="0032645E">
              <w:t xml:space="preserve">switchboards </w:t>
            </w:r>
          </w:p>
          <w:p w:rsidR="00000000" w:rsidRPr="0032645E" w:rsidP="0032645E">
            <w:pPr>
              <w:pStyle w:val="ListBullet"/>
            </w:pPr>
            <w:r w:rsidRPr="0032645E">
              <w:t>procedure for connecting batteries in series and parallel</w:t>
            </w:r>
          </w:p>
          <w:p w:rsidR="00000000" w:rsidRPr="0032645E" w:rsidP="0032645E">
            <w:pPr>
              <w:pStyle w:val="ListBullet"/>
            </w:pPr>
            <w:r w:rsidRPr="0032645E">
              <w:t>single and three-phase AC power</w:t>
            </w:r>
          </w:p>
          <w:p w:rsidR="00000000" w:rsidRPr="0032645E" w:rsidP="0032645E">
            <w:pPr>
              <w:pStyle w:val="ListBullet"/>
            </w:pPr>
            <w:r w:rsidRPr="0032645E">
              <w:t>starter motors, alternators and associated equipment</w:t>
            </w:r>
          </w:p>
          <w:p w:rsidR="00000000" w:rsidRPr="0032645E" w:rsidP="0032645E">
            <w:pPr>
              <w:pStyle w:val="ListBullet"/>
            </w:pPr>
            <w:r w:rsidRPr="0032645E">
              <w:t>switchboard and protection devices</w:t>
            </w:r>
          </w:p>
          <w:p w:rsidR="00000000" w:rsidRPr="0032645E" w:rsidP="0032645E">
            <w:pPr>
              <w:pStyle w:val="ListBullet"/>
            </w:pPr>
            <w:r w:rsidRPr="0032645E">
              <w:t>types of protection devices</w:t>
            </w:r>
          </w:p>
          <w:p w:rsidR="00000000" w:rsidRPr="0032645E" w:rsidP="0032645E">
            <w:pPr>
              <w:pStyle w:val="ListBullet"/>
            </w:pPr>
            <w:r w:rsidRPr="0032645E">
              <w:t>use of multi-meter to test voltage and continuity</w:t>
            </w:r>
          </w:p>
          <w:p w:rsidR="00000000" w:rsidRPr="0032645E" w:rsidP="0032645E">
            <w:pPr>
              <w:pStyle w:val="ListBullet"/>
            </w:pPr>
            <w:r w:rsidRPr="0032645E">
              <w:t>uses of fuses and circuit breakers</w:t>
            </w:r>
          </w:p>
          <w:p w:rsidR="00000000" w:rsidRPr="0032645E" w:rsidP="0032645E">
            <w:pPr>
              <w:pStyle w:val="ListBullet"/>
            </w:pPr>
            <w:r w:rsidRPr="0032645E">
              <w:t>work health and safety (WHS)/occupational health and safety (OHS) requirements.</w:t>
            </w:r>
          </w:p>
        </w:tc>
      </w:tr>
    </w:tbl>
    <w:p w:rsidR="00000000" w:rsidRPr="0032645E" w:rsidP="0032645E">
      <w:pPr>
        <w:pStyle w:val="NoPaddingFontSize1"/>
      </w:pPr>
    </w:p>
    <w:p w:rsidR="00000000" w:rsidRPr="0032645E" w:rsidP="0032645E">
      <w:pPr>
        <w:pStyle w:val="AllowPageBreak"/>
      </w:pPr>
    </w:p>
    <w:p w:rsidR="00000000" w:rsidRPr="0032645E" w:rsidP="0032645E">
      <w:pPr>
        <w:pStyle w:val="Heading1"/>
      </w:pPr>
      <w:bookmarkStart w:id="4" w:name="O_1284625"/>
      <w:bookmarkEnd w:id="4"/>
      <w:r w:rsidRPr="003264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45E" w:rsidP="0032645E">
            <w:pPr>
              <w:pStyle w:val="BodyText"/>
            </w:pPr>
            <w:r w:rsidRPr="0032645E">
              <w:t>Assessors must hold credentials specified within the Standards for Registered Training Organisations current at the time of assessment.</w:t>
            </w:r>
          </w:p>
          <w:p w:rsidR="00000000" w:rsidRPr="0032645E" w:rsidP="0032645E">
            <w:pPr>
              <w:pStyle w:val="BodyText"/>
            </w:pPr>
            <w:r w:rsidRPr="0032645E">
              <w:t>Assessment must satisfy the Principles of Assessment and Rules of Evidence and all regulatory requirements included with</w:t>
            </w:r>
            <w:r w:rsidRPr="0032645E">
              <w:t>in the Standards for Registered Training current at the time of assessment.</w:t>
            </w:r>
          </w:p>
          <w:p w:rsidR="00000000" w:rsidRPr="0032645E" w:rsidP="0032645E">
            <w:pPr>
              <w:pStyle w:val="BodyText"/>
            </w:pPr>
            <w:r w:rsidRPr="0032645E">
              <w:t xml:space="preserve">Assessment processes and techniques must be appropriate to the language, literacy and numeracy </w:t>
            </w:r>
            <w:r w:rsidRPr="0032645E">
              <w:t>requirements of the work being performed and the needs of the candidate.</w:t>
            </w:r>
          </w:p>
          <w:p w:rsidR="00000000" w:rsidRPr="0032645E" w:rsidP="0032645E">
            <w:pPr>
              <w:pStyle w:val="BodyText"/>
            </w:pPr>
            <w:r w:rsidRPr="0032645E">
              <w:t>Practical as</w:t>
            </w:r>
            <w:r w:rsidRPr="0032645E">
              <w:t>sessment must occur in a workplace, or realistic simulated workplace, under the normal range of workplace conditions.</w:t>
            </w:r>
          </w:p>
          <w:p w:rsidR="00000000" w:rsidRPr="0032645E" w:rsidP="0032645E">
            <w:pPr>
              <w:pStyle w:val="BodyText"/>
            </w:pPr>
            <w:r w:rsidRPr="0032645E">
              <w:t>Simulations and scenarios may be used where situations cannot be provided in the workplace or may occur only rarely, in particular for sit</w:t>
            </w:r>
            <w:r w:rsidRPr="0032645E">
              <w:t>uations relating to emergency procedures and adverse weather conditions where assessment would be unsafe, impractical or may lead to environmental damage.</w:t>
            </w:r>
          </w:p>
          <w:p w:rsidR="00000000" w:rsidRPr="0032645E" w:rsidP="0032645E">
            <w:pPr>
              <w:pStyle w:val="BodyText"/>
            </w:pPr>
            <w:r w:rsidRPr="0032645E">
              <w:t>Resources for assessment must include access to:</w:t>
            </w:r>
          </w:p>
          <w:p w:rsidR="00000000" w:rsidRPr="0032645E" w:rsidP="0032645E">
            <w:pPr>
              <w:pStyle w:val="ListBullet"/>
            </w:pPr>
            <w:r w:rsidRPr="0032645E">
              <w:t>applicable documentation, such as legislation, regu</w:t>
            </w:r>
            <w:r w:rsidRPr="0032645E">
              <w:t>lations, codes of practice, safety management systems (SMS), workplace procedures and operational manuals</w:t>
            </w:r>
          </w:p>
          <w:p w:rsidR="00000000" w:rsidRPr="0032645E" w:rsidP="0032645E">
            <w:pPr>
              <w:pStyle w:val="ListBullet"/>
            </w:pPr>
            <w:r w:rsidRPr="0032645E">
              <w:t>a commercial vessel with inboard diesel propulsion power of greater than or equal to 150 kW or appropriate engine, propulsion plant, and auxiliary equ</w:t>
            </w:r>
            <w:r w:rsidRPr="0032645E">
              <w:t>ipment with electrical systems ashore</w:t>
            </w:r>
          </w:p>
          <w:p w:rsidR="00000000" w:rsidRPr="0032645E" w:rsidP="0032645E">
            <w:pPr>
              <w:pStyle w:val="ListBullet"/>
            </w:pPr>
            <w:r w:rsidRPr="0032645E">
              <w:t xml:space="preserve">tools, equipment, machinery, materials and relevant PPE currently used in industry. </w:t>
            </w:r>
          </w:p>
        </w:tc>
      </w:tr>
    </w:tbl>
    <w:p w:rsidR="00000000" w:rsidRPr="0032645E" w:rsidP="0032645E">
      <w:pPr>
        <w:pStyle w:val="NoPaddingFontSize1"/>
      </w:pPr>
    </w:p>
    <w:p w:rsidR="00000000" w:rsidRPr="0032645E" w:rsidP="0032645E">
      <w:pPr>
        <w:pStyle w:val="AllowPageBreak"/>
      </w:pPr>
    </w:p>
    <w:p w:rsidR="00000000" w:rsidRPr="0032645E" w:rsidP="0032645E">
      <w:pPr>
        <w:pStyle w:val="Heading1"/>
      </w:pPr>
      <w:bookmarkStart w:id="5" w:name="O_1284640"/>
      <w:bookmarkEnd w:id="5"/>
      <w:r w:rsidRPr="0032645E">
        <w:t>Links</w:t>
      </w:r>
    </w:p>
    <w:p w:rsidR="00000000" w:rsidRPr="0032645E" w:rsidP="0040315E">
      <w:pPr>
        <w:pStyle w:val="BodyText"/>
      </w:pPr>
      <w:r w:rsidRPr="003264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C492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2645E" w:rsidP="0032645E"/>
    <w:sectPr w:rsidSect="003264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5E" w:rsidRPr="0040315E" w:rsidP="00403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15E" w:rsidP="00326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315E" w:rsidP="00326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0315E" w:rsidP="003264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1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45E" w:rsidRPr="0040315E" w:rsidP="004031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15E" w:rsidRPr="002D2AF8" w:rsidP="00326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MARB032 Undertake basic maintenance of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40315E" w:rsidP="003264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CEC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386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725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4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4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4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4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4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4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4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4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4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4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45E"/>
  </w:style>
  <w:style w:type="character" w:customStyle="1" w:styleId="Heading1Char">
    <w:name w:val="Heading 1 Char"/>
    <w:basedOn w:val="DefaultParagraphFont"/>
    <w:link w:val="Heading1"/>
    <w:rsid w:val="003264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4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4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645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645E"/>
    <w:rPr>
      <w:b/>
      <w:spacing w:val="0"/>
    </w:rPr>
  </w:style>
  <w:style w:type="paragraph" w:styleId="ListBullet2">
    <w:name w:val="List Bullet 2"/>
    <w:basedOn w:val="List2"/>
    <w:rsid w:val="003264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64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4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645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64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4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4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4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4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4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4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4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4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4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4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4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4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4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4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64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4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4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4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64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4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4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4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4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4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4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4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4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45E"/>
    <w:rPr>
      <w:i/>
    </w:rPr>
  </w:style>
  <w:style w:type="paragraph" w:styleId="Caption">
    <w:name w:val="caption"/>
    <w:basedOn w:val="BodyText"/>
    <w:next w:val="Normal"/>
    <w:qFormat/>
    <w:rsid w:val="003264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4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4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45E"/>
  </w:style>
  <w:style w:type="paragraph" w:styleId="TableofFigures">
    <w:name w:val="table of figures"/>
    <w:basedOn w:val="Normal"/>
    <w:next w:val="Normal"/>
    <w:semiHidden/>
    <w:rsid w:val="003264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45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645E"/>
    <w:rPr>
      <w:rFonts w:ascii="Wingdings" w:hAnsi="Wingdings"/>
    </w:rPr>
  </w:style>
  <w:style w:type="paragraph" w:customStyle="1" w:styleId="TableHeading">
    <w:name w:val="Table Heading"/>
    <w:basedOn w:val="HeadingBase"/>
    <w:rsid w:val="003264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45E"/>
    <w:rPr>
      <w:color w:val="0033CC"/>
      <w:u w:val="none"/>
    </w:rPr>
  </w:style>
  <w:style w:type="paragraph" w:customStyle="1" w:styleId="BodyTextRight">
    <w:name w:val="Body Text Right"/>
    <w:basedOn w:val="BodyText"/>
    <w:rsid w:val="003264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4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45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4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4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4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45E"/>
    <w:rPr>
      <w:sz w:val="32"/>
    </w:rPr>
  </w:style>
  <w:style w:type="paragraph" w:customStyle="1" w:styleId="HeadingProcedure">
    <w:name w:val="Heading Procedure"/>
    <w:basedOn w:val="HeadingBase"/>
    <w:next w:val="Normal"/>
    <w:rsid w:val="003264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45E"/>
    <w:pPr>
      <w:spacing w:before="60" w:after="60"/>
    </w:pPr>
  </w:style>
  <w:style w:type="paragraph" w:styleId="ListContinue">
    <w:name w:val="List Continue"/>
    <w:basedOn w:val="List"/>
    <w:rsid w:val="0032645E"/>
    <w:pPr>
      <w:ind w:firstLine="0"/>
    </w:pPr>
  </w:style>
  <w:style w:type="paragraph" w:customStyle="1" w:styleId="ListNote">
    <w:name w:val="List Note"/>
    <w:basedOn w:val="List"/>
    <w:rsid w:val="003264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4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4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45E"/>
    <w:rPr>
      <w:rFonts w:ascii="Courier New" w:hAnsi="Courier New"/>
    </w:rPr>
  </w:style>
  <w:style w:type="paragraph" w:customStyle="1" w:styleId="NoteBullet">
    <w:name w:val="Note Bullet"/>
    <w:basedOn w:val="Note"/>
    <w:rsid w:val="003264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4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4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4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4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64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4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45E"/>
    <w:rPr>
      <w:b/>
      <w:smallCaps/>
    </w:rPr>
  </w:style>
  <w:style w:type="paragraph" w:customStyle="1" w:styleId="TableListNumber">
    <w:name w:val="Table List Number"/>
    <w:basedOn w:val="ListNumber"/>
    <w:rsid w:val="003264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4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45E"/>
    <w:pPr>
      <w:numPr>
        <w:numId w:val="10"/>
      </w:numPr>
    </w:pPr>
  </w:style>
  <w:style w:type="paragraph" w:customStyle="1" w:styleId="ListAlpha2">
    <w:name w:val="List Alpha 2"/>
    <w:basedOn w:val="List2"/>
    <w:rsid w:val="0032645E"/>
    <w:pPr>
      <w:numPr>
        <w:numId w:val="9"/>
      </w:numPr>
    </w:pPr>
  </w:style>
  <w:style w:type="paragraph" w:styleId="List2">
    <w:name w:val="List 2"/>
    <w:basedOn w:val="BodyText"/>
    <w:rsid w:val="003264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4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4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45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645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645E"/>
    <w:pPr>
      <w:numPr>
        <w:numId w:val="5"/>
      </w:numPr>
    </w:pPr>
  </w:style>
  <w:style w:type="paragraph" w:styleId="ListContinue2">
    <w:name w:val="List Continue 2"/>
    <w:basedOn w:val="List2"/>
    <w:rsid w:val="0032645E"/>
    <w:pPr>
      <w:ind w:firstLine="0"/>
    </w:pPr>
  </w:style>
  <w:style w:type="paragraph" w:styleId="ListContinue3">
    <w:name w:val="List Continue 3"/>
    <w:basedOn w:val="List3"/>
    <w:rsid w:val="0032645E"/>
    <w:pPr>
      <w:ind w:left="1021" w:firstLine="0"/>
    </w:pPr>
  </w:style>
  <w:style w:type="paragraph" w:styleId="ListContinue4">
    <w:name w:val="List Continue 4"/>
    <w:basedOn w:val="List4"/>
    <w:rsid w:val="0032645E"/>
    <w:pPr>
      <w:ind w:firstLine="0"/>
    </w:pPr>
  </w:style>
  <w:style w:type="paragraph" w:styleId="ListContinue5">
    <w:name w:val="List Continue 5"/>
    <w:basedOn w:val="List5"/>
    <w:rsid w:val="0032645E"/>
    <w:pPr>
      <w:ind w:firstLine="0"/>
    </w:pPr>
  </w:style>
  <w:style w:type="paragraph" w:styleId="ListNumber3">
    <w:name w:val="List Number 3"/>
    <w:basedOn w:val="List3"/>
    <w:rsid w:val="0032645E"/>
    <w:pPr>
      <w:numPr>
        <w:numId w:val="6"/>
      </w:numPr>
    </w:pPr>
  </w:style>
  <w:style w:type="paragraph" w:styleId="ListNumber4">
    <w:name w:val="List Number 4"/>
    <w:basedOn w:val="List4"/>
    <w:rsid w:val="0032645E"/>
    <w:pPr>
      <w:numPr>
        <w:numId w:val="7"/>
      </w:numPr>
    </w:pPr>
  </w:style>
  <w:style w:type="paragraph" w:styleId="ListNumber5">
    <w:name w:val="List Number 5"/>
    <w:basedOn w:val="List5"/>
    <w:rsid w:val="0032645E"/>
    <w:pPr>
      <w:numPr>
        <w:numId w:val="8"/>
      </w:numPr>
    </w:pPr>
  </w:style>
  <w:style w:type="paragraph" w:styleId="BlockText">
    <w:name w:val="Block Text"/>
    <w:basedOn w:val="Normal"/>
    <w:rsid w:val="003264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4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45E"/>
    <w:rPr>
      <w:sz w:val="16"/>
      <w:vertAlign w:val="superscript"/>
    </w:rPr>
  </w:style>
  <w:style w:type="character" w:customStyle="1" w:styleId="Symbols">
    <w:name w:val="Symbols"/>
    <w:basedOn w:val="DefaultParagraphFont"/>
    <w:rsid w:val="0032645E"/>
    <w:rPr>
      <w:rFonts w:ascii="Symbol" w:hAnsi="Symbol"/>
    </w:rPr>
  </w:style>
  <w:style w:type="character" w:customStyle="1" w:styleId="MenuOptions">
    <w:name w:val="Menu Options"/>
    <w:basedOn w:val="DefaultParagraphFont"/>
    <w:rsid w:val="003264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45E"/>
    <w:rPr>
      <w:b/>
    </w:rPr>
  </w:style>
  <w:style w:type="character" w:customStyle="1" w:styleId="Underlined">
    <w:name w:val="Underlined"/>
    <w:basedOn w:val="DefaultParagraphFont"/>
    <w:rsid w:val="0032645E"/>
    <w:rPr>
      <w:u w:val="single"/>
    </w:rPr>
  </w:style>
  <w:style w:type="paragraph" w:customStyle="1" w:styleId="TableBodyTextRight">
    <w:name w:val="Table Body Text Right"/>
    <w:basedOn w:val="TableBodyText"/>
    <w:rsid w:val="003264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45E"/>
    <w:rPr>
      <w:sz w:val="18"/>
    </w:rPr>
  </w:style>
  <w:style w:type="paragraph" w:customStyle="1" w:styleId="BodySmallRight">
    <w:name w:val="Body Small Right"/>
    <w:basedOn w:val="BodyTextRight"/>
    <w:rsid w:val="0032645E"/>
    <w:rPr>
      <w:sz w:val="18"/>
      <w:szCs w:val="18"/>
    </w:rPr>
  </w:style>
  <w:style w:type="paragraph" w:customStyle="1" w:styleId="MarginEdition">
    <w:name w:val="Margin Edition"/>
    <w:basedOn w:val="MarginNote"/>
    <w:rsid w:val="003264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45E"/>
    <w:rPr>
      <w:sz w:val="2"/>
      <w:szCs w:val="2"/>
    </w:rPr>
  </w:style>
  <w:style w:type="character" w:customStyle="1" w:styleId="Small">
    <w:name w:val="Small"/>
    <w:basedOn w:val="DefaultParagraphFont"/>
    <w:rsid w:val="0032645E"/>
    <w:rPr>
      <w:sz w:val="16"/>
    </w:rPr>
  </w:style>
  <w:style w:type="paragraph" w:customStyle="1" w:styleId="WideTable">
    <w:name w:val="Wide Table"/>
    <w:basedOn w:val="Normal"/>
    <w:rsid w:val="003264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45E"/>
  </w:style>
  <w:style w:type="paragraph" w:styleId="Quote">
    <w:name w:val="Quote"/>
    <w:basedOn w:val="Heading1"/>
    <w:link w:val="QuoteChar"/>
    <w:qFormat/>
    <w:rsid w:val="003264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4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45E"/>
    <w:pPr>
      <w:pageBreakBefore/>
    </w:pPr>
  </w:style>
  <w:style w:type="paragraph" w:customStyle="1" w:styleId="Border">
    <w:name w:val="Border"/>
    <w:basedOn w:val="Normal"/>
    <w:qFormat/>
    <w:rsid w:val="003264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4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4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4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4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4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4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4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4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45E"/>
    <w:rPr>
      <w:u w:val="single"/>
    </w:rPr>
  </w:style>
  <w:style w:type="character" w:customStyle="1" w:styleId="BoldandItalics">
    <w:name w:val="Bold and Italics"/>
    <w:qFormat/>
    <w:rsid w:val="0032645E"/>
    <w:rPr>
      <w:b/>
      <w:i/>
      <w:u w:val="none"/>
    </w:rPr>
  </w:style>
  <w:style w:type="paragraph" w:styleId="BalloonText">
    <w:name w:val="Balloon Text"/>
    <w:basedOn w:val="Normal"/>
    <w:link w:val="BalloonTextChar"/>
    <w:rsid w:val="00326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4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4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4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4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4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45E"/>
    <w:pPr>
      <w:spacing w:before="0" w:after="0"/>
    </w:pPr>
  </w:style>
  <w:style w:type="paragraph" w:customStyle="1" w:styleId="BodyTextBold">
    <w:name w:val="Body Text Bold"/>
    <w:basedOn w:val="BodyText"/>
    <w:qFormat/>
    <w:rsid w:val="0032645E"/>
    <w:rPr>
      <w:b/>
    </w:rPr>
  </w:style>
  <w:style w:type="character" w:styleId="Hyperlink">
    <w:name w:val="Hyperlink"/>
    <w:basedOn w:val="DefaultParagraphFont"/>
    <w:uiPriority w:val="99"/>
    <w:unhideWhenUsed/>
    <w:rsid w:val="00403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3792</Characters>
  <Application>Microsoft Office Word</Application>
  <DocSecurity>0</DocSecurity>
  <Lines>105</Lines>
  <Paragraphs>83</Paragraphs>
  <ScaleCrop>false</ScaleCrop>
  <Company>Author-it Software Corporation Ltd.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MARB032 Undertake basic maintenance of electrical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2024-11-25T10:47:00Z</dcterms:created>
  <dcterms:modified xsi:type="dcterms:W3CDTF">2024-11-25T10:47:00Z</dcterms:modified>
</cp:coreProperties>
</file>