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084" w:rsidP="00872084">
      <w:pPr>
        <w:pStyle w:val="Title"/>
      </w:pPr>
      <w:r>
        <w:fldChar w:fldCharType="begin"/>
      </w:r>
      <w:r>
        <w:instrText xml:space="preserve"> TITLE   \* MERGEFORMAT </w:instrText>
      </w:r>
      <w:r>
        <w:fldChar w:fldCharType="separate"/>
      </w:r>
      <w:r>
        <w:t>Assessment Requirements for MARB013 Maintain and repair marine electrical and electronic equipment</w:t>
      </w:r>
      <w:r>
        <w:fldChar w:fldCharType="end"/>
      </w:r>
    </w:p>
    <w:p w:rsidR="00872084" w:rsidP="00872084">
      <w:pPr>
        <w:pStyle w:val="Version"/>
        <w:sectPr w:rsidSect="001B4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B4B" w:rsidP="001B4B4B">
      <w:pPr>
        <w:pStyle w:val="SuperHeading"/>
      </w:pPr>
      <w:r w:rsidRPr="001B4B4B">
        <w:t>Assessment Requirements for MARB013 Maintain and repair marine electrical and electronic equipment</w:t>
      </w:r>
    </w:p>
    <w:p w:rsidR="00000000" w:rsidRPr="001B4B4B" w:rsidP="001B4B4B">
      <w:pPr>
        <w:pStyle w:val="Heading1"/>
      </w:pPr>
      <w:bookmarkStart w:id="1" w:name="O_596575"/>
      <w:bookmarkEnd w:id="1"/>
      <w:r w:rsidRPr="001B4B4B">
        <w:t>Modification History</w:t>
      </w:r>
    </w:p>
    <w:p w:rsidR="00000000" w:rsidRPr="001B4B4B" w:rsidP="00872084">
      <w:pPr>
        <w:pStyle w:val="BodyText"/>
      </w:pPr>
      <w:r w:rsidRPr="001B4B4B">
        <w:t>Release 1. New unit of competency.</w:t>
      </w:r>
    </w:p>
    <w:p w:rsidR="00000000" w:rsidRPr="001B4B4B" w:rsidP="001B4B4B">
      <w:pPr>
        <w:pStyle w:val="Heading1"/>
      </w:pPr>
      <w:bookmarkStart w:id="2" w:name="O_596576"/>
      <w:bookmarkEnd w:id="2"/>
      <w:r w:rsidRPr="001B4B4B">
        <w:t>Performance Evidence</w:t>
      </w:r>
    </w:p>
    <w:p w:rsidR="00000000" w:rsidRPr="001B4B4B" w:rsidP="00872084">
      <w:pPr>
        <w:pStyle w:val="BodyText"/>
      </w:pPr>
      <w:r w:rsidRPr="001B4B4B">
        <w:t>Evidence required to demonstrate competence in this unit must be relevant to and satisfy all of the requirements of the elements and performance criteria on at least one occasion and include:</w:t>
      </w:r>
    </w:p>
    <w:p w:rsidR="00000000" w:rsidRPr="001B4B4B" w:rsidP="001B4B4B">
      <w:pPr>
        <w:pStyle w:val="ListBullet"/>
      </w:pPr>
      <w:r w:rsidRPr="001B4B4B">
        <w:t>applying relevant procedures</w:t>
      </w:r>
    </w:p>
    <w:p w:rsidR="00000000" w:rsidRPr="001B4B4B" w:rsidP="001B4B4B">
      <w:pPr>
        <w:pStyle w:val="ListBullet"/>
      </w:pPr>
      <w:r w:rsidRPr="001B4B4B">
        <w:t>assessing own work outcomes and ma</w:t>
      </w:r>
      <w:r w:rsidRPr="001B4B4B">
        <w:t>intaining knowledge of current codes, standards, regulations and industry practices</w:t>
      </w:r>
    </w:p>
    <w:p w:rsidR="00000000" w:rsidRPr="001B4B4B" w:rsidP="001B4B4B">
      <w:pPr>
        <w:pStyle w:val="ListBullet"/>
      </w:pPr>
      <w:r w:rsidRPr="001B4B4B">
        <w:t>communicating procedures associated with maintaining and repairing marine electrical and electronic equipment verbally and in writing</w:t>
      </w:r>
    </w:p>
    <w:p w:rsidR="00000000" w:rsidRPr="001B4B4B" w:rsidP="001B4B4B">
      <w:pPr>
        <w:pStyle w:val="ListBullet"/>
      </w:pPr>
      <w:r w:rsidRPr="001B4B4B">
        <w:t>extracting information from basic elec</w:t>
      </w:r>
      <w:r w:rsidRPr="001B4B4B">
        <w:t>trical and electronic diagrams required to build electrical and electronic circuits</w:t>
      </w:r>
    </w:p>
    <w:p w:rsidR="00000000" w:rsidRPr="001B4B4B" w:rsidP="001B4B4B">
      <w:pPr>
        <w:pStyle w:val="ListBullet"/>
      </w:pPr>
      <w:r w:rsidRPr="001B4B4B">
        <w:t>identifying and interpreting numerical and graphical information in vessel electrical diagrams and specifications</w:t>
      </w:r>
    </w:p>
    <w:p w:rsidR="00000000" w:rsidRPr="001B4B4B" w:rsidP="001B4B4B">
      <w:pPr>
        <w:pStyle w:val="ListBullet"/>
      </w:pPr>
      <w:r w:rsidRPr="001B4B4B">
        <w:t>identifying and suggesting ways of rectifying faults and m</w:t>
      </w:r>
      <w:r w:rsidRPr="001B4B4B">
        <w:t>alfunctions in marine electrical and electronic systems on vessels</w:t>
      </w:r>
    </w:p>
    <w:p w:rsidR="00000000" w:rsidRPr="001B4B4B" w:rsidP="001B4B4B">
      <w:pPr>
        <w:pStyle w:val="ListBullet"/>
      </w:pPr>
      <w:r w:rsidRPr="001B4B4B">
        <w:t>identifying methods, procedures and materials needed for operating, maintaining and repairing marine electrical and electronic systems on vessels</w:t>
      </w:r>
    </w:p>
    <w:p w:rsidR="00000000" w:rsidRPr="001B4B4B" w:rsidP="001B4B4B">
      <w:pPr>
        <w:pStyle w:val="ListBullet"/>
      </w:pPr>
      <w:r w:rsidRPr="001B4B4B">
        <w:t>initiating timely action in response to def</w:t>
      </w:r>
      <w:r w:rsidRPr="001B4B4B">
        <w:t>ects or damage</w:t>
      </w:r>
    </w:p>
    <w:p w:rsidR="00000000" w:rsidRPr="001B4B4B" w:rsidP="001B4B4B">
      <w:pPr>
        <w:pStyle w:val="ListBullet"/>
      </w:pPr>
      <w:r w:rsidRPr="001B4B4B">
        <w:t>reading and interpreting written information related to operating and maintaining marine electrical and electronic systems, including specifications, drawings, technical manuals, and electrical and electronic circuit diagrams</w:t>
      </w:r>
    </w:p>
    <w:p w:rsidR="00000000" w:rsidRPr="001B4B4B" w:rsidP="001B4B4B">
      <w:pPr>
        <w:pStyle w:val="ListBullet"/>
      </w:pPr>
      <w:r w:rsidRPr="001B4B4B">
        <w:t>using testing e</w:t>
      </w:r>
      <w:r w:rsidRPr="001B4B4B">
        <w:t>quipment to gather information on function and performance of marine electrical and electronic systems.</w:t>
      </w:r>
    </w:p>
    <w:p w:rsidR="00000000" w:rsidRPr="001B4B4B" w:rsidP="001B4B4B">
      <w:pPr>
        <w:pStyle w:val="AllowPageBreak"/>
      </w:pPr>
    </w:p>
    <w:p w:rsidR="00000000" w:rsidRPr="001B4B4B" w:rsidP="001B4B4B">
      <w:pPr>
        <w:pStyle w:val="Heading1"/>
      </w:pPr>
      <w:bookmarkStart w:id="3" w:name="O_596577"/>
      <w:bookmarkEnd w:id="3"/>
      <w:r w:rsidRPr="001B4B4B">
        <w:t>Knowledge Evidence</w:t>
      </w:r>
    </w:p>
    <w:p w:rsidR="00000000" w:rsidRPr="001B4B4B" w:rsidP="00872084">
      <w:pPr>
        <w:pStyle w:val="BodyText"/>
      </w:pPr>
      <w:r w:rsidRPr="001B4B4B">
        <w:t xml:space="preserve">Evidence required to demonstrate competence in this unit must be relevant to and satisfy all of the requirements of </w:t>
      </w:r>
      <w:r w:rsidRPr="001B4B4B">
        <w:t>the elements and performance criteria and include knowledge of:</w:t>
      </w:r>
    </w:p>
    <w:p w:rsidR="00000000" w:rsidRPr="001B4B4B" w:rsidP="001B4B4B">
      <w:pPr>
        <w:pStyle w:val="ListBullet"/>
      </w:pPr>
      <w:r w:rsidRPr="001B4B4B">
        <w:t>alternating current (AC)/DC voltage</w:t>
      </w:r>
    </w:p>
    <w:p w:rsidR="00000000" w:rsidRPr="001B4B4B" w:rsidP="001B4B4B">
      <w:pPr>
        <w:pStyle w:val="ListBullet"/>
      </w:pPr>
      <w:r w:rsidRPr="001B4B4B">
        <w:t>batteries</w:t>
      </w:r>
    </w:p>
    <w:p w:rsidR="00000000" w:rsidRPr="001B4B4B" w:rsidP="001B4B4B">
      <w:pPr>
        <w:pStyle w:val="ListBullet"/>
      </w:pPr>
      <w:r w:rsidRPr="001B4B4B">
        <w:t>circuit breakers and interlocks fitted to circuit breakers</w:t>
      </w:r>
    </w:p>
    <w:p w:rsidR="00000000" w:rsidRPr="001B4B4B" w:rsidP="001B4B4B">
      <w:pPr>
        <w:pStyle w:val="ListBullet"/>
      </w:pPr>
      <w:r w:rsidRPr="001B4B4B">
        <w:t>circuits</w:t>
      </w:r>
    </w:p>
    <w:p w:rsidR="00000000" w:rsidRPr="001B4B4B" w:rsidP="001B4B4B">
      <w:pPr>
        <w:pStyle w:val="ListBullet"/>
      </w:pPr>
      <w:r w:rsidRPr="001B4B4B">
        <w:t>current protection relays:</w:t>
      </w:r>
    </w:p>
    <w:p w:rsidR="00000000" w:rsidRPr="001B4B4B" w:rsidP="001B4B4B">
      <w:pPr>
        <w:pStyle w:val="ListBullet2"/>
      </w:pPr>
      <w:r w:rsidRPr="001B4B4B">
        <w:t>operate on fault and request</w:t>
      </w:r>
    </w:p>
    <w:p w:rsidR="00000000" w:rsidRPr="001B4B4B" w:rsidP="001B4B4B">
      <w:pPr>
        <w:pStyle w:val="ListBullet2"/>
      </w:pPr>
      <w:r w:rsidRPr="001B4B4B">
        <w:t>operate on fault and request and demand</w:t>
      </w:r>
    </w:p>
    <w:p w:rsidR="00000000" w:rsidRPr="001B4B4B" w:rsidP="001B4B4B">
      <w:pPr>
        <w:pStyle w:val="ListBullet2"/>
      </w:pPr>
      <w:r w:rsidRPr="001B4B4B">
        <w:t>operate on fault and request and under voltage</w:t>
      </w:r>
    </w:p>
    <w:p w:rsidR="00000000" w:rsidRPr="001B4B4B" w:rsidP="001B4B4B">
      <w:pPr>
        <w:pStyle w:val="ListBullet"/>
      </w:pPr>
      <w:r w:rsidRPr="001B4B4B">
        <w:t>earthing</w:t>
      </w:r>
    </w:p>
    <w:p w:rsidR="00000000" w:rsidRPr="001B4B4B" w:rsidP="001B4B4B">
      <w:pPr>
        <w:pStyle w:val="ListBullet"/>
      </w:pPr>
      <w:r w:rsidRPr="001B4B4B">
        <w:t>electrical measuring and testing instruments</w:t>
      </w:r>
    </w:p>
    <w:p w:rsidR="00000000" w:rsidRPr="001B4B4B" w:rsidP="001B4B4B">
      <w:pPr>
        <w:pStyle w:val="ListBullet"/>
      </w:pPr>
      <w:r w:rsidRPr="001B4B4B">
        <w:t>electrical symbols, basic electrical and electronic diagrams and circuits</w:t>
      </w:r>
    </w:p>
    <w:p w:rsidR="00000000" w:rsidRPr="001B4B4B" w:rsidP="001B4B4B">
      <w:pPr>
        <w:pStyle w:val="ListBullet"/>
      </w:pPr>
      <w:r w:rsidRPr="001B4B4B">
        <w:t>fault protection equipment:</w:t>
      </w:r>
    </w:p>
    <w:p w:rsidR="00000000" w:rsidRPr="001B4B4B" w:rsidP="001B4B4B">
      <w:pPr>
        <w:pStyle w:val="ListBullet2"/>
      </w:pPr>
      <w:r w:rsidRPr="001B4B4B">
        <w:t>differentia</w:t>
      </w:r>
      <w:r w:rsidRPr="001B4B4B">
        <w:t>l protection device</w:t>
      </w:r>
    </w:p>
    <w:p w:rsidR="00000000" w:rsidRPr="001B4B4B" w:rsidP="001B4B4B">
      <w:pPr>
        <w:pStyle w:val="ListBullet2"/>
      </w:pPr>
      <w:r w:rsidRPr="001B4B4B">
        <w:t xml:space="preserve">fuses </w:t>
      </w:r>
    </w:p>
    <w:p w:rsidR="00000000" w:rsidRPr="001B4B4B" w:rsidP="001B4B4B">
      <w:pPr>
        <w:pStyle w:val="ListBullet2"/>
      </w:pPr>
      <w:r w:rsidRPr="001B4B4B">
        <w:t xml:space="preserve">over voltage devices </w:t>
      </w:r>
    </w:p>
    <w:p w:rsidR="00000000" w:rsidRPr="001B4B4B" w:rsidP="001B4B4B">
      <w:pPr>
        <w:pStyle w:val="ListBullet2"/>
      </w:pPr>
      <w:r w:rsidRPr="001B4B4B">
        <w:t>over current devices</w:t>
      </w:r>
    </w:p>
    <w:p w:rsidR="00000000" w:rsidRPr="001B4B4B" w:rsidP="001B4B4B">
      <w:pPr>
        <w:pStyle w:val="ListBullet2"/>
      </w:pPr>
      <w:r w:rsidRPr="001B4B4B">
        <w:t xml:space="preserve">reverse power devices </w:t>
      </w:r>
    </w:p>
    <w:p w:rsidR="00000000" w:rsidRPr="001B4B4B" w:rsidP="001B4B4B">
      <w:pPr>
        <w:pStyle w:val="ListBullet2"/>
      </w:pPr>
      <w:r w:rsidRPr="001B4B4B">
        <w:t xml:space="preserve">thermal overload devices </w:t>
      </w:r>
    </w:p>
    <w:p w:rsidR="00000000" w:rsidRPr="001B4B4B" w:rsidP="001B4B4B">
      <w:pPr>
        <w:pStyle w:val="ListBullet2"/>
      </w:pPr>
      <w:r w:rsidRPr="001B4B4B">
        <w:t xml:space="preserve">thermistor protection devices </w:t>
      </w:r>
    </w:p>
    <w:p w:rsidR="00000000" w:rsidRPr="001B4B4B" w:rsidP="001B4B4B">
      <w:pPr>
        <w:pStyle w:val="ListBullet2"/>
      </w:pPr>
      <w:r w:rsidRPr="001B4B4B">
        <w:t>under voltage devices</w:t>
      </w:r>
    </w:p>
    <w:p w:rsidR="00000000" w:rsidRPr="001B4B4B" w:rsidP="001B4B4B">
      <w:pPr>
        <w:pStyle w:val="ListBullet"/>
      </w:pPr>
      <w:r w:rsidRPr="001B4B4B">
        <w:t>function and performance testing of system monitoring devices including:</w:t>
      </w:r>
    </w:p>
    <w:p w:rsidR="00000000" w:rsidRPr="001B4B4B" w:rsidP="001B4B4B">
      <w:pPr>
        <w:pStyle w:val="ListBullet2"/>
      </w:pPr>
      <w:r w:rsidRPr="001B4B4B">
        <w:t xml:space="preserve">alarm printer </w:t>
      </w:r>
    </w:p>
    <w:p w:rsidR="00000000" w:rsidRPr="001B4B4B" w:rsidP="001B4B4B">
      <w:pPr>
        <w:pStyle w:val="ListBullet2"/>
      </w:pPr>
      <w:r w:rsidRPr="001B4B4B">
        <w:t>data logger</w:t>
      </w:r>
    </w:p>
    <w:p w:rsidR="00000000" w:rsidRPr="001B4B4B" w:rsidP="001B4B4B">
      <w:pPr>
        <w:pStyle w:val="ListBullet"/>
      </w:pPr>
      <w:r w:rsidRPr="001B4B4B">
        <w:t>nature and causes of typical start up and shut down malfunctions of main and auxiliary electrical and associated systems and available methods for their detection and rectification</w:t>
      </w:r>
    </w:p>
    <w:p w:rsidR="00000000" w:rsidRPr="001B4B4B" w:rsidP="001B4B4B">
      <w:pPr>
        <w:pStyle w:val="ListBullet"/>
      </w:pPr>
      <w:r w:rsidRPr="001B4B4B">
        <w:t>operation of:</w:t>
      </w:r>
    </w:p>
    <w:p w:rsidR="00000000" w:rsidRPr="001B4B4B" w:rsidP="001B4B4B">
      <w:pPr>
        <w:pStyle w:val="ListBullet2"/>
      </w:pPr>
      <w:r w:rsidRPr="001B4B4B">
        <w:t>boiler, purifier and generator s</w:t>
      </w:r>
      <w:r w:rsidRPr="001B4B4B">
        <w:t>hut down systems</w:t>
      </w:r>
    </w:p>
    <w:p w:rsidR="00000000" w:rsidRPr="001B4B4B" w:rsidP="001B4B4B">
      <w:pPr>
        <w:pStyle w:val="ListBullet2"/>
      </w:pPr>
      <w:r w:rsidRPr="001B4B4B">
        <w:t>main engine shut down protective devices</w:t>
      </w:r>
    </w:p>
    <w:p w:rsidR="00000000" w:rsidRPr="001B4B4B" w:rsidP="001B4B4B">
      <w:pPr>
        <w:pStyle w:val="ListBullet2"/>
      </w:pPr>
      <w:r w:rsidRPr="001B4B4B">
        <w:t>protective devices found on board vessels</w:t>
      </w:r>
    </w:p>
    <w:p w:rsidR="00000000" w:rsidRPr="001B4B4B" w:rsidP="001B4B4B">
      <w:pPr>
        <w:pStyle w:val="ListBullet"/>
      </w:pPr>
      <w:r w:rsidRPr="001B4B4B">
        <w:t>operational characteristics and performance specifications for different types of electrical and electronic systems found on vessels</w:t>
      </w:r>
    </w:p>
    <w:p w:rsidR="00000000" w:rsidRPr="001B4B4B" w:rsidP="001B4B4B">
      <w:pPr>
        <w:pStyle w:val="ListBullet"/>
      </w:pPr>
      <w:r w:rsidRPr="001B4B4B">
        <w:t>principles and procedu</w:t>
      </w:r>
      <w:r w:rsidRPr="001B4B4B">
        <w:t>res of electrical maintenance</w:t>
      </w:r>
    </w:p>
    <w:p w:rsidR="00000000" w:rsidRPr="001B4B4B" w:rsidP="001B4B4B">
      <w:pPr>
        <w:pStyle w:val="ListBullet"/>
      </w:pPr>
      <w:r w:rsidRPr="001B4B4B">
        <w:t>purpose and content of safety data sheets (SDS)/material safety data sheets (MSDS)</w:t>
      </w:r>
    </w:p>
    <w:p w:rsidR="00000000" w:rsidRPr="001B4B4B" w:rsidP="001B4B4B">
      <w:pPr>
        <w:pStyle w:val="ListBullet"/>
      </w:pPr>
      <w:r w:rsidRPr="001B4B4B">
        <w:t>relevant procedures such as those relating to:</w:t>
      </w:r>
    </w:p>
    <w:p w:rsidR="00000000" w:rsidRPr="001B4B4B" w:rsidP="001B4B4B">
      <w:pPr>
        <w:pStyle w:val="ListBullet2"/>
      </w:pPr>
      <w:r w:rsidRPr="001B4B4B">
        <w:t>adjusting, testing and maintaining fault protection devices on switchboards</w:t>
      </w:r>
    </w:p>
    <w:p w:rsidR="00000000" w:rsidRPr="001B4B4B" w:rsidP="001B4B4B">
      <w:pPr>
        <w:pStyle w:val="ListBullet2"/>
      </w:pPr>
      <w:r w:rsidRPr="001B4B4B">
        <w:t>carrying out start up and shut down of electrical machinery and associated systems to ensure compliance with company and survey requirements and regulations</w:t>
      </w:r>
    </w:p>
    <w:p w:rsidR="00000000" w:rsidRPr="001B4B4B" w:rsidP="001B4B4B">
      <w:pPr>
        <w:pStyle w:val="ListBullet2"/>
      </w:pPr>
      <w:r w:rsidRPr="001B4B4B">
        <w:t>changing alarm-setting values in monitoring systems</w:t>
      </w:r>
    </w:p>
    <w:p w:rsidR="00000000" w:rsidRPr="001B4B4B" w:rsidP="001B4B4B">
      <w:pPr>
        <w:pStyle w:val="ListBullet2"/>
      </w:pPr>
      <w:r w:rsidRPr="001B4B4B">
        <w:t>confirming the accuracy of measuring monitoring</w:t>
      </w:r>
    </w:p>
    <w:p w:rsidR="00000000" w:rsidRPr="001B4B4B" w:rsidP="001B4B4B">
      <w:pPr>
        <w:pStyle w:val="ListBullet2"/>
      </w:pPr>
      <w:r w:rsidRPr="001B4B4B">
        <w:t>detecting electrical malfunctions and preventing damage</w:t>
      </w:r>
    </w:p>
    <w:p w:rsidR="00000000" w:rsidRPr="001B4B4B" w:rsidP="001B4B4B">
      <w:pPr>
        <w:pStyle w:val="ListBullet2"/>
      </w:pPr>
      <w:r w:rsidRPr="001B4B4B">
        <w:t>electrical safety and isolation</w:t>
      </w:r>
    </w:p>
    <w:p w:rsidR="00000000" w:rsidRPr="001B4B4B" w:rsidP="001B4B4B">
      <w:pPr>
        <w:pStyle w:val="ListBullet2"/>
      </w:pPr>
      <w:r w:rsidRPr="001B4B4B">
        <w:t>fault finding</w:t>
      </w:r>
    </w:p>
    <w:p w:rsidR="00000000" w:rsidRPr="001B4B4B" w:rsidP="001B4B4B">
      <w:pPr>
        <w:pStyle w:val="ListBullet2"/>
      </w:pPr>
      <w:r w:rsidRPr="001B4B4B">
        <w:t>marine maintenance, including difference between breakdown repair, planned maintenance and condition monitoring; purpose of maintenance recording and rep</w:t>
      </w:r>
      <w:r w:rsidRPr="001B4B4B">
        <w:t>orting procedures</w:t>
      </w:r>
    </w:p>
    <w:p w:rsidR="00000000" w:rsidRPr="001B4B4B" w:rsidP="001B4B4B">
      <w:pPr>
        <w:pStyle w:val="ListBullet2"/>
      </w:pPr>
      <w:r w:rsidRPr="001B4B4B">
        <w:t>routine maintenance on marine electrical motors (cleaning inspection, deterioration of insulation, removal of dust and oil, renew of bearings)</w:t>
      </w:r>
    </w:p>
    <w:p w:rsidR="00000000" w:rsidRPr="001B4B4B" w:rsidP="001B4B4B">
      <w:pPr>
        <w:pStyle w:val="ListBullet2"/>
      </w:pPr>
      <w:r w:rsidRPr="001B4B4B">
        <w:t>safety and emergency</w:t>
      </w:r>
    </w:p>
    <w:p w:rsidR="00000000" w:rsidRPr="001B4B4B" w:rsidP="001B4B4B">
      <w:pPr>
        <w:pStyle w:val="ListBullet2"/>
      </w:pPr>
      <w:r w:rsidRPr="001B4B4B">
        <w:t>testing function and performance of protection devices as part of vessel s</w:t>
      </w:r>
      <w:r w:rsidRPr="001B4B4B">
        <w:t>tatutory survey</w:t>
      </w:r>
    </w:p>
    <w:p w:rsidR="00000000" w:rsidRPr="001B4B4B" w:rsidP="001B4B4B">
      <w:pPr>
        <w:pStyle w:val="ListBullet"/>
      </w:pPr>
      <w:r w:rsidRPr="001B4B4B">
        <w:t>risks and safety procedures associated with working in high voltage environments</w:t>
      </w:r>
    </w:p>
    <w:p w:rsidR="00000000" w:rsidRPr="001B4B4B" w:rsidP="001B4B4B">
      <w:pPr>
        <w:pStyle w:val="ListBullet"/>
      </w:pPr>
      <w:r w:rsidRPr="001B4B4B">
        <w:t>safety, environmental and hazard control precautions and procedures relevant to start up and shut down of marine electrical machinery and associated systems</w:t>
      </w:r>
    </w:p>
    <w:p w:rsidR="00000000" w:rsidRPr="001B4B4B" w:rsidP="001B4B4B">
      <w:pPr>
        <w:pStyle w:val="ListBullet"/>
      </w:pPr>
      <w:r w:rsidRPr="001B4B4B">
        <w:t>s</w:t>
      </w:r>
      <w:r w:rsidRPr="001B4B4B">
        <w:t>afety requirements associated with working on marine electrical systems, including:</w:t>
      </w:r>
    </w:p>
    <w:p w:rsidR="00000000" w:rsidRPr="001B4B4B" w:rsidP="001B4B4B">
      <w:pPr>
        <w:pStyle w:val="ListBullet2"/>
      </w:pPr>
      <w:r w:rsidRPr="001B4B4B">
        <w:t>dangers associated with the spaces in the vicinity of busbars</w:t>
      </w:r>
    </w:p>
    <w:p w:rsidR="00000000" w:rsidRPr="001B4B4B" w:rsidP="001B4B4B">
      <w:pPr>
        <w:pStyle w:val="ListBullet2"/>
      </w:pPr>
      <w:r w:rsidRPr="001B4B4B">
        <w:t xml:space="preserve">potential dangers associated with instrument voltage/current transformer circuits </w:t>
      </w:r>
    </w:p>
    <w:p w:rsidR="00000000" w:rsidRPr="001B4B4B" w:rsidP="001B4B4B">
      <w:pPr>
        <w:pStyle w:val="ListBullet2"/>
      </w:pPr>
      <w:r w:rsidRPr="001B4B4B">
        <w:t>protection normally provided on doors of switchboard cubicles</w:t>
      </w:r>
    </w:p>
    <w:p w:rsidR="00000000" w:rsidRPr="001B4B4B" w:rsidP="001B4B4B">
      <w:pPr>
        <w:pStyle w:val="ListBullet"/>
      </w:pPr>
      <w:r w:rsidRPr="001B4B4B">
        <w:t>types of electrical and electronic equipment and components</w:t>
      </w:r>
    </w:p>
    <w:p w:rsidR="00000000" w:rsidRPr="001B4B4B" w:rsidP="001B4B4B">
      <w:pPr>
        <w:pStyle w:val="ListBullet"/>
      </w:pPr>
      <w:r w:rsidRPr="001B4B4B">
        <w:t>vessel safety management systems</w:t>
      </w:r>
    </w:p>
    <w:p w:rsidR="00000000" w:rsidRPr="001B4B4B" w:rsidP="001B4B4B">
      <w:pPr>
        <w:pStyle w:val="ListBullet"/>
      </w:pPr>
      <w:r w:rsidRPr="001B4B4B">
        <w:t>work health and safety (WHS)/occupational health and safety (OHS) legislation and policies</w:t>
      </w:r>
    </w:p>
    <w:p w:rsidR="00000000" w:rsidRPr="001B4B4B" w:rsidP="001B4B4B">
      <w:pPr>
        <w:pStyle w:val="ListBullet"/>
      </w:pPr>
      <w:r w:rsidRPr="001B4B4B">
        <w:t>working s</w:t>
      </w:r>
      <w:r w:rsidRPr="001B4B4B">
        <w:t>afely with electricity:</w:t>
      </w:r>
    </w:p>
    <w:p w:rsidR="00000000" w:rsidRPr="001B4B4B" w:rsidP="001B4B4B">
      <w:pPr>
        <w:pStyle w:val="ListBullet2"/>
      </w:pPr>
      <w:r w:rsidRPr="001B4B4B">
        <w:t>appropriate method of removing an electric shock victim from a live electrical situation</w:t>
      </w:r>
    </w:p>
    <w:p w:rsidR="00000000" w:rsidRPr="001B4B4B" w:rsidP="001B4B4B">
      <w:pPr>
        <w:pStyle w:val="ListBullet2"/>
      </w:pPr>
      <w:r w:rsidRPr="001B4B4B">
        <w:t>common causes of electrical accidents</w:t>
      </w:r>
    </w:p>
    <w:p w:rsidR="00000000" w:rsidRPr="001B4B4B" w:rsidP="001B4B4B">
      <w:pPr>
        <w:pStyle w:val="ListBullet2"/>
      </w:pPr>
      <w:r w:rsidRPr="001B4B4B">
        <w:t>effects of electric shock on the human body</w:t>
      </w:r>
    </w:p>
    <w:p w:rsidR="00000000" w:rsidRPr="001B4B4B" w:rsidP="001B4B4B">
      <w:pPr>
        <w:pStyle w:val="ListBullet2"/>
      </w:pPr>
      <w:r w:rsidRPr="001B4B4B">
        <w:t>electrical safe working practices</w:t>
      </w:r>
    </w:p>
    <w:p w:rsidR="00000000" w:rsidRPr="001B4B4B" w:rsidP="001B4B4B">
      <w:pPr>
        <w:pStyle w:val="ListBullet2"/>
      </w:pPr>
      <w:r w:rsidRPr="001B4B4B">
        <w:t>need for ensuring safe iso</w:t>
      </w:r>
      <w:r w:rsidRPr="001B4B4B">
        <w:t>lation of an electrical supply</w:t>
      </w:r>
    </w:p>
    <w:p w:rsidR="00000000" w:rsidRPr="001B4B4B" w:rsidP="001B4B4B">
      <w:pPr>
        <w:pStyle w:val="ListBullet2"/>
      </w:pPr>
      <w:r w:rsidRPr="001B4B4B">
        <w:t>precautions that can minimise chance of electric shock.</w:t>
      </w:r>
    </w:p>
    <w:p w:rsidR="00000000" w:rsidRPr="001B4B4B" w:rsidP="001B4B4B">
      <w:pPr>
        <w:pStyle w:val="AllowPageBreak"/>
      </w:pPr>
    </w:p>
    <w:p w:rsidR="00000000" w:rsidRPr="001B4B4B" w:rsidP="001B4B4B">
      <w:pPr>
        <w:pStyle w:val="Heading1"/>
      </w:pPr>
      <w:bookmarkStart w:id="4" w:name="O_596578"/>
      <w:bookmarkEnd w:id="4"/>
      <w:r w:rsidRPr="001B4B4B">
        <w:t>Assessment Conditions</w:t>
      </w:r>
    </w:p>
    <w:p w:rsidR="00000000" w:rsidRPr="001B4B4B" w:rsidP="00872084">
      <w:pPr>
        <w:pStyle w:val="BodyText"/>
      </w:pPr>
      <w:r w:rsidRPr="001B4B4B">
        <w:t>Assessors must satisfy National Vocational Education and Training Regulator (NVR)/Australian Quality Training Framework (AQTF) ass</w:t>
      </w:r>
      <w:r w:rsidRPr="001B4B4B">
        <w:t>essor requirements.</w:t>
      </w:r>
    </w:p>
    <w:p w:rsidR="00000000" w:rsidRPr="001B4B4B" w:rsidP="00872084">
      <w:pPr>
        <w:pStyle w:val="BodyText"/>
      </w:pPr>
      <w:r w:rsidRPr="001B4B4B">
        <w:t>Assessment must occur in workplace operational situations where it is appropriate to do so; where this is not appropriate, assessment must occur in simulated workplace operational situations that reflect workplace conditions.</w:t>
      </w:r>
    </w:p>
    <w:p w:rsidR="00000000" w:rsidRPr="001B4B4B" w:rsidP="00872084">
      <w:pPr>
        <w:pStyle w:val="BodyText"/>
      </w:pPr>
      <w:r w:rsidRPr="001B4B4B">
        <w:t>Assessment processes and techniques must be appropriate to the language, literacy and numeracy requirements of the work being performed and the needs of the candidate.</w:t>
      </w:r>
    </w:p>
    <w:p w:rsidR="00000000" w:rsidRPr="001B4B4B" w:rsidP="00872084">
      <w:pPr>
        <w:pStyle w:val="BodyText"/>
      </w:pPr>
      <w:r w:rsidRPr="001B4B4B">
        <w:t>Resources for assessment must include access to:</w:t>
      </w:r>
    </w:p>
    <w:p w:rsidR="00000000" w:rsidRPr="001B4B4B" w:rsidP="001B4B4B">
      <w:pPr>
        <w:pStyle w:val="ListBullet"/>
      </w:pPr>
      <w:r w:rsidRPr="001B4B4B">
        <w:t>tools, equipment, machinery, material</w:t>
      </w:r>
      <w:r w:rsidRPr="001B4B4B">
        <w:t>s and personal protective equipment currently used in industry</w:t>
      </w:r>
    </w:p>
    <w:p w:rsidR="00000000" w:rsidRPr="001B4B4B" w:rsidP="001B4B4B">
      <w:pPr>
        <w:pStyle w:val="ListBullet"/>
      </w:pPr>
      <w:r w:rsidRPr="001B4B4B">
        <w:t xml:space="preserve">applicable documentation such as legislation, regulations, codes of practice, workplace procedures and operational manuals </w:t>
      </w:r>
    </w:p>
    <w:p w:rsidR="00000000" w:rsidRPr="001B4B4B" w:rsidP="001B4B4B">
      <w:pPr>
        <w:pStyle w:val="ListBullet"/>
      </w:pPr>
      <w:r w:rsidRPr="001B4B4B">
        <w:t>range of relevant exercises, case studies and/or simulations.</w:t>
      </w:r>
    </w:p>
    <w:p w:rsidR="00000000" w:rsidRPr="001B4B4B" w:rsidP="001B4B4B">
      <w:pPr>
        <w:pStyle w:val="AllowPageBreak"/>
      </w:pPr>
    </w:p>
    <w:p w:rsidR="00000000" w:rsidRPr="001B4B4B" w:rsidP="001B4B4B">
      <w:pPr>
        <w:pStyle w:val="Heading1"/>
      </w:pPr>
      <w:bookmarkStart w:id="5" w:name="O_596581"/>
      <w:bookmarkEnd w:id="5"/>
      <w:r w:rsidRPr="001B4B4B">
        <w:t>Links</w:t>
      </w:r>
    </w:p>
    <w:p w:rsidR="00000000" w:rsidRPr="001B4B4B" w:rsidP="00872084">
      <w:pPr>
        <w:pStyle w:val="BodyText"/>
      </w:pPr>
      <w:r w:rsidRPr="001B4B4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041C5">
        <w:rPr>
          <w:rStyle w:val="Hyperlink"/>
        </w:rPr>
        <w:t>https://vetnet.gov.au/Pages/TrainingDocs.aspx?q=772efb7b-4cce-47fe-9bbd-ee3b1d1eb4c2</w:t>
      </w:r>
      <w:r>
        <w:fldChar w:fldCharType="end"/>
      </w:r>
    </w:p>
    <w:p w:rsidR="00000000" w:rsidRPr="001B4B4B" w:rsidP="001B4B4B"/>
    <w:sectPr w:rsidSect="001B4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4B" w:rsidRPr="00872084" w:rsidP="008720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84" w:rsidP="001B4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084" w:rsidP="001B4B4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2084" w:rsidP="001B4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B4B" w:rsidRPr="00872084" w:rsidP="008720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084" w:rsidRPr="002D2AF8" w:rsidP="001B4B4B">
    <w:pPr>
      <w:pStyle w:val="Header"/>
      <w:framePr w:wrap="around"/>
    </w:pPr>
    <w:r>
      <w:fldChar w:fldCharType="begin"/>
    </w:r>
    <w:r>
      <w:instrText xml:space="preserve"> TITLE   \* MERGEFORMAT </w:instrText>
    </w:r>
    <w:r>
      <w:fldChar w:fldCharType="separate"/>
    </w:r>
    <w:r>
      <w:t>Assessment Requirements for MARB013 Maintain and repair marine electrical and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872084" w:rsidP="001B4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B82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52C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88B3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B4B"/>
    <w:pPr>
      <w:spacing w:before="360" w:after="60"/>
      <w:outlineLvl w:val="0"/>
    </w:pPr>
    <w:rPr>
      <w:sz w:val="32"/>
    </w:rPr>
  </w:style>
  <w:style w:type="paragraph" w:styleId="Heading2">
    <w:name w:val="heading 2"/>
    <w:basedOn w:val="HeadingBase"/>
    <w:next w:val="BodyText"/>
    <w:link w:val="Heading2Char"/>
    <w:qFormat/>
    <w:rsid w:val="001B4B4B"/>
    <w:pPr>
      <w:keepLines/>
      <w:spacing w:before="240" w:after="120"/>
      <w:outlineLvl w:val="1"/>
    </w:pPr>
    <w:rPr>
      <w:sz w:val="28"/>
      <w:szCs w:val="40"/>
    </w:rPr>
  </w:style>
  <w:style w:type="paragraph" w:styleId="Heading3">
    <w:name w:val="heading 3"/>
    <w:basedOn w:val="HeadingBase"/>
    <w:next w:val="BodyText"/>
    <w:link w:val="Heading3Char"/>
    <w:qFormat/>
    <w:rsid w:val="001B4B4B"/>
    <w:pPr>
      <w:spacing w:before="180" w:after="120"/>
      <w:outlineLvl w:val="2"/>
    </w:pPr>
    <w:rPr>
      <w:spacing w:val="-10"/>
      <w:kern w:val="32"/>
    </w:rPr>
  </w:style>
  <w:style w:type="paragraph" w:styleId="Heading4">
    <w:name w:val="heading 4"/>
    <w:basedOn w:val="HeadingBase"/>
    <w:next w:val="BodyText"/>
    <w:link w:val="Heading4Char"/>
    <w:qFormat/>
    <w:rsid w:val="001B4B4B"/>
    <w:pPr>
      <w:spacing w:before="160" w:after="120"/>
      <w:outlineLvl w:val="3"/>
    </w:pPr>
    <w:rPr>
      <w:sz w:val="22"/>
    </w:rPr>
  </w:style>
  <w:style w:type="paragraph" w:styleId="Heading5">
    <w:name w:val="heading 5"/>
    <w:basedOn w:val="HeadingBase"/>
    <w:next w:val="Normal"/>
    <w:link w:val="Heading5Char"/>
    <w:qFormat/>
    <w:rsid w:val="001B4B4B"/>
    <w:pPr>
      <w:spacing w:before="80"/>
      <w:outlineLvl w:val="4"/>
    </w:pPr>
    <w:rPr>
      <w:color w:val="918585"/>
      <w:sz w:val="20"/>
    </w:rPr>
  </w:style>
  <w:style w:type="paragraph" w:styleId="Heading6">
    <w:name w:val="heading 6"/>
    <w:basedOn w:val="HeadingBase"/>
    <w:next w:val="Normal"/>
    <w:link w:val="Heading6Char"/>
    <w:qFormat/>
    <w:rsid w:val="001B4B4B"/>
    <w:pPr>
      <w:spacing w:before="60"/>
      <w:outlineLvl w:val="5"/>
    </w:pPr>
    <w:rPr>
      <w:color w:val="918585"/>
      <w:sz w:val="20"/>
    </w:rPr>
  </w:style>
  <w:style w:type="paragraph" w:styleId="Heading7">
    <w:name w:val="heading 7"/>
    <w:basedOn w:val="Normal"/>
    <w:next w:val="Normal"/>
    <w:link w:val="Heading7Char"/>
    <w:qFormat/>
    <w:rsid w:val="001B4B4B"/>
    <w:pPr>
      <w:ind w:left="720"/>
      <w:outlineLvl w:val="6"/>
    </w:pPr>
    <w:rPr>
      <w:i/>
    </w:rPr>
  </w:style>
  <w:style w:type="paragraph" w:styleId="Heading8">
    <w:name w:val="heading 8"/>
    <w:basedOn w:val="Normal"/>
    <w:next w:val="Normal"/>
    <w:link w:val="Heading8Char"/>
    <w:qFormat/>
    <w:rsid w:val="001B4B4B"/>
    <w:pPr>
      <w:ind w:left="720"/>
      <w:outlineLvl w:val="7"/>
    </w:pPr>
    <w:rPr>
      <w:i/>
    </w:rPr>
  </w:style>
  <w:style w:type="paragraph" w:styleId="Heading9">
    <w:name w:val="heading 9"/>
    <w:basedOn w:val="Normal"/>
    <w:next w:val="Normal"/>
    <w:link w:val="Heading9Char"/>
    <w:qFormat/>
    <w:rsid w:val="001B4B4B"/>
    <w:pPr>
      <w:ind w:left="720"/>
      <w:outlineLvl w:val="8"/>
    </w:pPr>
    <w:rPr>
      <w:i/>
    </w:rPr>
  </w:style>
  <w:style w:type="character" w:default="1" w:styleId="DefaultParagraphFont">
    <w:name w:val="Default Paragraph Font"/>
    <w:uiPriority w:val="1"/>
    <w:unhideWhenUsed/>
    <w:rsid w:val="001B4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B4B"/>
  </w:style>
  <w:style w:type="character" w:customStyle="1" w:styleId="Heading1Char">
    <w:name w:val="Heading 1 Char"/>
    <w:basedOn w:val="DefaultParagraphFont"/>
    <w:link w:val="Heading1"/>
    <w:rsid w:val="001B4B4B"/>
    <w:rPr>
      <w:rFonts w:ascii="Times New Roman" w:eastAsia="Times New Roman" w:hAnsi="Times New Roman" w:cs="Times New Roman"/>
      <w:b/>
      <w:sz w:val="32"/>
      <w:szCs w:val="20"/>
      <w:lang w:eastAsia="en-US"/>
    </w:rPr>
  </w:style>
  <w:style w:type="paragraph" w:styleId="BodyText">
    <w:name w:val="Body Text"/>
    <w:basedOn w:val="Normal"/>
    <w:link w:val="BodyTextChar"/>
    <w:rsid w:val="001B4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B4B"/>
    <w:rPr>
      <w:rFonts w:ascii="Times New Roman" w:eastAsia="Times New Roman" w:hAnsi="Times New Roman" w:cs="Times New Roman"/>
      <w:sz w:val="24"/>
      <w:lang w:eastAsia="en-US"/>
    </w:rPr>
  </w:style>
  <w:style w:type="paragraph" w:styleId="ListBullet">
    <w:name w:val="List Bullet"/>
    <w:basedOn w:val="List"/>
    <w:rsid w:val="001B4B4B"/>
    <w:pPr>
      <w:numPr>
        <w:numId w:val="12"/>
      </w:numPr>
      <w:tabs>
        <w:tab w:val="clear" w:pos="340"/>
      </w:tabs>
      <w:spacing w:before="40" w:after="40"/>
    </w:pPr>
  </w:style>
  <w:style w:type="paragraph" w:styleId="ListBullet2">
    <w:name w:val="List Bullet 2"/>
    <w:basedOn w:val="List2"/>
    <w:rsid w:val="001B4B4B"/>
    <w:pPr>
      <w:numPr>
        <w:numId w:val="13"/>
      </w:numPr>
      <w:tabs>
        <w:tab w:val="clear" w:pos="680"/>
      </w:tabs>
    </w:pPr>
  </w:style>
  <w:style w:type="paragraph" w:customStyle="1" w:styleId="SuperHeading">
    <w:name w:val="SuperHeading"/>
    <w:basedOn w:val="Normal"/>
    <w:rsid w:val="001B4B4B"/>
    <w:pPr>
      <w:spacing w:before="240" w:after="120"/>
      <w:outlineLvl w:val="0"/>
    </w:pPr>
    <w:rPr>
      <w:rFonts w:ascii="Times New Roman" w:hAnsi="Times New Roman"/>
      <w:b/>
      <w:sz w:val="32"/>
    </w:rPr>
  </w:style>
  <w:style w:type="paragraph" w:customStyle="1" w:styleId="AllowPageBreak">
    <w:name w:val="AllowPageBreak"/>
    <w:rsid w:val="001B4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4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B4B"/>
    <w:rPr>
      <w:rFonts w:ascii="Courier New" w:eastAsia="Times New Roman" w:hAnsi="Courier New" w:cs="Times New Roman"/>
      <w:i/>
      <w:szCs w:val="20"/>
      <w:lang w:eastAsia="en-US"/>
    </w:rPr>
  </w:style>
  <w:style w:type="paragraph" w:customStyle="1" w:styleId="HeadingBase">
    <w:name w:val="Heading Base"/>
    <w:rsid w:val="001B4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B4B"/>
    <w:pPr>
      <w:tabs>
        <w:tab w:val="right" w:leader="dot" w:pos="9072"/>
      </w:tabs>
      <w:ind w:left="567"/>
    </w:pPr>
    <w:rPr>
      <w:szCs w:val="22"/>
    </w:rPr>
  </w:style>
  <w:style w:type="paragraph" w:customStyle="1" w:styleId="TOCBase">
    <w:name w:val="TOC Base"/>
    <w:rsid w:val="001B4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B4B"/>
    <w:pPr>
      <w:tabs>
        <w:tab w:val="right" w:leader="dot" w:pos="9072"/>
      </w:tabs>
      <w:spacing w:before="40" w:after="40"/>
      <w:ind w:left="284"/>
    </w:pPr>
    <w:rPr>
      <w:rFonts w:ascii="Times New Roman" w:hAnsi="Times New Roman"/>
    </w:rPr>
  </w:style>
  <w:style w:type="paragraph" w:styleId="TOC1">
    <w:name w:val="toc 1"/>
    <w:basedOn w:val="TOCBase"/>
    <w:next w:val="Normal"/>
    <w:rsid w:val="001B4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B4B"/>
    <w:rPr>
      <w:rFonts w:ascii="Times New Roman" w:eastAsia="Times New Roman" w:hAnsi="Times New Roman" w:cs="Times New Roman"/>
      <w:sz w:val="16"/>
      <w:lang w:eastAsia="en-US"/>
    </w:rPr>
  </w:style>
  <w:style w:type="paragraph" w:styleId="Title">
    <w:name w:val="Title"/>
    <w:basedOn w:val="HeadingBase"/>
    <w:link w:val="TitleChar"/>
    <w:qFormat/>
    <w:rsid w:val="001B4B4B"/>
    <w:pPr>
      <w:spacing w:before="5040"/>
      <w:jc w:val="center"/>
    </w:pPr>
    <w:rPr>
      <w:sz w:val="48"/>
      <w:szCs w:val="72"/>
      <w:lang w:val="en-US"/>
    </w:rPr>
  </w:style>
  <w:style w:type="character" w:customStyle="1" w:styleId="TitleChar">
    <w:name w:val="Title Char"/>
    <w:basedOn w:val="DefaultParagraphFont"/>
    <w:link w:val="Title"/>
    <w:rsid w:val="001B4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B4B"/>
    <w:pPr>
      <w:tabs>
        <w:tab w:val="left" w:pos="3600"/>
        <w:tab w:val="left" w:pos="3958"/>
      </w:tabs>
    </w:pPr>
  </w:style>
  <w:style w:type="paragraph" w:styleId="List">
    <w:name w:val="List"/>
    <w:basedOn w:val="BodyText"/>
    <w:next w:val="BodyText"/>
    <w:rsid w:val="001B4B4B"/>
    <w:pPr>
      <w:tabs>
        <w:tab w:val="left" w:pos="340"/>
      </w:tabs>
      <w:spacing w:before="60" w:after="60"/>
      <w:ind w:left="340" w:hanging="340"/>
    </w:pPr>
  </w:style>
  <w:style w:type="paragraph" w:customStyle="1" w:styleId="Note">
    <w:name w:val="Note"/>
    <w:basedOn w:val="BodyText"/>
    <w:rsid w:val="001B4B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4B4B"/>
    <w:rPr>
      <w:b/>
      <w:spacing w:val="0"/>
    </w:rPr>
  </w:style>
  <w:style w:type="paragraph" w:customStyle="1" w:styleId="SuperTitle">
    <w:name w:val="SuperTitle"/>
    <w:basedOn w:val="Title"/>
    <w:rsid w:val="001B4B4B"/>
    <w:pPr>
      <w:framePr w:wrap="auto" w:hAnchor="text" w:y="6049"/>
    </w:pPr>
    <w:rPr>
      <w:color w:val="000000"/>
      <w:sz w:val="40"/>
    </w:rPr>
  </w:style>
  <w:style w:type="paragraph" w:customStyle="1" w:styleId="TOCTitle">
    <w:name w:val="TOCTitle"/>
    <w:basedOn w:val="Heading1"/>
    <w:rsid w:val="001B4B4B"/>
    <w:pPr>
      <w:spacing w:after="240"/>
      <w:jc w:val="center"/>
      <w:outlineLvl w:val="9"/>
    </w:pPr>
    <w:rPr>
      <w:caps/>
    </w:rPr>
  </w:style>
  <w:style w:type="paragraph" w:customStyle="1" w:styleId="Version">
    <w:name w:val="Version"/>
    <w:rsid w:val="001B4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4B4B"/>
    <w:pPr>
      <w:keepNext w:val="0"/>
      <w:tabs>
        <w:tab w:val="right" w:pos="4176"/>
      </w:tabs>
      <w:ind w:left="198" w:hanging="198"/>
    </w:pPr>
    <w:rPr>
      <w:rFonts w:ascii="Garamond" w:hAnsi="Garamond"/>
    </w:rPr>
  </w:style>
  <w:style w:type="paragraph" w:styleId="IndexHeading">
    <w:name w:val="index heading"/>
    <w:basedOn w:val="Normal"/>
    <w:next w:val="Index1"/>
    <w:semiHidden/>
    <w:rsid w:val="001B4B4B"/>
    <w:pPr>
      <w:spacing w:before="120" w:after="120"/>
    </w:pPr>
    <w:rPr>
      <w:rFonts w:ascii="Arial" w:hAnsi="Arial"/>
      <w:b/>
      <w:color w:val="918585"/>
      <w:sz w:val="24"/>
    </w:rPr>
  </w:style>
  <w:style w:type="paragraph" w:styleId="Header">
    <w:name w:val="header"/>
    <w:basedOn w:val="Normal"/>
    <w:link w:val="HeaderChar"/>
    <w:rsid w:val="001B4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B4B"/>
    <w:rPr>
      <w:rFonts w:ascii="Times New Roman" w:eastAsia="Times New Roman" w:hAnsi="Times New Roman" w:cs="Times New Roman"/>
      <w:sz w:val="16"/>
      <w:szCs w:val="20"/>
      <w:lang w:val="en-GB" w:eastAsia="en-US"/>
    </w:rPr>
  </w:style>
  <w:style w:type="paragraph" w:customStyle="1" w:styleId="Chapter">
    <w:name w:val="Chapter"/>
    <w:basedOn w:val="Normal"/>
    <w:rsid w:val="001B4B4B"/>
    <w:pPr>
      <w:spacing w:before="240"/>
    </w:pPr>
    <w:rPr>
      <w:rFonts w:ascii="Times New Roman" w:hAnsi="Times New Roman"/>
      <w:smallCaps/>
      <w:spacing w:val="80"/>
      <w:sz w:val="28"/>
    </w:rPr>
  </w:style>
  <w:style w:type="paragraph" w:customStyle="1" w:styleId="InChapter">
    <w:name w:val="InChapter"/>
    <w:basedOn w:val="Heading3"/>
    <w:rsid w:val="001B4B4B"/>
    <w:pPr>
      <w:spacing w:after="240"/>
      <w:outlineLvl w:val="9"/>
    </w:pPr>
    <w:rPr>
      <w:noProof/>
    </w:rPr>
  </w:style>
  <w:style w:type="paragraph" w:styleId="Index2">
    <w:name w:val="index 2"/>
    <w:basedOn w:val="Normal"/>
    <w:next w:val="Normal"/>
    <w:semiHidden/>
    <w:rsid w:val="001B4B4B"/>
    <w:pPr>
      <w:tabs>
        <w:tab w:val="right" w:pos="4176"/>
      </w:tabs>
      <w:ind w:left="568" w:hanging="284"/>
    </w:pPr>
    <w:rPr>
      <w:rFonts w:ascii="Garamond" w:hAnsi="Garamond"/>
    </w:rPr>
  </w:style>
  <w:style w:type="paragraph" w:customStyle="1" w:styleId="Byline">
    <w:name w:val="Byline"/>
    <w:rsid w:val="001B4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B4B"/>
    <w:pPr>
      <w:tabs>
        <w:tab w:val="clear" w:pos="3600"/>
        <w:tab w:val="clear" w:pos="3958"/>
      </w:tabs>
      <w:jc w:val="right"/>
    </w:pPr>
  </w:style>
  <w:style w:type="character" w:styleId="Emphasis">
    <w:name w:val="Emphasis"/>
    <w:basedOn w:val="DefaultParagraphFont"/>
    <w:qFormat/>
    <w:rsid w:val="001B4B4B"/>
    <w:rPr>
      <w:i/>
    </w:rPr>
  </w:style>
  <w:style w:type="paragraph" w:styleId="Caption">
    <w:name w:val="caption"/>
    <w:basedOn w:val="BodyText"/>
    <w:next w:val="Normal"/>
    <w:qFormat/>
    <w:rsid w:val="001B4B4B"/>
    <w:pPr>
      <w:framePr w:w="2268" w:hSpace="181" w:vSpace="181" w:wrap="around" w:vAnchor="text" w:hAnchor="page" w:x="1135" w:y="285" w:anchorLock="1"/>
    </w:pPr>
    <w:rPr>
      <w:i/>
    </w:rPr>
  </w:style>
  <w:style w:type="paragraph" w:customStyle="1" w:styleId="MiniTOCTitle">
    <w:name w:val="MiniTOCTitle"/>
    <w:basedOn w:val="Heading4"/>
    <w:rsid w:val="001B4B4B"/>
    <w:pPr>
      <w:spacing w:before="240"/>
      <w:outlineLvl w:val="9"/>
    </w:pPr>
    <w:rPr>
      <w:noProof/>
      <w:sz w:val="24"/>
    </w:rPr>
  </w:style>
  <w:style w:type="paragraph" w:customStyle="1" w:styleId="MiniTOCItem">
    <w:name w:val="MiniTOCItem"/>
    <w:basedOn w:val="ListBullet"/>
    <w:rsid w:val="001B4B4B"/>
    <w:pPr>
      <w:numPr>
        <w:numId w:val="0"/>
      </w:numPr>
      <w:tabs>
        <w:tab w:val="right" w:leader="dot" w:pos="6521"/>
      </w:tabs>
      <w:spacing w:before="0" w:after="0"/>
    </w:pPr>
  </w:style>
  <w:style w:type="paragraph" w:customStyle="1" w:styleId="TOFTitle">
    <w:name w:val="TOFTitle"/>
    <w:basedOn w:val="TOCTitle"/>
    <w:rsid w:val="001B4B4B"/>
  </w:style>
  <w:style w:type="paragraph" w:styleId="TableofFigures">
    <w:name w:val="table of figures"/>
    <w:basedOn w:val="Normal"/>
    <w:next w:val="Normal"/>
    <w:semiHidden/>
    <w:rsid w:val="001B4B4B"/>
    <w:pPr>
      <w:tabs>
        <w:tab w:val="right" w:leader="dot" w:pos="9072"/>
      </w:tabs>
      <w:ind w:left="970" w:hanging="403"/>
    </w:pPr>
    <w:rPr>
      <w:rFonts w:ascii="Times New Roman" w:hAnsi="Times New Roman"/>
      <w:b/>
    </w:rPr>
  </w:style>
  <w:style w:type="paragraph" w:styleId="ListNumber">
    <w:name w:val="List Number"/>
    <w:basedOn w:val="List"/>
    <w:rsid w:val="001B4B4B"/>
    <w:pPr>
      <w:numPr>
        <w:numId w:val="15"/>
      </w:numPr>
      <w:tabs>
        <w:tab w:val="clear" w:pos="340"/>
      </w:tabs>
    </w:pPr>
  </w:style>
  <w:style w:type="character" w:customStyle="1" w:styleId="WingdingSymbols">
    <w:name w:val="Wingding Symbols"/>
    <w:rsid w:val="001B4B4B"/>
    <w:rPr>
      <w:rFonts w:ascii="Wingdings" w:hAnsi="Wingdings"/>
    </w:rPr>
  </w:style>
  <w:style w:type="paragraph" w:customStyle="1" w:styleId="TableHeading">
    <w:name w:val="Table Heading"/>
    <w:basedOn w:val="HeadingBase"/>
    <w:rsid w:val="001B4B4B"/>
    <w:pPr>
      <w:keepLines/>
      <w:pBdr>
        <w:bottom w:val="single" w:sz="6" w:space="1" w:color="918585"/>
      </w:pBdr>
      <w:spacing w:before="240"/>
    </w:pPr>
  </w:style>
  <w:style w:type="character" w:customStyle="1" w:styleId="HotSpot">
    <w:name w:val="HotSpot"/>
    <w:rsid w:val="001B4B4B"/>
    <w:rPr>
      <w:color w:val="0033CC"/>
      <w:u w:val="none"/>
    </w:rPr>
  </w:style>
  <w:style w:type="paragraph" w:customStyle="1" w:styleId="BodyTextRight">
    <w:name w:val="Body Text Right"/>
    <w:basedOn w:val="BodyText"/>
    <w:rsid w:val="001B4B4B"/>
    <w:pPr>
      <w:spacing w:before="0" w:after="0"/>
      <w:jc w:val="right"/>
    </w:pPr>
  </w:style>
  <w:style w:type="paragraph" w:styleId="Index3">
    <w:name w:val="index 3"/>
    <w:basedOn w:val="ListNumber2"/>
    <w:next w:val="Normal"/>
    <w:semiHidden/>
    <w:rsid w:val="001B4B4B"/>
    <w:pPr>
      <w:numPr>
        <w:numId w:val="0"/>
      </w:numPr>
      <w:tabs>
        <w:tab w:val="right" w:leader="dot" w:pos="4176"/>
      </w:tabs>
    </w:pPr>
  </w:style>
  <w:style w:type="paragraph" w:styleId="ListNumber2">
    <w:name w:val="List Number 2"/>
    <w:basedOn w:val="List2"/>
    <w:rsid w:val="001B4B4B"/>
    <w:pPr>
      <w:numPr>
        <w:numId w:val="10"/>
      </w:numPr>
      <w:tabs>
        <w:tab w:val="clear" w:pos="1060"/>
      </w:tabs>
    </w:pPr>
  </w:style>
  <w:style w:type="paragraph" w:customStyle="1" w:styleId="MarginNote">
    <w:name w:val="Margin Note"/>
    <w:basedOn w:val="BodyText"/>
    <w:rsid w:val="001B4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B4B"/>
    <w:rPr>
      <w:sz w:val="32"/>
    </w:rPr>
  </w:style>
  <w:style w:type="paragraph" w:customStyle="1" w:styleId="HeadingProcedure">
    <w:name w:val="Heading Procedure"/>
    <w:basedOn w:val="HeadingBase"/>
    <w:next w:val="Normal"/>
    <w:rsid w:val="001B4B4B"/>
    <w:pPr>
      <w:tabs>
        <w:tab w:val="left" w:pos="0"/>
      </w:tabs>
      <w:spacing w:before="120" w:after="60"/>
    </w:pPr>
    <w:rPr>
      <w:i/>
      <w:color w:val="918585"/>
      <w:sz w:val="22"/>
    </w:rPr>
  </w:style>
  <w:style w:type="paragraph" w:customStyle="1" w:styleId="TableBodyText">
    <w:name w:val="Table Body Text"/>
    <w:basedOn w:val="BodyText"/>
    <w:rsid w:val="001B4B4B"/>
    <w:pPr>
      <w:spacing w:before="60" w:after="60"/>
    </w:pPr>
  </w:style>
  <w:style w:type="paragraph" w:styleId="ListContinue">
    <w:name w:val="List Continue"/>
    <w:basedOn w:val="List"/>
    <w:rsid w:val="001B4B4B"/>
    <w:pPr>
      <w:ind w:firstLine="0"/>
    </w:pPr>
  </w:style>
  <w:style w:type="paragraph" w:customStyle="1" w:styleId="ListNote">
    <w:name w:val="List Note"/>
    <w:basedOn w:val="List"/>
    <w:rsid w:val="001B4B4B"/>
    <w:pPr>
      <w:pBdr>
        <w:top w:val="single" w:sz="6" w:space="2" w:color="918585"/>
        <w:bottom w:val="single" w:sz="6" w:space="2" w:color="918585"/>
      </w:pBdr>
      <w:tabs>
        <w:tab w:val="left" w:pos="1021"/>
      </w:tabs>
      <w:ind w:firstLine="0"/>
    </w:pPr>
  </w:style>
  <w:style w:type="paragraph" w:customStyle="1" w:styleId="Warning">
    <w:name w:val="Warning"/>
    <w:basedOn w:val="BodyText"/>
    <w:rsid w:val="001B4B4B"/>
    <w:pPr>
      <w:shd w:val="clear" w:color="auto" w:fill="D9D9D9"/>
      <w:tabs>
        <w:tab w:val="left" w:pos="992"/>
      </w:tabs>
      <w:ind w:left="119" w:right="119"/>
    </w:pPr>
    <w:rPr>
      <w:sz w:val="20"/>
    </w:rPr>
  </w:style>
  <w:style w:type="paragraph" w:customStyle="1" w:styleId="MarginIcons">
    <w:name w:val="Margin Icons"/>
    <w:basedOn w:val="BodyText"/>
    <w:rsid w:val="001B4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B4B"/>
    <w:rPr>
      <w:rFonts w:ascii="Courier New" w:hAnsi="Courier New"/>
    </w:rPr>
  </w:style>
  <w:style w:type="paragraph" w:customStyle="1" w:styleId="NoteBullet">
    <w:name w:val="Note Bullet"/>
    <w:basedOn w:val="Note"/>
    <w:rsid w:val="001B4B4B"/>
    <w:pPr>
      <w:tabs>
        <w:tab w:val="clear" w:pos="680"/>
      </w:tabs>
      <w:spacing w:before="60" w:after="60"/>
    </w:pPr>
  </w:style>
  <w:style w:type="paragraph" w:customStyle="1" w:styleId="SubHeading2">
    <w:name w:val="SubHeading2"/>
    <w:basedOn w:val="HeadingBase"/>
    <w:rsid w:val="001B4B4B"/>
    <w:pPr>
      <w:spacing w:before="240" w:after="60"/>
    </w:pPr>
    <w:rPr>
      <w:sz w:val="20"/>
    </w:rPr>
  </w:style>
  <w:style w:type="paragraph" w:customStyle="1" w:styleId="SubHeading1">
    <w:name w:val="SubHeading1"/>
    <w:basedOn w:val="HeadingBase"/>
    <w:rsid w:val="001B4B4B"/>
    <w:pPr>
      <w:spacing w:before="240" w:after="60"/>
    </w:pPr>
    <w:rPr>
      <w:color w:val="918585"/>
      <w:sz w:val="22"/>
    </w:rPr>
  </w:style>
  <w:style w:type="paragraph" w:customStyle="1" w:styleId="SideHeading">
    <w:name w:val="Side Heading"/>
    <w:basedOn w:val="HeadingBase"/>
    <w:rsid w:val="001B4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B4B"/>
    <w:pPr>
      <w:tabs>
        <w:tab w:val="num" w:pos="360"/>
      </w:tabs>
    </w:pPr>
  </w:style>
  <w:style w:type="paragraph" w:styleId="PlainText">
    <w:name w:val="Plain Text"/>
    <w:basedOn w:val="Normal"/>
    <w:link w:val="PlainTextChar"/>
    <w:rsid w:val="001B4B4B"/>
    <w:rPr>
      <w:sz w:val="20"/>
    </w:rPr>
  </w:style>
  <w:style w:type="character" w:customStyle="1" w:styleId="PlainTextChar">
    <w:name w:val="Plain Text Char"/>
    <w:basedOn w:val="DefaultParagraphFont"/>
    <w:link w:val="PlainText"/>
    <w:rsid w:val="001B4B4B"/>
    <w:rPr>
      <w:rFonts w:ascii="Courier New" w:eastAsia="Times New Roman" w:hAnsi="Courier New" w:cs="Times New Roman"/>
      <w:sz w:val="20"/>
      <w:szCs w:val="20"/>
      <w:lang w:eastAsia="en-US"/>
    </w:rPr>
  </w:style>
  <w:style w:type="character" w:customStyle="1" w:styleId="MenuOption">
    <w:name w:val="Menu Option"/>
    <w:basedOn w:val="DefaultParagraphFont"/>
    <w:rsid w:val="001B4B4B"/>
    <w:rPr>
      <w:b/>
      <w:smallCaps/>
    </w:rPr>
  </w:style>
  <w:style w:type="paragraph" w:customStyle="1" w:styleId="TableListNumber">
    <w:name w:val="Table List Number"/>
    <w:basedOn w:val="ListNumber"/>
    <w:rsid w:val="001B4B4B"/>
    <w:pPr>
      <w:numPr>
        <w:numId w:val="0"/>
      </w:numPr>
    </w:pPr>
  </w:style>
  <w:style w:type="paragraph" w:styleId="TOC4">
    <w:name w:val="toc 4"/>
    <w:basedOn w:val="TOCBase"/>
    <w:next w:val="Normal"/>
    <w:semiHidden/>
    <w:rsid w:val="001B4B4B"/>
    <w:pPr>
      <w:tabs>
        <w:tab w:val="right" w:leader="dot" w:pos="9071"/>
      </w:tabs>
      <w:ind w:left="1701"/>
    </w:pPr>
  </w:style>
  <w:style w:type="paragraph" w:customStyle="1" w:styleId="ListAlpha">
    <w:name w:val="List Alpha"/>
    <w:basedOn w:val="List"/>
    <w:rsid w:val="001B4B4B"/>
    <w:pPr>
      <w:numPr>
        <w:numId w:val="9"/>
      </w:numPr>
    </w:pPr>
  </w:style>
  <w:style w:type="paragraph" w:customStyle="1" w:styleId="ListAlpha2">
    <w:name w:val="List Alpha 2"/>
    <w:basedOn w:val="List2"/>
    <w:rsid w:val="001B4B4B"/>
    <w:pPr>
      <w:numPr>
        <w:numId w:val="8"/>
      </w:numPr>
    </w:pPr>
  </w:style>
  <w:style w:type="paragraph" w:styleId="List2">
    <w:name w:val="List 2"/>
    <w:basedOn w:val="BodyText"/>
    <w:rsid w:val="001B4B4B"/>
    <w:pPr>
      <w:tabs>
        <w:tab w:val="left" w:pos="680"/>
      </w:tabs>
      <w:spacing w:before="60" w:after="60"/>
      <w:ind w:left="680" w:hanging="340"/>
    </w:pPr>
  </w:style>
  <w:style w:type="paragraph" w:styleId="List3">
    <w:name w:val="List 3"/>
    <w:basedOn w:val="BodyText"/>
    <w:rsid w:val="001B4B4B"/>
    <w:pPr>
      <w:tabs>
        <w:tab w:val="left" w:pos="1021"/>
      </w:tabs>
      <w:spacing w:before="60" w:after="60"/>
      <w:ind w:left="1020" w:hanging="340"/>
    </w:pPr>
  </w:style>
  <w:style w:type="paragraph" w:styleId="List4">
    <w:name w:val="List 4"/>
    <w:basedOn w:val="BodyText"/>
    <w:rsid w:val="001B4B4B"/>
    <w:pPr>
      <w:tabs>
        <w:tab w:val="left" w:pos="1361"/>
      </w:tabs>
      <w:spacing w:before="60" w:after="60"/>
      <w:ind w:left="1361" w:hanging="340"/>
    </w:pPr>
  </w:style>
  <w:style w:type="paragraph" w:styleId="List5">
    <w:name w:val="List 5"/>
    <w:basedOn w:val="BodyText"/>
    <w:rsid w:val="001B4B4B"/>
    <w:pPr>
      <w:tabs>
        <w:tab w:val="left" w:pos="1701"/>
      </w:tabs>
      <w:spacing w:before="60" w:after="60"/>
      <w:ind w:left="1701" w:hanging="340"/>
    </w:pPr>
  </w:style>
  <w:style w:type="paragraph" w:styleId="ListBullet3">
    <w:name w:val="List Bullet 3"/>
    <w:basedOn w:val="List3"/>
    <w:rsid w:val="001B4B4B"/>
    <w:pPr>
      <w:numPr>
        <w:numId w:val="14"/>
      </w:numPr>
      <w:tabs>
        <w:tab w:val="clear" w:pos="1021"/>
      </w:tabs>
      <w:ind w:left="1037" w:hanging="357"/>
    </w:pPr>
  </w:style>
  <w:style w:type="paragraph" w:styleId="ListBullet4">
    <w:name w:val="List Bullet 4"/>
    <w:basedOn w:val="List4"/>
    <w:rsid w:val="001B4B4B"/>
    <w:pPr>
      <w:numPr>
        <w:numId w:val="3"/>
      </w:numPr>
      <w:tabs>
        <w:tab w:val="clear" w:pos="1361"/>
      </w:tabs>
    </w:pPr>
  </w:style>
  <w:style w:type="paragraph" w:styleId="ListBullet5">
    <w:name w:val="List Bullet 5"/>
    <w:basedOn w:val="List5"/>
    <w:rsid w:val="001B4B4B"/>
    <w:pPr>
      <w:numPr>
        <w:numId w:val="4"/>
      </w:numPr>
    </w:pPr>
  </w:style>
  <w:style w:type="paragraph" w:styleId="ListContinue2">
    <w:name w:val="List Continue 2"/>
    <w:basedOn w:val="List2"/>
    <w:rsid w:val="001B4B4B"/>
    <w:pPr>
      <w:ind w:firstLine="0"/>
    </w:pPr>
  </w:style>
  <w:style w:type="paragraph" w:styleId="ListContinue3">
    <w:name w:val="List Continue 3"/>
    <w:basedOn w:val="List3"/>
    <w:rsid w:val="001B4B4B"/>
    <w:pPr>
      <w:ind w:left="1021" w:firstLine="0"/>
    </w:pPr>
  </w:style>
  <w:style w:type="paragraph" w:styleId="ListContinue4">
    <w:name w:val="List Continue 4"/>
    <w:basedOn w:val="List4"/>
    <w:rsid w:val="001B4B4B"/>
    <w:pPr>
      <w:ind w:firstLine="0"/>
    </w:pPr>
  </w:style>
  <w:style w:type="paragraph" w:styleId="ListContinue5">
    <w:name w:val="List Continue 5"/>
    <w:basedOn w:val="List5"/>
    <w:rsid w:val="001B4B4B"/>
    <w:pPr>
      <w:ind w:firstLine="0"/>
    </w:pPr>
  </w:style>
  <w:style w:type="paragraph" w:styleId="ListNumber3">
    <w:name w:val="List Number 3"/>
    <w:basedOn w:val="List3"/>
    <w:rsid w:val="001B4B4B"/>
    <w:pPr>
      <w:numPr>
        <w:numId w:val="5"/>
      </w:numPr>
    </w:pPr>
  </w:style>
  <w:style w:type="paragraph" w:styleId="ListNumber4">
    <w:name w:val="List Number 4"/>
    <w:basedOn w:val="List4"/>
    <w:rsid w:val="001B4B4B"/>
    <w:pPr>
      <w:numPr>
        <w:numId w:val="6"/>
      </w:numPr>
    </w:pPr>
  </w:style>
  <w:style w:type="paragraph" w:styleId="ListNumber5">
    <w:name w:val="List Number 5"/>
    <w:basedOn w:val="List5"/>
    <w:rsid w:val="001B4B4B"/>
    <w:pPr>
      <w:numPr>
        <w:numId w:val="7"/>
      </w:numPr>
    </w:pPr>
  </w:style>
  <w:style w:type="paragraph" w:styleId="BlockText">
    <w:name w:val="Block Text"/>
    <w:basedOn w:val="Normal"/>
    <w:rsid w:val="001B4B4B"/>
    <w:pPr>
      <w:spacing w:after="120"/>
      <w:ind w:left="1440" w:right="1440"/>
    </w:pPr>
  </w:style>
  <w:style w:type="character" w:customStyle="1" w:styleId="Subscript">
    <w:name w:val="Subscript"/>
    <w:basedOn w:val="DefaultParagraphFont"/>
    <w:rsid w:val="001B4B4B"/>
    <w:rPr>
      <w:sz w:val="16"/>
      <w:vertAlign w:val="subscript"/>
    </w:rPr>
  </w:style>
  <w:style w:type="character" w:customStyle="1" w:styleId="Superscript">
    <w:name w:val="Superscript"/>
    <w:basedOn w:val="DefaultParagraphFont"/>
    <w:rsid w:val="001B4B4B"/>
    <w:rPr>
      <w:sz w:val="16"/>
      <w:vertAlign w:val="superscript"/>
    </w:rPr>
  </w:style>
  <w:style w:type="character" w:customStyle="1" w:styleId="Symbols">
    <w:name w:val="Symbols"/>
    <w:basedOn w:val="DefaultParagraphFont"/>
    <w:rsid w:val="001B4B4B"/>
    <w:rPr>
      <w:rFonts w:ascii="Symbol" w:hAnsi="Symbol"/>
    </w:rPr>
  </w:style>
  <w:style w:type="character" w:customStyle="1" w:styleId="MenuOptions">
    <w:name w:val="Menu Options"/>
    <w:basedOn w:val="DefaultParagraphFont"/>
    <w:rsid w:val="001B4B4B"/>
    <w:rPr>
      <w:rFonts w:ascii="Arial Narrow" w:hAnsi="Arial Narrow"/>
      <w:smallCaps/>
    </w:rPr>
  </w:style>
  <w:style w:type="character" w:customStyle="1" w:styleId="Buttons">
    <w:name w:val="Buttons"/>
    <w:basedOn w:val="DefaultParagraphFont"/>
    <w:rsid w:val="001B4B4B"/>
    <w:rPr>
      <w:b/>
    </w:rPr>
  </w:style>
  <w:style w:type="character" w:customStyle="1" w:styleId="Underlined">
    <w:name w:val="Underlined"/>
    <w:basedOn w:val="DefaultParagraphFont"/>
    <w:rsid w:val="001B4B4B"/>
    <w:rPr>
      <w:u w:val="single"/>
    </w:rPr>
  </w:style>
  <w:style w:type="paragraph" w:customStyle="1" w:styleId="TableBodyTextRight">
    <w:name w:val="Table Body Text Right"/>
    <w:basedOn w:val="TableBodyText"/>
    <w:rsid w:val="001B4B4B"/>
    <w:pPr>
      <w:widowControl w:val="0"/>
      <w:autoSpaceDE w:val="0"/>
      <w:autoSpaceDN w:val="0"/>
      <w:adjustRightInd w:val="0"/>
      <w:jc w:val="right"/>
    </w:pPr>
    <w:rPr>
      <w:rFonts w:cs="Arial"/>
      <w:szCs w:val="18"/>
    </w:rPr>
  </w:style>
  <w:style w:type="paragraph" w:customStyle="1" w:styleId="CopyrightText">
    <w:name w:val="Copyright Text"/>
    <w:basedOn w:val="BodyText"/>
    <w:rsid w:val="001B4B4B"/>
    <w:rPr>
      <w:sz w:val="18"/>
    </w:rPr>
  </w:style>
  <w:style w:type="paragraph" w:customStyle="1" w:styleId="BodySmallRight">
    <w:name w:val="Body Small Right"/>
    <w:basedOn w:val="BodyTextRight"/>
    <w:rsid w:val="001B4B4B"/>
    <w:rPr>
      <w:sz w:val="18"/>
      <w:szCs w:val="18"/>
    </w:rPr>
  </w:style>
  <w:style w:type="paragraph" w:customStyle="1" w:styleId="MarginEdition">
    <w:name w:val="Margin Edition"/>
    <w:basedOn w:val="MarginNote"/>
    <w:rsid w:val="001B4B4B"/>
    <w:pPr>
      <w:spacing w:before="0" w:after="0"/>
    </w:pPr>
    <w:rPr>
      <w:rFonts w:ascii="Times New Roman" w:hAnsi="Times New Roman"/>
      <w:color w:val="999999"/>
    </w:rPr>
  </w:style>
  <w:style w:type="paragraph" w:customStyle="1" w:styleId="Spacer">
    <w:name w:val="Spacer"/>
    <w:basedOn w:val="Normal"/>
    <w:rsid w:val="001B4B4B"/>
    <w:rPr>
      <w:sz w:val="2"/>
      <w:szCs w:val="2"/>
    </w:rPr>
  </w:style>
  <w:style w:type="character" w:customStyle="1" w:styleId="Small">
    <w:name w:val="Small"/>
    <w:basedOn w:val="DefaultParagraphFont"/>
    <w:rsid w:val="001B4B4B"/>
    <w:rPr>
      <w:sz w:val="16"/>
    </w:rPr>
  </w:style>
  <w:style w:type="paragraph" w:customStyle="1" w:styleId="WideTable">
    <w:name w:val="Wide Table"/>
    <w:basedOn w:val="Normal"/>
    <w:rsid w:val="001B4B4B"/>
    <w:pPr>
      <w:ind w:left="-1418"/>
    </w:pPr>
    <w:rPr>
      <w:sz w:val="2"/>
      <w:szCs w:val="2"/>
    </w:rPr>
  </w:style>
  <w:style w:type="character" w:styleId="PageNumber">
    <w:name w:val="page number"/>
    <w:basedOn w:val="DefaultParagraphFont"/>
    <w:rsid w:val="001B4B4B"/>
  </w:style>
  <w:style w:type="paragraph" w:styleId="Quote">
    <w:name w:val="Quote"/>
    <w:basedOn w:val="Heading1"/>
    <w:link w:val="QuoteChar"/>
    <w:qFormat/>
    <w:rsid w:val="001B4B4B"/>
    <w:rPr>
      <w:b w:val="0"/>
      <w:sz w:val="72"/>
      <w:szCs w:val="72"/>
      <w:lang w:val="en-NZ"/>
    </w:rPr>
  </w:style>
  <w:style w:type="character" w:customStyle="1" w:styleId="QuoteChar">
    <w:name w:val="Quote Char"/>
    <w:basedOn w:val="DefaultParagraphFont"/>
    <w:link w:val="Quote"/>
    <w:rsid w:val="001B4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B4B"/>
    <w:pPr>
      <w:pageBreakBefore/>
    </w:pPr>
  </w:style>
  <w:style w:type="paragraph" w:customStyle="1" w:styleId="Border">
    <w:name w:val="Border"/>
    <w:basedOn w:val="Normal"/>
    <w:qFormat/>
    <w:rsid w:val="001B4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B4B"/>
    <w:rPr>
      <w:b/>
      <w:bCs/>
      <w:i/>
      <w:iCs/>
      <w:color w:val="auto"/>
    </w:rPr>
  </w:style>
  <w:style w:type="paragraph" w:styleId="IntenseQuote">
    <w:name w:val="Intense Quote"/>
    <w:basedOn w:val="Normal"/>
    <w:next w:val="Normal"/>
    <w:link w:val="IntenseQuoteChar"/>
    <w:uiPriority w:val="30"/>
    <w:qFormat/>
    <w:rsid w:val="001B4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B4B"/>
    <w:rPr>
      <w:smallCaps/>
      <w:color w:val="auto"/>
      <w:u w:val="single"/>
    </w:rPr>
  </w:style>
  <w:style w:type="character" w:styleId="IntenseReference">
    <w:name w:val="Intense Reference"/>
    <w:basedOn w:val="DefaultParagraphFont"/>
    <w:uiPriority w:val="32"/>
    <w:qFormat/>
    <w:rsid w:val="001B4B4B"/>
    <w:rPr>
      <w:b/>
      <w:bCs/>
      <w:smallCaps/>
      <w:color w:val="auto"/>
      <w:spacing w:val="5"/>
      <w:u w:val="single"/>
    </w:rPr>
  </w:style>
  <w:style w:type="paragraph" w:customStyle="1" w:styleId="2ColumnHeading">
    <w:name w:val="2Column Heading"/>
    <w:basedOn w:val="BodyText"/>
    <w:qFormat/>
    <w:rsid w:val="001B4B4B"/>
    <w:pPr>
      <w:spacing w:after="60"/>
      <w:ind w:left="-2268"/>
    </w:pPr>
    <w:rPr>
      <w:b/>
    </w:rPr>
  </w:style>
  <w:style w:type="paragraph" w:customStyle="1" w:styleId="Heading1TOC">
    <w:name w:val="Heading1 TOC"/>
    <w:basedOn w:val="Normal"/>
    <w:qFormat/>
    <w:rsid w:val="001B4B4B"/>
    <w:pPr>
      <w:spacing w:before="240" w:after="120"/>
    </w:pPr>
    <w:rPr>
      <w:rFonts w:ascii="Times New Roman" w:hAnsi="Times New Roman"/>
      <w:b/>
      <w:sz w:val="32"/>
    </w:rPr>
  </w:style>
  <w:style w:type="paragraph" w:customStyle="1" w:styleId="Heading2TOC">
    <w:name w:val="Heading2 TOC"/>
    <w:basedOn w:val="Normal"/>
    <w:qFormat/>
    <w:rsid w:val="001B4B4B"/>
    <w:pPr>
      <w:spacing w:before="240" w:after="60"/>
    </w:pPr>
    <w:rPr>
      <w:rFonts w:ascii="Times New Roman" w:hAnsi="Times New Roman"/>
      <w:b/>
      <w:sz w:val="28"/>
    </w:rPr>
  </w:style>
  <w:style w:type="character" w:customStyle="1" w:styleId="Underline">
    <w:name w:val="Underline"/>
    <w:basedOn w:val="DefaultParagraphFont"/>
    <w:qFormat/>
    <w:rsid w:val="001B4B4B"/>
    <w:rPr>
      <w:u w:val="single"/>
    </w:rPr>
  </w:style>
  <w:style w:type="character" w:customStyle="1" w:styleId="BoldandItalics">
    <w:name w:val="Bold and Italics"/>
    <w:qFormat/>
    <w:rsid w:val="001B4B4B"/>
    <w:rPr>
      <w:b/>
      <w:i/>
      <w:u w:val="none"/>
    </w:rPr>
  </w:style>
  <w:style w:type="paragraph" w:styleId="BalloonText">
    <w:name w:val="Balloon Text"/>
    <w:basedOn w:val="Normal"/>
    <w:link w:val="BalloonTextChar"/>
    <w:rsid w:val="001B4B4B"/>
    <w:rPr>
      <w:rFonts w:ascii="Tahoma" w:hAnsi="Tahoma" w:cs="Tahoma"/>
      <w:sz w:val="16"/>
      <w:szCs w:val="16"/>
    </w:rPr>
  </w:style>
  <w:style w:type="character" w:customStyle="1" w:styleId="BalloonTextChar">
    <w:name w:val="Balloon Text Char"/>
    <w:basedOn w:val="DefaultParagraphFont"/>
    <w:link w:val="BalloonText"/>
    <w:rsid w:val="001B4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B4B"/>
    <w:rPr>
      <w:b/>
      <w:color w:val="660033"/>
      <w:spacing w:val="0"/>
    </w:rPr>
  </w:style>
  <w:style w:type="paragraph" w:customStyle="1" w:styleId="Nameditemlist">
    <w:name w:val="Named item list"/>
    <w:basedOn w:val="BodyText"/>
    <w:qFormat/>
    <w:rsid w:val="001B4B4B"/>
    <w:pPr>
      <w:tabs>
        <w:tab w:val="left" w:pos="2835"/>
      </w:tabs>
      <w:ind w:left="2835" w:hanging="2835"/>
    </w:pPr>
  </w:style>
  <w:style w:type="paragraph" w:customStyle="1" w:styleId="BodyTextnopadding">
    <w:name w:val="Body Text no padding"/>
    <w:basedOn w:val="BodyText"/>
    <w:qFormat/>
    <w:rsid w:val="001B4B4B"/>
    <w:pPr>
      <w:spacing w:before="0" w:after="0"/>
    </w:pPr>
  </w:style>
  <w:style w:type="paragraph" w:customStyle="1" w:styleId="BodyTextBold">
    <w:name w:val="Body Text Bold"/>
    <w:basedOn w:val="BodyText"/>
    <w:qFormat/>
    <w:rsid w:val="001B4B4B"/>
    <w:rPr>
      <w:b/>
    </w:rPr>
  </w:style>
  <w:style w:type="character" w:styleId="Hyperlink">
    <w:name w:val="Hyperlink"/>
    <w:basedOn w:val="DefaultParagraphFont"/>
    <w:uiPriority w:val="99"/>
    <w:unhideWhenUsed/>
    <w:rsid w:val="008720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5540</Characters>
  <Application>Microsoft Office Word</Application>
  <DocSecurity>0</DocSecurity>
  <Lines>131</Lines>
  <Paragraphs>102</Paragraphs>
  <ScaleCrop>false</ScaleCrop>
  <Company>Author-it Software Corporation Ltd.</Company>
  <LinksUpToDate>false</LinksUpToDate>
  <CharactersWithSpaces>6256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MARB013 Maintain and repair marine electrical and electronic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2020-10-27T00:52:00Z</dcterms:created>
  <dcterms:modified xsi:type="dcterms:W3CDTF">2020-10-27T00:52:00Z</dcterms:modified>
</cp:coreProperties>
</file>