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1538" w:rsidP="00191538">
      <w:pPr>
        <w:pStyle w:val="Title"/>
      </w:pPr>
      <w:r>
        <w:fldChar w:fldCharType="begin"/>
      </w:r>
      <w:r>
        <w:instrText xml:space="preserve"> TITLE   \* MERGEFORMAT </w:instrText>
      </w:r>
      <w:r>
        <w:fldChar w:fldCharType="separate"/>
      </w:r>
      <w:r>
        <w:t>MARA025 Monitor, loading, unloading, securing and stowage of cargo</w:t>
      </w:r>
      <w:r>
        <w:fldChar w:fldCharType="end"/>
      </w:r>
    </w:p>
    <w:p w:rsidR="00191538" w:rsidP="00191538">
      <w:pPr>
        <w:pStyle w:val="Version"/>
        <w:sectPr w:rsidSect="007D5A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D5A9C" w:rsidP="007D5A9C">
      <w:pPr>
        <w:pStyle w:val="SuperHeading"/>
      </w:pPr>
      <w:r w:rsidRPr="007D5A9C">
        <w:t>MARA025 Monitor, loading, unloading, securing and stowage of cargo</w:t>
      </w:r>
    </w:p>
    <w:p w:rsidR="00000000" w:rsidRPr="007D5A9C" w:rsidP="007D5A9C">
      <w:pPr>
        <w:pStyle w:val="Heading1"/>
      </w:pPr>
      <w:bookmarkStart w:id="1" w:name="O_1284548"/>
      <w:bookmarkEnd w:id="1"/>
      <w:r w:rsidRPr="007D5A9C">
        <w:t>Modification History</w:t>
      </w:r>
    </w:p>
    <w:tbl>
      <w:tblPr>
        <w:tblW w:w="9497" w:type="dxa"/>
        <w:tblLayout w:type="fixed"/>
        <w:tblCellMar>
          <w:left w:w="62" w:type="dxa"/>
          <w:right w:w="62" w:type="dxa"/>
        </w:tblCellMar>
        <w:tblLook w:val="0000"/>
      </w:tblPr>
      <w:tblGrid>
        <w:gridCol w:w="9497"/>
      </w:tblGrid>
      <w:tr w:rsidTr="007D5A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5A9C" w:rsidP="007D5A9C">
            <w:pPr>
              <w:pStyle w:val="BodyText"/>
            </w:pPr>
            <w:r w:rsidRPr="007D5A9C">
              <w:rPr>
                <w:rStyle w:val="SpecialBold"/>
              </w:rPr>
              <w:t>Release 2</w:t>
            </w:r>
            <w:r w:rsidRPr="007D5A9C">
              <w:t>. This is the second release of this unit of competency in the MAR Maritime Training Package.</w:t>
            </w:r>
          </w:p>
          <w:p w:rsidR="00000000" w:rsidRPr="007D5A9C" w:rsidP="007D5A9C">
            <w:pPr>
              <w:pStyle w:val="ListBullet"/>
            </w:pPr>
            <w:r w:rsidRPr="007D5A9C">
              <w:t>Minor statement changes in unit Application</w:t>
            </w:r>
          </w:p>
          <w:p w:rsidR="00000000" w:rsidRPr="007D5A9C" w:rsidP="007D5A9C">
            <w:pPr>
              <w:pStyle w:val="ListBullet"/>
            </w:pPr>
            <w:r w:rsidRPr="007D5A9C">
              <w:t>Minor statement change in Performance Criteria 4.5</w:t>
            </w:r>
          </w:p>
          <w:p w:rsidR="00000000" w:rsidRPr="007D5A9C" w:rsidP="007D5A9C">
            <w:pPr>
              <w:pStyle w:val="ListBullet"/>
            </w:pPr>
            <w:r w:rsidRPr="007D5A9C">
              <w:t>Minor statement changes in Performance Evidence</w:t>
            </w:r>
          </w:p>
          <w:p w:rsidR="00000000" w:rsidP="007D5A9C">
            <w:pPr>
              <w:pStyle w:val="ListBullet"/>
              <w:rPr>
                <w:lang w:val="en-NZ"/>
              </w:rPr>
            </w:pPr>
            <w:r w:rsidRPr="007D5A9C">
              <w:t>Minor changes in Knowledge Evidence.</w:t>
            </w:r>
          </w:p>
        </w:tc>
      </w:tr>
      <w:tr w:rsidTr="007D5A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5A9C" w:rsidP="007D5A9C">
            <w:pPr>
              <w:pStyle w:val="BodyText"/>
            </w:pPr>
            <w:r w:rsidRPr="007D5A9C">
              <w:rPr>
                <w:rStyle w:val="SpecialBold"/>
              </w:rPr>
              <w:t>Release 1</w:t>
            </w:r>
            <w:r w:rsidRPr="007D5A9C">
              <w:t>. This is the first release of this unit of competency in the MAR Maritime Training Package.</w:t>
            </w:r>
          </w:p>
        </w:tc>
      </w:tr>
    </w:tbl>
    <w:p w:rsidR="00000000" w:rsidRPr="007D5A9C" w:rsidP="007D5A9C">
      <w:pPr>
        <w:pStyle w:val="NoPaddingFontSize1"/>
      </w:pPr>
    </w:p>
    <w:p w:rsidR="00000000" w:rsidRPr="007D5A9C" w:rsidP="007D5A9C">
      <w:pPr>
        <w:pStyle w:val="AllowPageBreak"/>
      </w:pPr>
    </w:p>
    <w:p w:rsidR="00000000" w:rsidRPr="007D5A9C" w:rsidP="007D5A9C">
      <w:pPr>
        <w:pStyle w:val="Heading1"/>
      </w:pPr>
      <w:bookmarkStart w:id="2" w:name="O_1284547"/>
      <w:bookmarkEnd w:id="2"/>
      <w:r w:rsidRPr="007D5A9C">
        <w:t>Application</w:t>
      </w:r>
    </w:p>
    <w:tbl>
      <w:tblPr>
        <w:tblW w:w="9497" w:type="dxa"/>
        <w:tblLayout w:type="fixed"/>
        <w:tblCellMar>
          <w:left w:w="62" w:type="dxa"/>
          <w:right w:w="62" w:type="dxa"/>
        </w:tblCellMar>
        <w:tblLook w:val="0000"/>
      </w:tblPr>
      <w:tblGrid>
        <w:gridCol w:w="9497"/>
      </w:tblGrid>
      <w:tr w:rsidTr="007D5A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5A9C" w:rsidP="007D5A9C">
            <w:pPr>
              <w:pStyle w:val="BodyText"/>
            </w:pPr>
            <w:r w:rsidRPr="007D5A9C">
              <w:t>This unit involves the skills and knowledge required to manage the loading, stowage, securing and care of cargo during the voyage and the unloading of cargo, according to the cargo plan, organisational procedures and vessel stowage limitati</w:t>
            </w:r>
            <w:r w:rsidRPr="007D5A9C">
              <w:t>ons.</w:t>
            </w:r>
          </w:p>
          <w:p w:rsidR="00000000" w:rsidRPr="007D5A9C" w:rsidP="007D5A9C">
            <w:pPr>
              <w:pStyle w:val="BodyText"/>
            </w:pPr>
            <w:r w:rsidRPr="007D5A9C">
              <w:t>This unit applies to people working in the maritime industry in the capacity of:</w:t>
            </w:r>
          </w:p>
          <w:p w:rsidR="00000000" w:rsidRPr="007D5A9C" w:rsidP="007D5A9C">
            <w:pPr>
              <w:pStyle w:val="ListBullet"/>
            </w:pPr>
            <w:r w:rsidRPr="007D5A9C">
              <w:t>Master of a commercial vessel up to 100 metres Near Coastal</w:t>
            </w:r>
          </w:p>
          <w:p w:rsidR="00000000" w:rsidRPr="007D5A9C" w:rsidP="007D5A9C">
            <w:pPr>
              <w:pStyle w:val="ListBullet"/>
            </w:pPr>
            <w:r w:rsidRPr="007D5A9C">
              <w:t>Master of a commercial vessel up to 500 gross tonnage (GT)</w:t>
            </w:r>
          </w:p>
          <w:p w:rsidR="00000000" w:rsidRPr="007D5A9C" w:rsidP="007D5A9C">
            <w:pPr>
              <w:pStyle w:val="ListBullet"/>
            </w:pPr>
            <w:r w:rsidRPr="007D5A9C">
              <w:t>Watchkeeper Deck.</w:t>
            </w:r>
          </w:p>
          <w:p w:rsidR="00000000" w:rsidRPr="007D5A9C" w:rsidP="007D5A9C">
            <w:pPr>
              <w:pStyle w:val="BodyText"/>
            </w:pPr>
            <w:r w:rsidRPr="007D5A9C">
              <w:rPr>
                <w:rStyle w:val="SpecialBold"/>
              </w:rPr>
              <w:t>Licensing/Regulatory Information</w:t>
            </w:r>
          </w:p>
          <w:p w:rsidR="00000000" w:rsidRPr="007D5A9C" w:rsidP="007D5A9C">
            <w:pPr>
              <w:pStyle w:val="BodyText"/>
            </w:pPr>
            <w:r w:rsidRPr="007D5A9C">
              <w:t>Legislative and regulatory requirements are applicable to this unit.</w:t>
            </w:r>
          </w:p>
          <w:p w:rsidR="00000000" w:rsidRPr="007D5A9C" w:rsidP="007D5A9C">
            <w:pPr>
              <w:pStyle w:val="ListBullet"/>
            </w:pPr>
            <w:r w:rsidRPr="007D5A9C">
              <w:t>Regulatory requirements include STCW International Maritime Organization (IMO) model course competencies and areas of knowledge, understanding and proficiency, together with the estimat</w:t>
            </w:r>
            <w:r w:rsidRPr="007D5A9C">
              <w:t>ed total hours required for lectures and practical exercises. Teaching staff should note that timings are suggestions only and should be adapted to suit individual groups of trainees depending on their experience, ability, equipment and staff available for</w:t>
            </w:r>
            <w:r w:rsidRPr="007D5A9C">
              <w:t xml:space="preserve"> training.</w:t>
            </w:r>
          </w:p>
          <w:p w:rsidR="00000000" w:rsidRPr="007D5A9C" w:rsidP="007D5A9C">
            <w:pPr>
              <w:pStyle w:val="BodyText"/>
            </w:pPr>
            <w:r w:rsidRPr="007D5A9C">
              <w:rPr>
                <w:rStyle w:val="SpecialBold"/>
              </w:rPr>
              <w:t>Near Coastal Qualifications:</w:t>
            </w:r>
          </w:p>
          <w:p w:rsidR="00000000" w:rsidRPr="007D5A9C" w:rsidP="007D5A9C">
            <w:pPr>
              <w:pStyle w:val="ListBullet"/>
            </w:pPr>
            <w:r w:rsidRPr="007D5A9C">
              <w:t>This unit is one of the requirements to obtain Australian Maritime Safety Authority (AMSA) certification as a Master up to 100 metres Near Coastal as specified in Marine Order 505.</w:t>
            </w:r>
          </w:p>
          <w:p w:rsidR="00000000" w:rsidRPr="007D5A9C" w:rsidP="007D5A9C">
            <w:pPr>
              <w:pStyle w:val="BodyText"/>
            </w:pPr>
            <w:r w:rsidRPr="007D5A9C">
              <w:rPr>
                <w:rStyle w:val="SpecialBold"/>
              </w:rPr>
              <w:t>Blue Waters Qualifications:</w:t>
            </w:r>
          </w:p>
          <w:p w:rsidR="00000000" w:rsidRPr="007D5A9C" w:rsidP="007D5A9C">
            <w:pPr>
              <w:pStyle w:val="ListBullet"/>
            </w:pPr>
            <w:r w:rsidRPr="007D5A9C">
              <w:t xml:space="preserve">This </w:t>
            </w:r>
            <w:r w:rsidRPr="007D5A9C">
              <w:t>unit is one of the requirements to obtain AMSA certification as a Master of a commercial vessel up to 500 gross tonnage (GT) or Watchkeeper Deck and to meet regulatory requirements this unit must be delivered consistent with Marine Orders and with the rele</w:t>
            </w:r>
            <w:r w:rsidRPr="007D5A9C">
              <w:t>vant sections of the International Convention on Standards of Training, Certification and Watchkeeping for Seafarers (STCW).</w:t>
            </w:r>
          </w:p>
          <w:p w:rsidR="00000000" w:rsidRPr="007D5A9C" w:rsidP="007D5A9C">
            <w:pPr>
              <w:pStyle w:val="BodyText"/>
            </w:pPr>
            <w:r w:rsidRPr="007D5A9C">
              <w:t>Training providers seeking to offer this unit of competency must gain AMSA approval before the unit is offered.</w:t>
            </w:r>
          </w:p>
          <w:p w:rsidR="00000000" w:rsidRPr="007D5A9C" w:rsidP="007D5A9C">
            <w:pPr>
              <w:pStyle w:val="BodyText"/>
            </w:pPr>
            <w:r w:rsidRPr="007D5A9C">
              <w:t>Seafarers seeking c</w:t>
            </w:r>
            <w:r w:rsidRPr="007D5A9C">
              <w:t>ertification should check with AMSA.</w:t>
            </w:r>
          </w:p>
        </w:tc>
      </w:tr>
    </w:tbl>
    <w:p w:rsidR="00000000" w:rsidRPr="007D5A9C" w:rsidP="007D5A9C">
      <w:pPr>
        <w:pStyle w:val="NoPaddingFontSize1"/>
      </w:pPr>
    </w:p>
    <w:p w:rsidR="00000000" w:rsidRPr="007D5A9C" w:rsidP="007D5A9C">
      <w:pPr>
        <w:pStyle w:val="AllowPageBreak"/>
      </w:pPr>
    </w:p>
    <w:p w:rsidR="00000000" w:rsidRPr="007D5A9C" w:rsidP="007D5A9C">
      <w:pPr>
        <w:pStyle w:val="Heading1"/>
      </w:pPr>
      <w:bookmarkStart w:id="3" w:name="O_1284546"/>
      <w:bookmarkEnd w:id="3"/>
      <w:r w:rsidRPr="007D5A9C">
        <w:t>Pre-requisite Unit</w:t>
      </w:r>
    </w:p>
    <w:tbl>
      <w:tblPr>
        <w:tblW w:w="9497" w:type="dxa"/>
        <w:tblLayout w:type="fixed"/>
        <w:tblCellMar>
          <w:left w:w="62" w:type="dxa"/>
          <w:right w:w="62" w:type="dxa"/>
        </w:tblCellMar>
        <w:tblLook w:val="0000"/>
      </w:tblPr>
      <w:tblGrid>
        <w:gridCol w:w="9497"/>
      </w:tblGrid>
      <w:tr w:rsidTr="007D5A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5A9C" w:rsidP="007D5A9C">
            <w:pPr>
              <w:pStyle w:val="BodyText"/>
            </w:pPr>
            <w:r w:rsidRPr="007D5A9C">
              <w:t>Not applicable.</w:t>
            </w:r>
          </w:p>
        </w:tc>
      </w:tr>
    </w:tbl>
    <w:p w:rsidR="00000000" w:rsidRPr="007D5A9C" w:rsidP="007D5A9C">
      <w:pPr>
        <w:pStyle w:val="NoPaddingFontSize1"/>
      </w:pPr>
    </w:p>
    <w:p w:rsidR="00000000" w:rsidRPr="007D5A9C" w:rsidP="007D5A9C">
      <w:pPr>
        <w:pStyle w:val="AllowPageBreak"/>
      </w:pPr>
    </w:p>
    <w:p w:rsidR="00000000" w:rsidRPr="007D5A9C" w:rsidP="007D5A9C">
      <w:pPr>
        <w:pStyle w:val="Heading1"/>
      </w:pPr>
      <w:bookmarkStart w:id="4" w:name="O_1284545"/>
      <w:bookmarkEnd w:id="4"/>
      <w:r w:rsidRPr="007D5A9C">
        <w:t>Competency Field</w:t>
      </w:r>
    </w:p>
    <w:tbl>
      <w:tblPr>
        <w:tblW w:w="9497" w:type="dxa"/>
        <w:tblLayout w:type="fixed"/>
        <w:tblCellMar>
          <w:left w:w="62" w:type="dxa"/>
          <w:right w:w="62" w:type="dxa"/>
        </w:tblCellMar>
        <w:tblLook w:val="0000"/>
      </w:tblPr>
      <w:tblGrid>
        <w:gridCol w:w="9497"/>
      </w:tblGrid>
      <w:tr w:rsidTr="007D5A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5A9C" w:rsidP="007D5A9C">
            <w:pPr>
              <w:pStyle w:val="BodyText"/>
            </w:pPr>
            <w:r w:rsidRPr="007D5A9C">
              <w:t>A – Handling Cargo and Vessel Stability</w:t>
            </w:r>
          </w:p>
        </w:tc>
      </w:tr>
    </w:tbl>
    <w:p w:rsidR="00000000" w:rsidRPr="007D5A9C" w:rsidP="007D5A9C">
      <w:pPr>
        <w:pStyle w:val="NoPaddingFontSize1"/>
      </w:pPr>
    </w:p>
    <w:p w:rsidR="00000000" w:rsidRPr="007D5A9C" w:rsidP="007D5A9C">
      <w:pPr>
        <w:pStyle w:val="AllowPageBreak"/>
      </w:pPr>
    </w:p>
    <w:p w:rsidR="00000000" w:rsidRPr="007D5A9C" w:rsidP="007D5A9C">
      <w:pPr>
        <w:pStyle w:val="Heading1"/>
      </w:pPr>
      <w:bookmarkStart w:id="5" w:name="O_1284544"/>
      <w:bookmarkEnd w:id="5"/>
      <w:r w:rsidRPr="007D5A9C">
        <w:t>Unit Sector</w:t>
      </w:r>
    </w:p>
    <w:tbl>
      <w:tblPr>
        <w:tblW w:w="9497" w:type="dxa"/>
        <w:tblLayout w:type="fixed"/>
        <w:tblCellMar>
          <w:left w:w="62" w:type="dxa"/>
          <w:right w:w="62" w:type="dxa"/>
        </w:tblCellMar>
        <w:tblLook w:val="0000"/>
      </w:tblPr>
      <w:tblGrid>
        <w:gridCol w:w="9497"/>
      </w:tblGrid>
      <w:tr w:rsidTr="007D5A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5A9C" w:rsidP="007D5A9C">
            <w:pPr>
              <w:pStyle w:val="BodyText"/>
            </w:pPr>
            <w:r w:rsidRPr="007D5A9C">
              <w:t>Not applicable.</w:t>
            </w:r>
          </w:p>
        </w:tc>
      </w:tr>
    </w:tbl>
    <w:p w:rsidR="00000000" w:rsidRPr="007D5A9C" w:rsidP="007D5A9C">
      <w:pPr>
        <w:pStyle w:val="NoPaddingFontSize1"/>
      </w:pPr>
    </w:p>
    <w:p w:rsidR="00000000" w:rsidRPr="007D5A9C" w:rsidP="007D5A9C">
      <w:pPr>
        <w:pStyle w:val="AllowPageBreak"/>
      </w:pPr>
    </w:p>
    <w:p w:rsidR="00000000" w:rsidRPr="007D5A9C" w:rsidP="007D5A9C">
      <w:pPr>
        <w:pStyle w:val="Heading1"/>
      </w:pPr>
      <w:bookmarkStart w:id="6" w:name="O_1284543"/>
      <w:bookmarkEnd w:id="6"/>
      <w:r w:rsidRPr="007D5A9C">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7D5A9C">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D5A9C" w:rsidP="007D5A9C">
            <w:pPr>
              <w:pStyle w:val="BodyText"/>
            </w:pPr>
            <w:r w:rsidRPr="007D5A9C">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rPr>
                <w:rStyle w:val="SpecialBold"/>
              </w:rPr>
              <w:t>PERFORMANCE CRITERIA</w:t>
            </w:r>
          </w:p>
        </w:tc>
      </w:tr>
      <w:tr w:rsidTr="007D5A9C">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t>Performance criteria describe the performance needed to demonstrate achievement of the element.</w:t>
            </w:r>
          </w:p>
        </w:tc>
      </w:tr>
      <w:tr w:rsidTr="007D5A9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D5A9C" w:rsidP="007D5A9C">
            <w:pPr>
              <w:pStyle w:val="BodyText"/>
            </w:pPr>
            <w:r w:rsidRPr="007D5A9C">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7D5A9C" w:rsidP="007D5A9C">
            <w:pPr>
              <w:pStyle w:val="BodyText"/>
            </w:pPr>
            <w:r w:rsidRPr="007D5A9C">
              <w:rPr>
                <w:rStyle w:val="SpecialBold"/>
              </w:rPr>
              <w:t>Develop cargo plan</w:t>
            </w:r>
          </w:p>
        </w:tc>
        <w:tc>
          <w:tcPr>
            <w:tcW w:w="702"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t>Cargo plan is developed to determine required cargo operations</w:t>
            </w:r>
          </w:p>
        </w:tc>
      </w:tr>
      <w:tr w:rsidTr="007D5A9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5A9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t>Characteristics of cargo being transported are identified and the type, severity and impact of the hazard posed by cargo on safety, the environment, vessel operations and personnel are e</w:t>
            </w:r>
            <w:r w:rsidRPr="007D5A9C">
              <w:t>stablished</w:t>
            </w:r>
          </w:p>
        </w:tc>
      </w:tr>
      <w:tr w:rsidTr="007D5A9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5A9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t>Cargo plan is evaluated to ensure regulations relating to hazardous materials and/or dangerous goods are complied with</w:t>
            </w:r>
          </w:p>
        </w:tc>
      </w:tr>
      <w:tr w:rsidTr="007D5A9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5A9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t>Cargo plan is assessed to ensure incompatible cargo stowage is avoided</w:t>
            </w:r>
          </w:p>
        </w:tc>
      </w:tr>
      <w:tr w:rsidTr="007D5A9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5A9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t>Cargo plan is checked to ensure unloading sequence is effective</w:t>
            </w:r>
          </w:p>
        </w:tc>
      </w:tr>
      <w:tr w:rsidTr="007D5A9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D5A9C" w:rsidP="007D5A9C">
            <w:pPr>
              <w:pStyle w:val="BodyText"/>
            </w:pPr>
            <w:r w:rsidRPr="007D5A9C">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7D5A9C" w:rsidP="007D5A9C">
            <w:pPr>
              <w:pStyle w:val="BodyText"/>
            </w:pPr>
            <w:r w:rsidRPr="007D5A9C">
              <w:rPr>
                <w:rStyle w:val="SpecialBold"/>
              </w:rPr>
              <w:t>Prepare for loading</w:t>
            </w:r>
          </w:p>
        </w:tc>
        <w:tc>
          <w:tcPr>
            <w:tcW w:w="702"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t>Holds are checked to ensure they are clean, dry and free of odour</w:t>
            </w:r>
          </w:p>
        </w:tc>
      </w:tr>
      <w:tr w:rsidTr="007D5A9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5A9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t>Safety arrangements are verified to ensure they are operational</w:t>
            </w:r>
          </w:p>
        </w:tc>
      </w:tr>
      <w:tr w:rsidTr="007D5A9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5A9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t>Supplies of cargo protection and securing material are reviewed to ensure there are sufficient available</w:t>
            </w:r>
          </w:p>
        </w:tc>
      </w:tr>
      <w:tr w:rsidTr="007D5A9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5A9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t>Bilge suctions are protected before loading</w:t>
            </w:r>
          </w:p>
        </w:tc>
      </w:tr>
      <w:tr w:rsidTr="007D5A9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5A9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t>Checks are made to ensure cargo is correctly identified, inspected and confirmed against docu</w:t>
            </w:r>
            <w:r w:rsidRPr="007D5A9C">
              <w:t>mentation</w:t>
            </w:r>
          </w:p>
        </w:tc>
      </w:tr>
      <w:tr w:rsidTr="007D5A9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5A9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t>Preparations for loading are monitored according to stowage plan and organisational procedures</w:t>
            </w:r>
          </w:p>
        </w:tc>
      </w:tr>
      <w:tr w:rsidTr="007D5A9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5A9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t>Ballast discharge plan is identified and confirmed and appropriate actions to support this plan are undertaken</w:t>
            </w:r>
          </w:p>
        </w:tc>
      </w:tr>
      <w:tr w:rsidTr="007D5A9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D5A9C" w:rsidP="007D5A9C">
            <w:pPr>
              <w:pStyle w:val="BodyText"/>
            </w:pPr>
            <w:r w:rsidRPr="007D5A9C">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7D5A9C" w:rsidP="007D5A9C">
            <w:pPr>
              <w:pStyle w:val="BodyText"/>
            </w:pPr>
            <w:r w:rsidRPr="007D5A9C">
              <w:rPr>
                <w:rStyle w:val="SpecialBold"/>
              </w:rPr>
              <w:t>Supervise loading/unloading of cargo</w:t>
            </w:r>
          </w:p>
        </w:tc>
        <w:tc>
          <w:tcPr>
            <w:tcW w:w="702"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t>Instructions are given to crew and stevedores involved in cargo loading/unloading according to cargo stowage plan</w:t>
            </w:r>
          </w:p>
        </w:tc>
      </w:tr>
      <w:tr w:rsidTr="007D5A9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5A9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t>Compliance with regulations, procedures and instructions pertaining to type of cargo being han</w:t>
            </w:r>
            <w:r w:rsidRPr="007D5A9C">
              <w:t>dled is managed during loading/unloading operations</w:t>
            </w:r>
          </w:p>
        </w:tc>
      </w:tr>
      <w:tr w:rsidTr="007D5A9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5A9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t>Loading/unloading is monitored to ensure loading rate is not exceeded</w:t>
            </w:r>
          </w:p>
        </w:tc>
      </w:tr>
      <w:tr w:rsidTr="007D5A9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5A9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t>Vessel stability is observed during loading/unloading operations</w:t>
            </w:r>
          </w:p>
        </w:tc>
      </w:tr>
      <w:tr w:rsidTr="007D5A9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5A9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t>Loading/unloading operations are ch</w:t>
            </w:r>
            <w:r w:rsidRPr="007D5A9C">
              <w:t>ecked against cargo plan</w:t>
            </w:r>
          </w:p>
        </w:tc>
      </w:tr>
      <w:tr w:rsidTr="007D5A9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5A9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t>Cargo is secured according to cargo plan</w:t>
            </w:r>
          </w:p>
        </w:tc>
      </w:tr>
      <w:tr w:rsidTr="007D5A9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5A9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t>Cargo handling documentation is completed according to organisational procedures and regulatory requirements</w:t>
            </w:r>
          </w:p>
        </w:tc>
      </w:tr>
      <w:tr w:rsidTr="007D5A9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5A9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rPr>
                <w:rStyle w:val="SpecialBold"/>
              </w:rPr>
              <w:t>3.8</w:t>
            </w:r>
          </w:p>
        </w:tc>
        <w:tc>
          <w:tcPr>
            <w:tcW w:w="5627"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t>Transfer of cargo is monitored to prevent hazards</w:t>
            </w:r>
          </w:p>
        </w:tc>
      </w:tr>
      <w:tr w:rsidTr="007D5A9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5A9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rPr>
                <w:rStyle w:val="SpecialBold"/>
              </w:rPr>
              <w:t>3.9</w:t>
            </w:r>
          </w:p>
        </w:tc>
        <w:tc>
          <w:tcPr>
            <w:tcW w:w="5627"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t>Gas monitoring equipment is regularly inspected and used according to organisational procedures, as required</w:t>
            </w:r>
          </w:p>
        </w:tc>
      </w:tr>
      <w:tr w:rsidTr="007D5A9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D5A9C" w:rsidP="007D5A9C">
            <w:pPr>
              <w:pStyle w:val="BodyText"/>
            </w:pPr>
            <w:r w:rsidRPr="007D5A9C">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7D5A9C" w:rsidP="007D5A9C">
            <w:pPr>
              <w:pStyle w:val="BodyText"/>
            </w:pPr>
            <w:r w:rsidRPr="007D5A9C">
              <w:rPr>
                <w:rStyle w:val="SpecialBold"/>
              </w:rPr>
              <w:t>Monitor care of cargo during voyage</w:t>
            </w:r>
          </w:p>
        </w:tc>
        <w:tc>
          <w:tcPr>
            <w:tcW w:w="702"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t>Plan for care of cargo during voyage is implemented according to organisational and customer requirement</w:t>
            </w:r>
            <w:r w:rsidRPr="007D5A9C">
              <w:t>s, and relevant regulations</w:t>
            </w:r>
          </w:p>
        </w:tc>
      </w:tr>
      <w:tr w:rsidTr="007D5A9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5A9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t>Ventilation and humidity control systems are checked</w:t>
            </w:r>
          </w:p>
        </w:tc>
      </w:tr>
      <w:tr w:rsidTr="007D5A9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5A9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t>Actions required to maintain the safety and security of cargo during the voyage are initiated according to customer requirements and organisational procedures</w:t>
            </w:r>
          </w:p>
        </w:tc>
      </w:tr>
      <w:tr w:rsidTr="007D5A9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5A9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t>Compliance with safety and hazard minimisation procedures and regulations related to cargo care is managed at all times during the voyage to maintain the safety of personnel, cargo and vessel</w:t>
            </w:r>
          </w:p>
        </w:tc>
      </w:tr>
      <w:tr w:rsidTr="007D5A9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5A9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t>Safety procedures are followed, and appropriate acti</w:t>
            </w:r>
            <w:r w:rsidRPr="007D5A9C">
              <w:t>ons are taken when defects or damage to cargo are detected</w:t>
            </w:r>
          </w:p>
        </w:tc>
      </w:tr>
      <w:tr w:rsidTr="007D5A9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D5A9C" w:rsidP="007D5A9C">
            <w:pPr>
              <w:pStyle w:val="BodyText"/>
            </w:pPr>
            <w:r w:rsidRPr="007D5A9C">
              <w:rPr>
                <w:rStyle w:val="SpecialBold"/>
              </w:rPr>
              <w:t>5</w:t>
            </w:r>
          </w:p>
        </w:tc>
        <w:tc>
          <w:tcPr>
            <w:tcW w:w="2762" w:type="dxa"/>
            <w:tcBorders>
              <w:top w:val="nil"/>
              <w:left w:val="nil"/>
              <w:bottom w:val="nil"/>
              <w:right w:val="nil"/>
            </w:tcBorders>
            <w:tcMar>
              <w:top w:w="0" w:type="dxa"/>
              <w:left w:w="62" w:type="dxa"/>
              <w:bottom w:w="0" w:type="dxa"/>
              <w:right w:w="62" w:type="dxa"/>
            </w:tcMar>
          </w:tcPr>
          <w:p w:rsidR="00000000" w:rsidRPr="007D5A9C" w:rsidP="007D5A9C">
            <w:pPr>
              <w:pStyle w:val="BodyText"/>
            </w:pPr>
            <w:r w:rsidRPr="007D5A9C">
              <w:rPr>
                <w:rStyle w:val="SpecialBold"/>
              </w:rPr>
              <w:t>Take precautions to prevent pollution of the environment</w:t>
            </w:r>
          </w:p>
        </w:tc>
        <w:tc>
          <w:tcPr>
            <w:tcW w:w="702"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rPr>
                <w:rStyle w:val="SpecialBold"/>
              </w:rPr>
              <w:t>5.1</w:t>
            </w:r>
          </w:p>
        </w:tc>
        <w:tc>
          <w:tcPr>
            <w:tcW w:w="5627"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t>Procedures to prevent pollution are identified and observed at all times</w:t>
            </w:r>
          </w:p>
        </w:tc>
      </w:tr>
      <w:tr w:rsidTr="007D5A9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5A9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rPr>
                <w:rStyle w:val="SpecialBold"/>
              </w:rPr>
              <w:t>5.2</w:t>
            </w:r>
          </w:p>
        </w:tc>
        <w:tc>
          <w:tcPr>
            <w:tcW w:w="5627"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t>Measures to prevent pollution during normal and emerg</w:t>
            </w:r>
            <w:r w:rsidRPr="007D5A9C">
              <w:t>ency situations are applied according to regulatory requirements and organisational procedures</w:t>
            </w:r>
          </w:p>
        </w:tc>
      </w:tr>
      <w:tr w:rsidTr="007D5A9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5A9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rPr>
                <w:rStyle w:val="SpecialBold"/>
              </w:rPr>
              <w:t>5.3</w:t>
            </w:r>
          </w:p>
        </w:tc>
        <w:tc>
          <w:tcPr>
            <w:tcW w:w="5627"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t xml:space="preserve">All relevant information is immediately reported to appropriate persons when a vapour leak or cloud is detected or a malfunction has occurred that </w:t>
            </w:r>
            <w:r w:rsidRPr="007D5A9C">
              <w:t>poses a risk of a vapour leak or cloud</w:t>
            </w:r>
          </w:p>
        </w:tc>
      </w:tr>
      <w:tr w:rsidTr="007D5A9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D5A9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D5A9C">
            <w:pPr>
              <w:pStyle w:val="BodyText"/>
              <w:rPr>
                <w:lang w:val="en-NZ"/>
              </w:rPr>
            </w:pPr>
            <w:r w:rsidRPr="007D5A9C">
              <w:rPr>
                <w:rStyle w:val="SpecialBold"/>
              </w:rPr>
              <w:t>5.4</w:t>
            </w:r>
          </w:p>
        </w:tc>
        <w:tc>
          <w:tcPr>
            <w:tcW w:w="5627" w:type="dxa"/>
            <w:tcBorders>
              <w:top w:val="nil"/>
              <w:left w:val="nil"/>
              <w:bottom w:val="nil"/>
              <w:right w:val="nil"/>
            </w:tcBorders>
            <w:tcMar>
              <w:top w:w="0" w:type="dxa"/>
              <w:left w:w="62" w:type="dxa"/>
              <w:bottom w:w="0" w:type="dxa"/>
              <w:right w:w="62" w:type="dxa"/>
            </w:tcMar>
          </w:tcPr>
          <w:p w:rsidR="00000000" w:rsidRPr="007D5A9C" w:rsidP="007D5A9C">
            <w:pPr>
              <w:pStyle w:val="BodyText"/>
            </w:pPr>
            <w:r w:rsidRPr="007D5A9C">
              <w:t>Shore-based response personnel are promptly notified when a vapour leak or cloud occurs</w:t>
            </w:r>
          </w:p>
        </w:tc>
      </w:tr>
    </w:tbl>
    <w:p w:rsidR="00000000" w:rsidRPr="007D5A9C" w:rsidP="007D5A9C">
      <w:pPr>
        <w:pStyle w:val="NoPaddingFontSize1"/>
      </w:pPr>
    </w:p>
    <w:p w:rsidR="00000000" w:rsidRPr="007D5A9C" w:rsidP="007D5A9C">
      <w:pPr>
        <w:pStyle w:val="AllowPageBreak"/>
      </w:pPr>
    </w:p>
    <w:p w:rsidR="00000000" w:rsidRPr="007D5A9C" w:rsidP="007D5A9C">
      <w:pPr>
        <w:pStyle w:val="Heading1"/>
      </w:pPr>
      <w:bookmarkStart w:id="7" w:name="O_1284542"/>
      <w:bookmarkEnd w:id="7"/>
      <w:r w:rsidRPr="007D5A9C">
        <w:t>Foundation Skills</w:t>
      </w:r>
    </w:p>
    <w:tbl>
      <w:tblPr>
        <w:tblW w:w="9497" w:type="dxa"/>
        <w:tblLayout w:type="fixed"/>
        <w:tblCellMar>
          <w:left w:w="62" w:type="dxa"/>
          <w:right w:w="62" w:type="dxa"/>
        </w:tblCellMar>
        <w:tblLook w:val="0000"/>
      </w:tblPr>
      <w:tblGrid>
        <w:gridCol w:w="9497"/>
      </w:tblGrid>
      <w:tr w:rsidTr="007D5A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5A9C" w:rsidP="007D5A9C">
            <w:pPr>
              <w:pStyle w:val="BodyText"/>
            </w:pPr>
            <w:r w:rsidRPr="007D5A9C">
              <w:t>Foundation skills essential to performance are explicit in the performance criteria</w:t>
            </w:r>
            <w:r w:rsidRPr="007D5A9C">
              <w:t xml:space="preserve"> of this unit of competency.</w:t>
            </w:r>
          </w:p>
        </w:tc>
      </w:tr>
    </w:tbl>
    <w:p w:rsidR="00000000" w:rsidRPr="007D5A9C" w:rsidP="007D5A9C">
      <w:pPr>
        <w:pStyle w:val="NoPaddingFontSize1"/>
      </w:pPr>
    </w:p>
    <w:p w:rsidR="00000000" w:rsidRPr="007D5A9C" w:rsidP="007D5A9C">
      <w:pPr>
        <w:pStyle w:val="AllowPageBreak"/>
      </w:pPr>
    </w:p>
    <w:p w:rsidR="00000000" w:rsidRPr="007D5A9C" w:rsidP="007D5A9C">
      <w:pPr>
        <w:pStyle w:val="Heading1"/>
      </w:pPr>
      <w:bookmarkStart w:id="8" w:name="O_1284541"/>
      <w:bookmarkEnd w:id="8"/>
      <w:r w:rsidRPr="007D5A9C">
        <w:t>Range of Conditions</w:t>
      </w:r>
    </w:p>
    <w:tbl>
      <w:tblPr>
        <w:tblW w:w="9497" w:type="dxa"/>
        <w:tblLayout w:type="fixed"/>
        <w:tblCellMar>
          <w:left w:w="62" w:type="dxa"/>
          <w:right w:w="62" w:type="dxa"/>
        </w:tblCellMar>
        <w:tblLook w:val="0000"/>
      </w:tblPr>
      <w:tblGrid>
        <w:gridCol w:w="9497"/>
      </w:tblGrid>
      <w:tr w:rsidTr="007D5A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5A9C" w:rsidP="007D5A9C">
            <w:pPr>
              <w:pStyle w:val="BodyText"/>
            </w:pPr>
            <w:r w:rsidRPr="007D5A9C">
              <w:t>Range is restricted to essential operating conditions and any other variables essential to the work environment.</w:t>
            </w:r>
          </w:p>
        </w:tc>
      </w:tr>
    </w:tbl>
    <w:p w:rsidR="00000000" w:rsidRPr="007D5A9C" w:rsidP="007D5A9C">
      <w:pPr>
        <w:pStyle w:val="NoPaddingFontSize1"/>
      </w:pPr>
    </w:p>
    <w:p w:rsidR="00000000" w:rsidRPr="007D5A9C" w:rsidP="007D5A9C">
      <w:pPr>
        <w:pStyle w:val="AllowPageBreak"/>
      </w:pPr>
    </w:p>
    <w:p w:rsidR="00000000" w:rsidRPr="007D5A9C" w:rsidP="007D5A9C">
      <w:pPr>
        <w:pStyle w:val="Heading1"/>
      </w:pPr>
      <w:bookmarkStart w:id="9" w:name="O_1284540"/>
      <w:bookmarkEnd w:id="9"/>
      <w:r w:rsidRPr="007D5A9C">
        <w:t>Unit Mapping Information</w:t>
      </w:r>
    </w:p>
    <w:tbl>
      <w:tblPr>
        <w:tblW w:w="9497" w:type="dxa"/>
        <w:tblLayout w:type="fixed"/>
        <w:tblCellMar>
          <w:left w:w="62" w:type="dxa"/>
          <w:right w:w="62" w:type="dxa"/>
        </w:tblCellMar>
        <w:tblLook w:val="0000"/>
      </w:tblPr>
      <w:tblGrid>
        <w:gridCol w:w="9497"/>
      </w:tblGrid>
      <w:tr w:rsidTr="007D5A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5A9C" w:rsidP="007D5A9C">
            <w:pPr>
              <w:pStyle w:val="BodyText"/>
            </w:pPr>
            <w:r w:rsidRPr="007D5A9C">
              <w:t>This unit replaces and is equivalent to MARA010 Manage loading, unloading and stowage of cargo</w:t>
            </w:r>
          </w:p>
        </w:tc>
      </w:tr>
    </w:tbl>
    <w:p w:rsidR="00000000" w:rsidRPr="007D5A9C" w:rsidP="007D5A9C">
      <w:pPr>
        <w:pStyle w:val="NoPaddingFontSize1"/>
      </w:pPr>
    </w:p>
    <w:p w:rsidR="00000000" w:rsidRPr="007D5A9C" w:rsidP="007D5A9C">
      <w:pPr>
        <w:pStyle w:val="AllowPageBreak"/>
      </w:pPr>
    </w:p>
    <w:p w:rsidR="00000000" w:rsidRPr="007D5A9C" w:rsidP="007D5A9C">
      <w:pPr>
        <w:pStyle w:val="Heading1"/>
      </w:pPr>
      <w:bookmarkStart w:id="10" w:name="O_1284549"/>
      <w:bookmarkEnd w:id="10"/>
      <w:r w:rsidRPr="007D5A9C">
        <w:t>Links</w:t>
      </w:r>
    </w:p>
    <w:p w:rsidR="00000000" w:rsidRPr="007D5A9C" w:rsidP="00191538">
      <w:pPr>
        <w:pStyle w:val="BodyText"/>
      </w:pPr>
      <w:r w:rsidRPr="007D5A9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844BE">
        <w:rPr>
          <w:rStyle w:val="Hyperlink"/>
        </w:rPr>
        <w:t>https://vetnet.gov.au/Pages/TrainingDocs.aspx?q=772efb7b-4cce-47fe-9bbd-ee3b1d1eb4c2</w:t>
      </w:r>
      <w:r>
        <w:fldChar w:fldCharType="end"/>
      </w:r>
    </w:p>
    <w:p w:rsidR="00000000" w:rsidRPr="007D5A9C" w:rsidP="007D5A9C"/>
    <w:sectPr w:rsidSect="007D5A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A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A9C" w:rsidRPr="00191538" w:rsidP="001915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A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538" w:rsidP="007D5A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1538" w:rsidP="007D5A9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191538" w:rsidP="007D5A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A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5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5A9C" w:rsidRPr="00191538" w:rsidP="001915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A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538" w:rsidRPr="002D2AF8" w:rsidP="007D5A9C">
    <w:pPr>
      <w:pStyle w:val="Header"/>
      <w:framePr w:wrap="around"/>
    </w:pPr>
    <w:r>
      <w:fldChar w:fldCharType="begin"/>
    </w:r>
    <w:r>
      <w:instrText xml:space="preserve"> TITLE   \* MERGEFORMAT </w:instrText>
    </w:r>
    <w:r>
      <w:fldChar w:fldCharType="separate"/>
    </w:r>
    <w:r>
      <w:t>MARA025 Monitor, loading, unloading, securing and stowage of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191538" w:rsidP="007D5A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D097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D899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A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5A9C"/>
    <w:pPr>
      <w:spacing w:before="360" w:after="60"/>
      <w:outlineLvl w:val="0"/>
    </w:pPr>
    <w:rPr>
      <w:sz w:val="32"/>
    </w:rPr>
  </w:style>
  <w:style w:type="paragraph" w:styleId="Heading2">
    <w:name w:val="heading 2"/>
    <w:basedOn w:val="HeadingBase"/>
    <w:next w:val="BodyText"/>
    <w:link w:val="Heading2Char"/>
    <w:qFormat/>
    <w:rsid w:val="007D5A9C"/>
    <w:pPr>
      <w:keepLines/>
      <w:spacing w:before="240" w:after="120"/>
      <w:outlineLvl w:val="1"/>
    </w:pPr>
    <w:rPr>
      <w:sz w:val="28"/>
      <w:szCs w:val="40"/>
    </w:rPr>
  </w:style>
  <w:style w:type="paragraph" w:styleId="Heading3">
    <w:name w:val="heading 3"/>
    <w:basedOn w:val="HeadingBase"/>
    <w:next w:val="BodyText"/>
    <w:link w:val="Heading3Char"/>
    <w:qFormat/>
    <w:rsid w:val="007D5A9C"/>
    <w:pPr>
      <w:spacing w:before="180" w:after="120"/>
      <w:outlineLvl w:val="2"/>
    </w:pPr>
    <w:rPr>
      <w:spacing w:val="-10"/>
      <w:kern w:val="32"/>
    </w:rPr>
  </w:style>
  <w:style w:type="paragraph" w:styleId="Heading4">
    <w:name w:val="heading 4"/>
    <w:basedOn w:val="HeadingBase"/>
    <w:next w:val="BodyText"/>
    <w:link w:val="Heading4Char"/>
    <w:qFormat/>
    <w:rsid w:val="007D5A9C"/>
    <w:pPr>
      <w:spacing w:before="160" w:after="120"/>
      <w:outlineLvl w:val="3"/>
    </w:pPr>
    <w:rPr>
      <w:sz w:val="22"/>
    </w:rPr>
  </w:style>
  <w:style w:type="paragraph" w:styleId="Heading5">
    <w:name w:val="heading 5"/>
    <w:basedOn w:val="HeadingBase"/>
    <w:next w:val="Normal"/>
    <w:link w:val="Heading5Char"/>
    <w:qFormat/>
    <w:rsid w:val="007D5A9C"/>
    <w:pPr>
      <w:spacing w:before="80"/>
      <w:outlineLvl w:val="4"/>
    </w:pPr>
    <w:rPr>
      <w:color w:val="918585"/>
      <w:sz w:val="20"/>
    </w:rPr>
  </w:style>
  <w:style w:type="paragraph" w:styleId="Heading6">
    <w:name w:val="heading 6"/>
    <w:basedOn w:val="HeadingBase"/>
    <w:next w:val="Normal"/>
    <w:link w:val="Heading6Char"/>
    <w:qFormat/>
    <w:rsid w:val="007D5A9C"/>
    <w:pPr>
      <w:spacing w:before="60"/>
      <w:outlineLvl w:val="5"/>
    </w:pPr>
    <w:rPr>
      <w:color w:val="918585"/>
      <w:sz w:val="20"/>
    </w:rPr>
  </w:style>
  <w:style w:type="paragraph" w:styleId="Heading7">
    <w:name w:val="heading 7"/>
    <w:basedOn w:val="Normal"/>
    <w:next w:val="Normal"/>
    <w:link w:val="Heading7Char"/>
    <w:qFormat/>
    <w:rsid w:val="007D5A9C"/>
    <w:pPr>
      <w:ind w:left="720"/>
      <w:outlineLvl w:val="6"/>
    </w:pPr>
    <w:rPr>
      <w:i/>
    </w:rPr>
  </w:style>
  <w:style w:type="paragraph" w:styleId="Heading8">
    <w:name w:val="heading 8"/>
    <w:basedOn w:val="Normal"/>
    <w:next w:val="Normal"/>
    <w:link w:val="Heading8Char"/>
    <w:qFormat/>
    <w:rsid w:val="007D5A9C"/>
    <w:pPr>
      <w:ind w:left="720"/>
      <w:outlineLvl w:val="7"/>
    </w:pPr>
    <w:rPr>
      <w:i/>
    </w:rPr>
  </w:style>
  <w:style w:type="paragraph" w:styleId="Heading9">
    <w:name w:val="heading 9"/>
    <w:basedOn w:val="Normal"/>
    <w:next w:val="Normal"/>
    <w:link w:val="Heading9Char"/>
    <w:qFormat/>
    <w:rsid w:val="007D5A9C"/>
    <w:pPr>
      <w:ind w:left="720"/>
      <w:outlineLvl w:val="8"/>
    </w:pPr>
    <w:rPr>
      <w:i/>
    </w:rPr>
  </w:style>
  <w:style w:type="character" w:default="1" w:styleId="DefaultParagraphFont">
    <w:name w:val="Default Paragraph Font"/>
    <w:uiPriority w:val="1"/>
    <w:unhideWhenUsed/>
    <w:rsid w:val="007D5A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5A9C"/>
  </w:style>
  <w:style w:type="character" w:customStyle="1" w:styleId="Heading1Char">
    <w:name w:val="Heading 1 Char"/>
    <w:basedOn w:val="DefaultParagraphFont"/>
    <w:link w:val="Heading1"/>
    <w:rsid w:val="007D5A9C"/>
    <w:rPr>
      <w:rFonts w:ascii="Times New Roman" w:eastAsia="Times New Roman" w:hAnsi="Times New Roman" w:cs="Times New Roman"/>
      <w:b/>
      <w:sz w:val="32"/>
      <w:szCs w:val="20"/>
      <w:lang w:eastAsia="en-US"/>
    </w:rPr>
  </w:style>
  <w:style w:type="paragraph" w:styleId="BodyText">
    <w:name w:val="Body Text"/>
    <w:basedOn w:val="Normal"/>
    <w:link w:val="BodyTextChar"/>
    <w:rsid w:val="007D5A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5A9C"/>
    <w:rPr>
      <w:rFonts w:ascii="Times New Roman" w:eastAsia="Times New Roman" w:hAnsi="Times New Roman" w:cs="Times New Roman"/>
      <w:sz w:val="24"/>
      <w:lang w:eastAsia="en-US"/>
    </w:rPr>
  </w:style>
  <w:style w:type="paragraph" w:styleId="ListBullet">
    <w:name w:val="List Bullet"/>
    <w:basedOn w:val="List"/>
    <w:rsid w:val="007D5A9C"/>
    <w:pPr>
      <w:numPr>
        <w:numId w:val="11"/>
      </w:numPr>
      <w:tabs>
        <w:tab w:val="clear" w:pos="340"/>
      </w:tabs>
      <w:spacing w:before="40" w:after="40"/>
    </w:pPr>
  </w:style>
  <w:style w:type="character" w:customStyle="1" w:styleId="SpecialBold">
    <w:name w:val="Special Bold"/>
    <w:basedOn w:val="DefaultParagraphFont"/>
    <w:rsid w:val="007D5A9C"/>
    <w:rPr>
      <w:b/>
      <w:spacing w:val="0"/>
    </w:rPr>
  </w:style>
  <w:style w:type="paragraph" w:customStyle="1" w:styleId="SuperHeading">
    <w:name w:val="SuperHeading"/>
    <w:basedOn w:val="Normal"/>
    <w:rsid w:val="007D5A9C"/>
    <w:pPr>
      <w:spacing w:before="240" w:after="120"/>
      <w:outlineLvl w:val="0"/>
    </w:pPr>
    <w:rPr>
      <w:rFonts w:ascii="Times New Roman" w:hAnsi="Times New Roman"/>
      <w:b/>
      <w:sz w:val="32"/>
    </w:rPr>
  </w:style>
  <w:style w:type="paragraph" w:customStyle="1" w:styleId="AllowPageBreak">
    <w:name w:val="AllowPageBreak"/>
    <w:rsid w:val="007D5A9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D5A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5A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5A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5A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5A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5A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5A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5A9C"/>
    <w:rPr>
      <w:rFonts w:ascii="Courier New" w:eastAsia="Times New Roman" w:hAnsi="Courier New" w:cs="Times New Roman"/>
      <w:i/>
      <w:szCs w:val="20"/>
      <w:lang w:eastAsia="en-US"/>
    </w:rPr>
  </w:style>
  <w:style w:type="paragraph" w:customStyle="1" w:styleId="HeadingBase">
    <w:name w:val="Heading Base"/>
    <w:rsid w:val="007D5A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5A9C"/>
    <w:pPr>
      <w:tabs>
        <w:tab w:val="right" w:leader="dot" w:pos="9072"/>
      </w:tabs>
      <w:ind w:left="567"/>
    </w:pPr>
    <w:rPr>
      <w:szCs w:val="22"/>
    </w:rPr>
  </w:style>
  <w:style w:type="paragraph" w:customStyle="1" w:styleId="TOCBase">
    <w:name w:val="TOC Base"/>
    <w:rsid w:val="007D5A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5A9C"/>
    <w:pPr>
      <w:tabs>
        <w:tab w:val="right" w:leader="dot" w:pos="9072"/>
      </w:tabs>
      <w:spacing w:before="40" w:after="40"/>
      <w:ind w:left="284"/>
    </w:pPr>
    <w:rPr>
      <w:rFonts w:ascii="Times New Roman" w:hAnsi="Times New Roman"/>
    </w:rPr>
  </w:style>
  <w:style w:type="paragraph" w:styleId="TOC1">
    <w:name w:val="toc 1"/>
    <w:basedOn w:val="TOCBase"/>
    <w:next w:val="Normal"/>
    <w:rsid w:val="007D5A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5A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5A9C"/>
    <w:rPr>
      <w:rFonts w:ascii="Times New Roman" w:eastAsia="Times New Roman" w:hAnsi="Times New Roman" w:cs="Times New Roman"/>
      <w:sz w:val="16"/>
      <w:lang w:eastAsia="en-US"/>
    </w:rPr>
  </w:style>
  <w:style w:type="paragraph" w:styleId="Title">
    <w:name w:val="Title"/>
    <w:basedOn w:val="HeadingBase"/>
    <w:link w:val="TitleChar"/>
    <w:qFormat/>
    <w:rsid w:val="007D5A9C"/>
    <w:pPr>
      <w:spacing w:before="5040"/>
      <w:jc w:val="center"/>
    </w:pPr>
    <w:rPr>
      <w:sz w:val="48"/>
      <w:szCs w:val="72"/>
      <w:lang w:val="en-US"/>
    </w:rPr>
  </w:style>
  <w:style w:type="character" w:customStyle="1" w:styleId="TitleChar">
    <w:name w:val="Title Char"/>
    <w:basedOn w:val="DefaultParagraphFont"/>
    <w:link w:val="Title"/>
    <w:rsid w:val="007D5A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5A9C"/>
    <w:pPr>
      <w:tabs>
        <w:tab w:val="left" w:pos="3600"/>
        <w:tab w:val="left" w:pos="3958"/>
      </w:tabs>
    </w:pPr>
  </w:style>
  <w:style w:type="paragraph" w:styleId="List">
    <w:name w:val="List"/>
    <w:basedOn w:val="BodyText"/>
    <w:next w:val="BodyText"/>
    <w:rsid w:val="007D5A9C"/>
    <w:pPr>
      <w:tabs>
        <w:tab w:val="left" w:pos="340"/>
      </w:tabs>
      <w:spacing w:before="60" w:after="60"/>
      <w:ind w:left="340" w:hanging="340"/>
    </w:pPr>
  </w:style>
  <w:style w:type="paragraph" w:customStyle="1" w:styleId="Note">
    <w:name w:val="Note"/>
    <w:basedOn w:val="BodyText"/>
    <w:rsid w:val="007D5A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5A9C"/>
    <w:pPr>
      <w:framePr w:wrap="auto" w:hAnchor="text" w:y="6049"/>
    </w:pPr>
    <w:rPr>
      <w:color w:val="000000"/>
      <w:sz w:val="40"/>
    </w:rPr>
  </w:style>
  <w:style w:type="paragraph" w:customStyle="1" w:styleId="TOCTitle">
    <w:name w:val="TOCTitle"/>
    <w:basedOn w:val="Heading1"/>
    <w:rsid w:val="007D5A9C"/>
    <w:pPr>
      <w:spacing w:after="240"/>
      <w:jc w:val="center"/>
      <w:outlineLvl w:val="9"/>
    </w:pPr>
    <w:rPr>
      <w:caps/>
    </w:rPr>
  </w:style>
  <w:style w:type="paragraph" w:customStyle="1" w:styleId="Version">
    <w:name w:val="Version"/>
    <w:rsid w:val="007D5A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5A9C"/>
    <w:pPr>
      <w:numPr>
        <w:numId w:val="12"/>
      </w:numPr>
      <w:tabs>
        <w:tab w:val="clear" w:pos="680"/>
      </w:tabs>
    </w:pPr>
  </w:style>
  <w:style w:type="paragraph" w:styleId="Index1">
    <w:name w:val="index 1"/>
    <w:basedOn w:val="Normal"/>
    <w:next w:val="Normal"/>
    <w:semiHidden/>
    <w:rsid w:val="007D5A9C"/>
    <w:pPr>
      <w:keepNext w:val="0"/>
      <w:tabs>
        <w:tab w:val="right" w:pos="4176"/>
      </w:tabs>
      <w:ind w:left="198" w:hanging="198"/>
    </w:pPr>
    <w:rPr>
      <w:rFonts w:ascii="Garamond" w:hAnsi="Garamond"/>
    </w:rPr>
  </w:style>
  <w:style w:type="paragraph" w:styleId="IndexHeading">
    <w:name w:val="index heading"/>
    <w:basedOn w:val="Normal"/>
    <w:next w:val="Index1"/>
    <w:semiHidden/>
    <w:rsid w:val="007D5A9C"/>
    <w:pPr>
      <w:spacing w:before="120" w:after="120"/>
    </w:pPr>
    <w:rPr>
      <w:rFonts w:ascii="Arial" w:hAnsi="Arial"/>
      <w:b/>
      <w:color w:val="918585"/>
      <w:sz w:val="24"/>
    </w:rPr>
  </w:style>
  <w:style w:type="paragraph" w:styleId="Header">
    <w:name w:val="header"/>
    <w:basedOn w:val="Normal"/>
    <w:link w:val="HeaderChar"/>
    <w:rsid w:val="007D5A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5A9C"/>
    <w:rPr>
      <w:rFonts w:ascii="Times New Roman" w:eastAsia="Times New Roman" w:hAnsi="Times New Roman" w:cs="Times New Roman"/>
      <w:sz w:val="16"/>
      <w:szCs w:val="20"/>
      <w:lang w:val="en-GB" w:eastAsia="en-US"/>
    </w:rPr>
  </w:style>
  <w:style w:type="paragraph" w:customStyle="1" w:styleId="Chapter">
    <w:name w:val="Chapter"/>
    <w:basedOn w:val="Normal"/>
    <w:rsid w:val="007D5A9C"/>
    <w:pPr>
      <w:spacing w:before="240"/>
    </w:pPr>
    <w:rPr>
      <w:rFonts w:ascii="Times New Roman" w:hAnsi="Times New Roman"/>
      <w:smallCaps/>
      <w:spacing w:val="80"/>
      <w:sz w:val="28"/>
    </w:rPr>
  </w:style>
  <w:style w:type="paragraph" w:customStyle="1" w:styleId="InChapter">
    <w:name w:val="InChapter"/>
    <w:basedOn w:val="Heading3"/>
    <w:rsid w:val="007D5A9C"/>
    <w:pPr>
      <w:spacing w:after="240"/>
      <w:outlineLvl w:val="9"/>
    </w:pPr>
    <w:rPr>
      <w:noProof/>
    </w:rPr>
  </w:style>
  <w:style w:type="paragraph" w:styleId="Index2">
    <w:name w:val="index 2"/>
    <w:basedOn w:val="Normal"/>
    <w:next w:val="Normal"/>
    <w:semiHidden/>
    <w:rsid w:val="007D5A9C"/>
    <w:pPr>
      <w:tabs>
        <w:tab w:val="right" w:pos="4176"/>
      </w:tabs>
      <w:ind w:left="568" w:hanging="284"/>
    </w:pPr>
    <w:rPr>
      <w:rFonts w:ascii="Garamond" w:hAnsi="Garamond"/>
    </w:rPr>
  </w:style>
  <w:style w:type="paragraph" w:customStyle="1" w:styleId="Byline">
    <w:name w:val="Byline"/>
    <w:rsid w:val="007D5A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5A9C"/>
    <w:pPr>
      <w:tabs>
        <w:tab w:val="clear" w:pos="3600"/>
        <w:tab w:val="clear" w:pos="3958"/>
      </w:tabs>
      <w:jc w:val="right"/>
    </w:pPr>
  </w:style>
  <w:style w:type="character" w:styleId="Emphasis">
    <w:name w:val="Emphasis"/>
    <w:basedOn w:val="DefaultParagraphFont"/>
    <w:qFormat/>
    <w:rsid w:val="007D5A9C"/>
    <w:rPr>
      <w:i/>
    </w:rPr>
  </w:style>
  <w:style w:type="paragraph" w:styleId="Caption">
    <w:name w:val="caption"/>
    <w:basedOn w:val="BodyText"/>
    <w:next w:val="Normal"/>
    <w:qFormat/>
    <w:rsid w:val="007D5A9C"/>
    <w:pPr>
      <w:framePr w:w="2268" w:hSpace="181" w:vSpace="181" w:wrap="around" w:vAnchor="text" w:hAnchor="page" w:x="1135" w:y="285" w:anchorLock="1"/>
    </w:pPr>
    <w:rPr>
      <w:i/>
    </w:rPr>
  </w:style>
  <w:style w:type="paragraph" w:customStyle="1" w:styleId="MiniTOCTitle">
    <w:name w:val="MiniTOCTitle"/>
    <w:basedOn w:val="Heading4"/>
    <w:rsid w:val="007D5A9C"/>
    <w:pPr>
      <w:spacing w:before="240"/>
      <w:outlineLvl w:val="9"/>
    </w:pPr>
    <w:rPr>
      <w:noProof/>
      <w:sz w:val="24"/>
    </w:rPr>
  </w:style>
  <w:style w:type="paragraph" w:customStyle="1" w:styleId="MiniTOCItem">
    <w:name w:val="MiniTOCItem"/>
    <w:basedOn w:val="ListBullet"/>
    <w:rsid w:val="007D5A9C"/>
    <w:pPr>
      <w:numPr>
        <w:numId w:val="0"/>
      </w:numPr>
      <w:tabs>
        <w:tab w:val="right" w:leader="dot" w:pos="6521"/>
      </w:tabs>
      <w:spacing w:before="0" w:after="0"/>
    </w:pPr>
  </w:style>
  <w:style w:type="paragraph" w:customStyle="1" w:styleId="TOFTitle">
    <w:name w:val="TOFTitle"/>
    <w:basedOn w:val="TOCTitle"/>
    <w:rsid w:val="007D5A9C"/>
  </w:style>
  <w:style w:type="paragraph" w:styleId="TableofFigures">
    <w:name w:val="table of figures"/>
    <w:basedOn w:val="Normal"/>
    <w:next w:val="Normal"/>
    <w:semiHidden/>
    <w:rsid w:val="007D5A9C"/>
    <w:pPr>
      <w:tabs>
        <w:tab w:val="right" w:leader="dot" w:pos="9072"/>
      </w:tabs>
      <w:ind w:left="970" w:hanging="403"/>
    </w:pPr>
    <w:rPr>
      <w:rFonts w:ascii="Times New Roman" w:hAnsi="Times New Roman"/>
      <w:b/>
    </w:rPr>
  </w:style>
  <w:style w:type="paragraph" w:styleId="ListNumber">
    <w:name w:val="List Number"/>
    <w:basedOn w:val="List"/>
    <w:rsid w:val="007D5A9C"/>
    <w:pPr>
      <w:numPr>
        <w:numId w:val="14"/>
      </w:numPr>
      <w:tabs>
        <w:tab w:val="clear" w:pos="340"/>
      </w:tabs>
    </w:pPr>
  </w:style>
  <w:style w:type="character" w:customStyle="1" w:styleId="WingdingSymbols">
    <w:name w:val="Wingding Symbols"/>
    <w:rsid w:val="007D5A9C"/>
    <w:rPr>
      <w:rFonts w:ascii="Wingdings" w:hAnsi="Wingdings"/>
    </w:rPr>
  </w:style>
  <w:style w:type="paragraph" w:customStyle="1" w:styleId="TableHeading">
    <w:name w:val="Table Heading"/>
    <w:basedOn w:val="HeadingBase"/>
    <w:rsid w:val="007D5A9C"/>
    <w:pPr>
      <w:keepLines/>
      <w:pBdr>
        <w:bottom w:val="single" w:sz="6" w:space="1" w:color="918585"/>
      </w:pBdr>
      <w:spacing w:before="240"/>
    </w:pPr>
  </w:style>
  <w:style w:type="character" w:customStyle="1" w:styleId="HotSpot">
    <w:name w:val="HotSpot"/>
    <w:rsid w:val="007D5A9C"/>
    <w:rPr>
      <w:color w:val="0033CC"/>
      <w:u w:val="none"/>
    </w:rPr>
  </w:style>
  <w:style w:type="paragraph" w:customStyle="1" w:styleId="BodyTextRight">
    <w:name w:val="Body Text Right"/>
    <w:basedOn w:val="BodyText"/>
    <w:rsid w:val="007D5A9C"/>
    <w:pPr>
      <w:spacing w:before="0" w:after="0"/>
      <w:jc w:val="right"/>
    </w:pPr>
  </w:style>
  <w:style w:type="paragraph" w:styleId="Index3">
    <w:name w:val="index 3"/>
    <w:basedOn w:val="ListNumber2"/>
    <w:next w:val="Normal"/>
    <w:semiHidden/>
    <w:rsid w:val="007D5A9C"/>
    <w:pPr>
      <w:numPr>
        <w:numId w:val="0"/>
      </w:numPr>
      <w:tabs>
        <w:tab w:val="right" w:leader="dot" w:pos="4176"/>
      </w:tabs>
    </w:pPr>
  </w:style>
  <w:style w:type="paragraph" w:styleId="ListNumber2">
    <w:name w:val="List Number 2"/>
    <w:basedOn w:val="List2"/>
    <w:rsid w:val="007D5A9C"/>
    <w:pPr>
      <w:numPr>
        <w:numId w:val="9"/>
      </w:numPr>
      <w:tabs>
        <w:tab w:val="clear" w:pos="1060"/>
      </w:tabs>
    </w:pPr>
  </w:style>
  <w:style w:type="paragraph" w:customStyle="1" w:styleId="MarginNote">
    <w:name w:val="Margin Note"/>
    <w:basedOn w:val="BodyText"/>
    <w:rsid w:val="007D5A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5A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5A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5A9C"/>
    <w:rPr>
      <w:sz w:val="32"/>
    </w:rPr>
  </w:style>
  <w:style w:type="paragraph" w:customStyle="1" w:styleId="HeadingProcedure">
    <w:name w:val="Heading Procedure"/>
    <w:basedOn w:val="HeadingBase"/>
    <w:next w:val="Normal"/>
    <w:rsid w:val="007D5A9C"/>
    <w:pPr>
      <w:tabs>
        <w:tab w:val="left" w:pos="0"/>
      </w:tabs>
      <w:spacing w:before="120" w:after="60"/>
    </w:pPr>
    <w:rPr>
      <w:i/>
      <w:color w:val="918585"/>
      <w:sz w:val="22"/>
    </w:rPr>
  </w:style>
  <w:style w:type="paragraph" w:customStyle="1" w:styleId="TableBodyText">
    <w:name w:val="Table Body Text"/>
    <w:basedOn w:val="BodyText"/>
    <w:rsid w:val="007D5A9C"/>
    <w:pPr>
      <w:spacing w:before="60" w:after="60"/>
    </w:pPr>
  </w:style>
  <w:style w:type="paragraph" w:styleId="ListContinue">
    <w:name w:val="List Continue"/>
    <w:basedOn w:val="List"/>
    <w:rsid w:val="007D5A9C"/>
    <w:pPr>
      <w:ind w:firstLine="0"/>
    </w:pPr>
  </w:style>
  <w:style w:type="paragraph" w:customStyle="1" w:styleId="ListNote">
    <w:name w:val="List Note"/>
    <w:basedOn w:val="List"/>
    <w:rsid w:val="007D5A9C"/>
    <w:pPr>
      <w:pBdr>
        <w:top w:val="single" w:sz="6" w:space="2" w:color="918585"/>
        <w:bottom w:val="single" w:sz="6" w:space="2" w:color="918585"/>
      </w:pBdr>
      <w:tabs>
        <w:tab w:val="left" w:pos="1021"/>
      </w:tabs>
      <w:ind w:firstLine="0"/>
    </w:pPr>
  </w:style>
  <w:style w:type="paragraph" w:customStyle="1" w:styleId="Warning">
    <w:name w:val="Warning"/>
    <w:basedOn w:val="BodyText"/>
    <w:rsid w:val="007D5A9C"/>
    <w:pPr>
      <w:shd w:val="clear" w:color="auto" w:fill="D9D9D9"/>
      <w:tabs>
        <w:tab w:val="left" w:pos="992"/>
      </w:tabs>
      <w:ind w:left="119" w:right="119"/>
    </w:pPr>
    <w:rPr>
      <w:sz w:val="20"/>
    </w:rPr>
  </w:style>
  <w:style w:type="paragraph" w:customStyle="1" w:styleId="MarginIcons">
    <w:name w:val="Margin Icons"/>
    <w:basedOn w:val="BodyText"/>
    <w:rsid w:val="007D5A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5A9C"/>
    <w:rPr>
      <w:rFonts w:ascii="Courier New" w:hAnsi="Courier New"/>
    </w:rPr>
  </w:style>
  <w:style w:type="paragraph" w:customStyle="1" w:styleId="NoteBullet">
    <w:name w:val="Note Bullet"/>
    <w:basedOn w:val="Note"/>
    <w:rsid w:val="007D5A9C"/>
    <w:pPr>
      <w:tabs>
        <w:tab w:val="clear" w:pos="680"/>
      </w:tabs>
      <w:spacing w:before="60" w:after="60"/>
    </w:pPr>
  </w:style>
  <w:style w:type="paragraph" w:customStyle="1" w:styleId="SubHeading2">
    <w:name w:val="SubHeading2"/>
    <w:basedOn w:val="HeadingBase"/>
    <w:rsid w:val="007D5A9C"/>
    <w:pPr>
      <w:spacing w:before="240" w:after="60"/>
    </w:pPr>
    <w:rPr>
      <w:sz w:val="20"/>
    </w:rPr>
  </w:style>
  <w:style w:type="paragraph" w:customStyle="1" w:styleId="SubHeading1">
    <w:name w:val="SubHeading1"/>
    <w:basedOn w:val="HeadingBase"/>
    <w:rsid w:val="007D5A9C"/>
    <w:pPr>
      <w:spacing w:before="240" w:after="60"/>
    </w:pPr>
    <w:rPr>
      <w:color w:val="918585"/>
      <w:sz w:val="22"/>
    </w:rPr>
  </w:style>
  <w:style w:type="paragraph" w:customStyle="1" w:styleId="SideHeading">
    <w:name w:val="Side Heading"/>
    <w:basedOn w:val="HeadingBase"/>
    <w:rsid w:val="007D5A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5A9C"/>
    <w:pPr>
      <w:numPr>
        <w:numId w:val="10"/>
      </w:numPr>
    </w:pPr>
  </w:style>
  <w:style w:type="paragraph" w:styleId="PlainText">
    <w:name w:val="Plain Text"/>
    <w:basedOn w:val="Normal"/>
    <w:link w:val="PlainTextChar"/>
    <w:rsid w:val="007D5A9C"/>
    <w:rPr>
      <w:sz w:val="20"/>
    </w:rPr>
  </w:style>
  <w:style w:type="character" w:customStyle="1" w:styleId="PlainTextChar">
    <w:name w:val="Plain Text Char"/>
    <w:basedOn w:val="DefaultParagraphFont"/>
    <w:link w:val="PlainText"/>
    <w:rsid w:val="007D5A9C"/>
    <w:rPr>
      <w:rFonts w:ascii="Courier New" w:eastAsia="Times New Roman" w:hAnsi="Courier New" w:cs="Times New Roman"/>
      <w:sz w:val="20"/>
      <w:szCs w:val="20"/>
      <w:lang w:eastAsia="en-US"/>
    </w:rPr>
  </w:style>
  <w:style w:type="character" w:customStyle="1" w:styleId="MenuOption">
    <w:name w:val="Menu Option"/>
    <w:basedOn w:val="DefaultParagraphFont"/>
    <w:rsid w:val="007D5A9C"/>
    <w:rPr>
      <w:b/>
      <w:smallCaps/>
    </w:rPr>
  </w:style>
  <w:style w:type="paragraph" w:customStyle="1" w:styleId="TableListNumber">
    <w:name w:val="Table List Number"/>
    <w:basedOn w:val="ListNumber"/>
    <w:rsid w:val="007D5A9C"/>
    <w:pPr>
      <w:numPr>
        <w:numId w:val="0"/>
      </w:numPr>
    </w:pPr>
  </w:style>
  <w:style w:type="paragraph" w:styleId="TOC4">
    <w:name w:val="toc 4"/>
    <w:basedOn w:val="TOCBase"/>
    <w:next w:val="Normal"/>
    <w:semiHidden/>
    <w:rsid w:val="007D5A9C"/>
    <w:pPr>
      <w:tabs>
        <w:tab w:val="right" w:leader="dot" w:pos="9071"/>
      </w:tabs>
      <w:ind w:left="1701"/>
    </w:pPr>
  </w:style>
  <w:style w:type="paragraph" w:customStyle="1" w:styleId="ListAlpha">
    <w:name w:val="List Alpha"/>
    <w:basedOn w:val="List"/>
    <w:rsid w:val="007D5A9C"/>
    <w:pPr>
      <w:numPr>
        <w:numId w:val="8"/>
      </w:numPr>
    </w:pPr>
  </w:style>
  <w:style w:type="paragraph" w:customStyle="1" w:styleId="ListAlpha2">
    <w:name w:val="List Alpha 2"/>
    <w:basedOn w:val="List2"/>
    <w:rsid w:val="007D5A9C"/>
    <w:pPr>
      <w:numPr>
        <w:numId w:val="7"/>
      </w:numPr>
    </w:pPr>
  </w:style>
  <w:style w:type="paragraph" w:styleId="List2">
    <w:name w:val="List 2"/>
    <w:basedOn w:val="BodyText"/>
    <w:rsid w:val="007D5A9C"/>
    <w:pPr>
      <w:tabs>
        <w:tab w:val="left" w:pos="680"/>
      </w:tabs>
      <w:spacing w:before="60" w:after="60"/>
      <w:ind w:left="680" w:hanging="340"/>
    </w:pPr>
  </w:style>
  <w:style w:type="paragraph" w:styleId="List3">
    <w:name w:val="List 3"/>
    <w:basedOn w:val="BodyText"/>
    <w:rsid w:val="007D5A9C"/>
    <w:pPr>
      <w:tabs>
        <w:tab w:val="left" w:pos="1021"/>
      </w:tabs>
      <w:spacing w:before="60" w:after="60"/>
      <w:ind w:left="1020" w:hanging="340"/>
    </w:pPr>
  </w:style>
  <w:style w:type="paragraph" w:styleId="List4">
    <w:name w:val="List 4"/>
    <w:basedOn w:val="BodyText"/>
    <w:rsid w:val="007D5A9C"/>
    <w:pPr>
      <w:tabs>
        <w:tab w:val="left" w:pos="1361"/>
      </w:tabs>
      <w:spacing w:before="60" w:after="60"/>
      <w:ind w:left="1361" w:hanging="340"/>
    </w:pPr>
  </w:style>
  <w:style w:type="paragraph" w:styleId="List5">
    <w:name w:val="List 5"/>
    <w:basedOn w:val="BodyText"/>
    <w:rsid w:val="007D5A9C"/>
    <w:pPr>
      <w:tabs>
        <w:tab w:val="left" w:pos="1701"/>
      </w:tabs>
      <w:spacing w:before="60" w:after="60"/>
      <w:ind w:left="1701" w:hanging="340"/>
    </w:pPr>
  </w:style>
  <w:style w:type="paragraph" w:styleId="ListBullet3">
    <w:name w:val="List Bullet 3"/>
    <w:basedOn w:val="List3"/>
    <w:rsid w:val="007D5A9C"/>
    <w:pPr>
      <w:numPr>
        <w:numId w:val="13"/>
      </w:numPr>
      <w:tabs>
        <w:tab w:val="clear" w:pos="1021"/>
      </w:tabs>
      <w:ind w:left="1037" w:hanging="357"/>
    </w:pPr>
  </w:style>
  <w:style w:type="paragraph" w:styleId="ListBullet4">
    <w:name w:val="List Bullet 4"/>
    <w:basedOn w:val="List4"/>
    <w:rsid w:val="007D5A9C"/>
    <w:pPr>
      <w:numPr>
        <w:numId w:val="2"/>
      </w:numPr>
      <w:tabs>
        <w:tab w:val="clear" w:pos="1361"/>
      </w:tabs>
    </w:pPr>
  </w:style>
  <w:style w:type="paragraph" w:styleId="ListBullet5">
    <w:name w:val="List Bullet 5"/>
    <w:basedOn w:val="List5"/>
    <w:rsid w:val="007D5A9C"/>
    <w:pPr>
      <w:numPr>
        <w:numId w:val="3"/>
      </w:numPr>
    </w:pPr>
  </w:style>
  <w:style w:type="paragraph" w:styleId="ListContinue2">
    <w:name w:val="List Continue 2"/>
    <w:basedOn w:val="List2"/>
    <w:rsid w:val="007D5A9C"/>
    <w:pPr>
      <w:ind w:firstLine="0"/>
    </w:pPr>
  </w:style>
  <w:style w:type="paragraph" w:styleId="ListContinue3">
    <w:name w:val="List Continue 3"/>
    <w:basedOn w:val="List3"/>
    <w:rsid w:val="007D5A9C"/>
    <w:pPr>
      <w:ind w:left="1021" w:firstLine="0"/>
    </w:pPr>
  </w:style>
  <w:style w:type="paragraph" w:styleId="ListContinue4">
    <w:name w:val="List Continue 4"/>
    <w:basedOn w:val="List4"/>
    <w:rsid w:val="007D5A9C"/>
    <w:pPr>
      <w:ind w:firstLine="0"/>
    </w:pPr>
  </w:style>
  <w:style w:type="paragraph" w:styleId="ListContinue5">
    <w:name w:val="List Continue 5"/>
    <w:basedOn w:val="List5"/>
    <w:rsid w:val="007D5A9C"/>
    <w:pPr>
      <w:ind w:firstLine="0"/>
    </w:pPr>
  </w:style>
  <w:style w:type="paragraph" w:styleId="ListNumber3">
    <w:name w:val="List Number 3"/>
    <w:basedOn w:val="List3"/>
    <w:rsid w:val="007D5A9C"/>
    <w:pPr>
      <w:numPr>
        <w:numId w:val="4"/>
      </w:numPr>
    </w:pPr>
  </w:style>
  <w:style w:type="paragraph" w:styleId="ListNumber4">
    <w:name w:val="List Number 4"/>
    <w:basedOn w:val="List4"/>
    <w:rsid w:val="007D5A9C"/>
    <w:pPr>
      <w:numPr>
        <w:numId w:val="5"/>
      </w:numPr>
    </w:pPr>
  </w:style>
  <w:style w:type="paragraph" w:styleId="ListNumber5">
    <w:name w:val="List Number 5"/>
    <w:basedOn w:val="List5"/>
    <w:rsid w:val="007D5A9C"/>
    <w:pPr>
      <w:numPr>
        <w:numId w:val="6"/>
      </w:numPr>
    </w:pPr>
  </w:style>
  <w:style w:type="paragraph" w:styleId="BlockText">
    <w:name w:val="Block Text"/>
    <w:basedOn w:val="Normal"/>
    <w:rsid w:val="007D5A9C"/>
    <w:pPr>
      <w:spacing w:after="120"/>
      <w:ind w:left="1440" w:right="1440"/>
    </w:pPr>
  </w:style>
  <w:style w:type="character" w:customStyle="1" w:styleId="Subscript">
    <w:name w:val="Subscript"/>
    <w:basedOn w:val="DefaultParagraphFont"/>
    <w:rsid w:val="007D5A9C"/>
    <w:rPr>
      <w:sz w:val="16"/>
      <w:vertAlign w:val="subscript"/>
    </w:rPr>
  </w:style>
  <w:style w:type="character" w:customStyle="1" w:styleId="Superscript">
    <w:name w:val="Superscript"/>
    <w:basedOn w:val="DefaultParagraphFont"/>
    <w:rsid w:val="007D5A9C"/>
    <w:rPr>
      <w:sz w:val="16"/>
      <w:vertAlign w:val="superscript"/>
    </w:rPr>
  </w:style>
  <w:style w:type="character" w:customStyle="1" w:styleId="Symbols">
    <w:name w:val="Symbols"/>
    <w:basedOn w:val="DefaultParagraphFont"/>
    <w:rsid w:val="007D5A9C"/>
    <w:rPr>
      <w:rFonts w:ascii="Symbol" w:hAnsi="Symbol"/>
    </w:rPr>
  </w:style>
  <w:style w:type="character" w:customStyle="1" w:styleId="MenuOptions">
    <w:name w:val="Menu Options"/>
    <w:basedOn w:val="DefaultParagraphFont"/>
    <w:rsid w:val="007D5A9C"/>
    <w:rPr>
      <w:rFonts w:ascii="Arial Narrow" w:hAnsi="Arial Narrow"/>
      <w:smallCaps/>
    </w:rPr>
  </w:style>
  <w:style w:type="character" w:customStyle="1" w:styleId="Buttons">
    <w:name w:val="Buttons"/>
    <w:basedOn w:val="DefaultParagraphFont"/>
    <w:rsid w:val="007D5A9C"/>
    <w:rPr>
      <w:b/>
    </w:rPr>
  </w:style>
  <w:style w:type="character" w:customStyle="1" w:styleId="Underlined">
    <w:name w:val="Underlined"/>
    <w:basedOn w:val="DefaultParagraphFont"/>
    <w:rsid w:val="007D5A9C"/>
    <w:rPr>
      <w:u w:val="single"/>
    </w:rPr>
  </w:style>
  <w:style w:type="paragraph" w:customStyle="1" w:styleId="TableBodyTextRight">
    <w:name w:val="Table Body Text Right"/>
    <w:basedOn w:val="TableBodyText"/>
    <w:rsid w:val="007D5A9C"/>
    <w:pPr>
      <w:widowControl w:val="0"/>
      <w:autoSpaceDE w:val="0"/>
      <w:autoSpaceDN w:val="0"/>
      <w:adjustRightInd w:val="0"/>
      <w:jc w:val="right"/>
    </w:pPr>
    <w:rPr>
      <w:rFonts w:cs="Arial"/>
      <w:szCs w:val="18"/>
    </w:rPr>
  </w:style>
  <w:style w:type="paragraph" w:customStyle="1" w:styleId="CopyrightText">
    <w:name w:val="Copyright Text"/>
    <w:basedOn w:val="BodyText"/>
    <w:rsid w:val="007D5A9C"/>
    <w:rPr>
      <w:sz w:val="18"/>
    </w:rPr>
  </w:style>
  <w:style w:type="paragraph" w:customStyle="1" w:styleId="BodySmallRight">
    <w:name w:val="Body Small Right"/>
    <w:basedOn w:val="BodyTextRight"/>
    <w:rsid w:val="007D5A9C"/>
    <w:rPr>
      <w:sz w:val="18"/>
      <w:szCs w:val="18"/>
    </w:rPr>
  </w:style>
  <w:style w:type="paragraph" w:customStyle="1" w:styleId="MarginEdition">
    <w:name w:val="Margin Edition"/>
    <w:basedOn w:val="MarginNote"/>
    <w:rsid w:val="007D5A9C"/>
    <w:pPr>
      <w:spacing w:before="0" w:after="0"/>
    </w:pPr>
    <w:rPr>
      <w:rFonts w:ascii="Times New Roman" w:hAnsi="Times New Roman"/>
      <w:color w:val="999999"/>
    </w:rPr>
  </w:style>
  <w:style w:type="paragraph" w:customStyle="1" w:styleId="Spacer">
    <w:name w:val="Spacer"/>
    <w:basedOn w:val="Normal"/>
    <w:rsid w:val="007D5A9C"/>
    <w:rPr>
      <w:sz w:val="2"/>
      <w:szCs w:val="2"/>
    </w:rPr>
  </w:style>
  <w:style w:type="character" w:customStyle="1" w:styleId="Small">
    <w:name w:val="Small"/>
    <w:basedOn w:val="DefaultParagraphFont"/>
    <w:rsid w:val="007D5A9C"/>
    <w:rPr>
      <w:sz w:val="16"/>
    </w:rPr>
  </w:style>
  <w:style w:type="paragraph" w:customStyle="1" w:styleId="WideTable">
    <w:name w:val="Wide Table"/>
    <w:basedOn w:val="Normal"/>
    <w:rsid w:val="007D5A9C"/>
    <w:pPr>
      <w:ind w:left="-1418"/>
    </w:pPr>
    <w:rPr>
      <w:sz w:val="2"/>
      <w:szCs w:val="2"/>
    </w:rPr>
  </w:style>
  <w:style w:type="character" w:styleId="PageNumber">
    <w:name w:val="page number"/>
    <w:basedOn w:val="DefaultParagraphFont"/>
    <w:rsid w:val="007D5A9C"/>
  </w:style>
  <w:style w:type="paragraph" w:styleId="Quote">
    <w:name w:val="Quote"/>
    <w:basedOn w:val="Heading1"/>
    <w:link w:val="QuoteChar"/>
    <w:qFormat/>
    <w:rsid w:val="007D5A9C"/>
    <w:rPr>
      <w:b w:val="0"/>
      <w:sz w:val="72"/>
      <w:szCs w:val="72"/>
      <w:lang w:val="en-NZ"/>
    </w:rPr>
  </w:style>
  <w:style w:type="character" w:customStyle="1" w:styleId="QuoteChar">
    <w:name w:val="Quote Char"/>
    <w:basedOn w:val="DefaultParagraphFont"/>
    <w:link w:val="Quote"/>
    <w:rsid w:val="007D5A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5A9C"/>
    <w:pPr>
      <w:pageBreakBefore/>
    </w:pPr>
  </w:style>
  <w:style w:type="paragraph" w:customStyle="1" w:styleId="Border">
    <w:name w:val="Border"/>
    <w:basedOn w:val="Normal"/>
    <w:qFormat/>
    <w:rsid w:val="007D5A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5A9C"/>
    <w:rPr>
      <w:b/>
      <w:bCs/>
      <w:i/>
      <w:iCs/>
      <w:color w:val="auto"/>
    </w:rPr>
  </w:style>
  <w:style w:type="paragraph" w:styleId="IntenseQuote">
    <w:name w:val="Intense Quote"/>
    <w:basedOn w:val="Normal"/>
    <w:next w:val="Normal"/>
    <w:link w:val="IntenseQuoteChar"/>
    <w:uiPriority w:val="30"/>
    <w:qFormat/>
    <w:rsid w:val="007D5A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5A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5A9C"/>
    <w:rPr>
      <w:smallCaps/>
      <w:color w:val="auto"/>
      <w:u w:val="single"/>
    </w:rPr>
  </w:style>
  <w:style w:type="character" w:styleId="IntenseReference">
    <w:name w:val="Intense Reference"/>
    <w:basedOn w:val="DefaultParagraphFont"/>
    <w:uiPriority w:val="32"/>
    <w:qFormat/>
    <w:rsid w:val="007D5A9C"/>
    <w:rPr>
      <w:b/>
      <w:bCs/>
      <w:smallCaps/>
      <w:color w:val="auto"/>
      <w:spacing w:val="5"/>
      <w:u w:val="single"/>
    </w:rPr>
  </w:style>
  <w:style w:type="paragraph" w:customStyle="1" w:styleId="2ColumnHeading">
    <w:name w:val="2Column Heading"/>
    <w:basedOn w:val="BodyText"/>
    <w:qFormat/>
    <w:rsid w:val="007D5A9C"/>
    <w:pPr>
      <w:spacing w:after="60"/>
      <w:ind w:left="-2268"/>
    </w:pPr>
    <w:rPr>
      <w:b/>
    </w:rPr>
  </w:style>
  <w:style w:type="paragraph" w:customStyle="1" w:styleId="Heading1TOC">
    <w:name w:val="Heading1 TOC"/>
    <w:basedOn w:val="Normal"/>
    <w:qFormat/>
    <w:rsid w:val="007D5A9C"/>
    <w:pPr>
      <w:spacing w:before="240" w:after="120"/>
    </w:pPr>
    <w:rPr>
      <w:rFonts w:ascii="Times New Roman" w:hAnsi="Times New Roman"/>
      <w:b/>
      <w:sz w:val="32"/>
    </w:rPr>
  </w:style>
  <w:style w:type="paragraph" w:customStyle="1" w:styleId="Heading2TOC">
    <w:name w:val="Heading2 TOC"/>
    <w:basedOn w:val="Normal"/>
    <w:qFormat/>
    <w:rsid w:val="007D5A9C"/>
    <w:pPr>
      <w:spacing w:before="240" w:after="60"/>
    </w:pPr>
    <w:rPr>
      <w:rFonts w:ascii="Times New Roman" w:hAnsi="Times New Roman"/>
      <w:b/>
      <w:sz w:val="28"/>
    </w:rPr>
  </w:style>
  <w:style w:type="character" w:customStyle="1" w:styleId="Underline">
    <w:name w:val="Underline"/>
    <w:basedOn w:val="DefaultParagraphFont"/>
    <w:qFormat/>
    <w:rsid w:val="007D5A9C"/>
    <w:rPr>
      <w:u w:val="single"/>
    </w:rPr>
  </w:style>
  <w:style w:type="character" w:customStyle="1" w:styleId="BoldandItalics">
    <w:name w:val="Bold and Italics"/>
    <w:qFormat/>
    <w:rsid w:val="007D5A9C"/>
    <w:rPr>
      <w:b/>
      <w:i/>
      <w:u w:val="none"/>
    </w:rPr>
  </w:style>
  <w:style w:type="paragraph" w:styleId="BalloonText">
    <w:name w:val="Balloon Text"/>
    <w:basedOn w:val="Normal"/>
    <w:link w:val="BalloonTextChar"/>
    <w:rsid w:val="007D5A9C"/>
    <w:rPr>
      <w:rFonts w:ascii="Tahoma" w:hAnsi="Tahoma" w:cs="Tahoma"/>
      <w:sz w:val="16"/>
      <w:szCs w:val="16"/>
    </w:rPr>
  </w:style>
  <w:style w:type="character" w:customStyle="1" w:styleId="BalloonTextChar">
    <w:name w:val="Balloon Text Char"/>
    <w:basedOn w:val="DefaultParagraphFont"/>
    <w:link w:val="BalloonText"/>
    <w:rsid w:val="007D5A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5A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5A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5A9C"/>
    <w:rPr>
      <w:b/>
      <w:color w:val="660033"/>
      <w:spacing w:val="0"/>
    </w:rPr>
  </w:style>
  <w:style w:type="paragraph" w:customStyle="1" w:styleId="Nameditemlist">
    <w:name w:val="Named item list"/>
    <w:basedOn w:val="BodyText"/>
    <w:qFormat/>
    <w:rsid w:val="007D5A9C"/>
    <w:pPr>
      <w:tabs>
        <w:tab w:val="left" w:pos="2835"/>
      </w:tabs>
      <w:ind w:left="2835" w:hanging="2835"/>
    </w:pPr>
  </w:style>
  <w:style w:type="paragraph" w:customStyle="1" w:styleId="BodyTextnopadding">
    <w:name w:val="Body Text no padding"/>
    <w:basedOn w:val="BodyText"/>
    <w:qFormat/>
    <w:rsid w:val="007D5A9C"/>
    <w:pPr>
      <w:spacing w:before="0" w:after="0"/>
    </w:pPr>
  </w:style>
  <w:style w:type="paragraph" w:customStyle="1" w:styleId="BodyTextBold">
    <w:name w:val="Body Text Bold"/>
    <w:basedOn w:val="BodyText"/>
    <w:qFormat/>
    <w:rsid w:val="007D5A9C"/>
    <w:rPr>
      <w:b/>
    </w:rPr>
  </w:style>
  <w:style w:type="character" w:styleId="Hyperlink">
    <w:name w:val="Hyperlink"/>
    <w:basedOn w:val="DefaultParagraphFont"/>
    <w:uiPriority w:val="99"/>
    <w:unhideWhenUsed/>
    <w:rsid w:val="001915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982</Words>
  <Characters>5835</Characters>
  <Application>Microsoft Office Word</Application>
  <DocSecurity>0</DocSecurity>
  <Lines>265</Lines>
  <Paragraphs>136</Paragraphs>
  <ScaleCrop>false</ScaleCrop>
  <Company>Author-it Software Corporation Ltd.</Company>
  <LinksUpToDate>false</LinksUpToDate>
  <CharactersWithSpaces>6681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MARA025 Monitor, loading, unloading, securing and stowage of cargo</dc:title>
  <dc:subject>Approved</dc:subject>
  <dc:creator>Industry Skills Australia</dc:creator>
  <cp:keywords>Release: 2</cp:keywords>
  <dc:description>Review Date: 12 April 2008</dc:description>
  <cp:lastModifiedBy>HSD_TPCMSd.prod</cp:lastModifiedBy>
  <cp:revision>3</cp:revision>
  <dcterms:created xsi:type="dcterms:W3CDTF">2024-11-25T10:49:00Z</dcterms:created>
  <dcterms:modified xsi:type="dcterms:W3CDTF">2024-11-25T10:49:00Z</dcterms:modified>
</cp:coreProperties>
</file>