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AB2" w:rsidP="00F00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MARA024 Manage vessel stability</w:t>
      </w:r>
      <w:r>
        <w:fldChar w:fldCharType="end"/>
      </w:r>
    </w:p>
    <w:p w:rsidR="00F00AB2" w:rsidP="00F00AB2">
      <w:pPr>
        <w:pStyle w:val="Version"/>
        <w:sectPr w:rsidSect="000F2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2576" w:rsidP="000F2576">
      <w:pPr>
        <w:pStyle w:val="SuperHeading"/>
      </w:pPr>
      <w:r w:rsidRPr="000F2576">
        <w:t>Assessment Requirements for MARA024 Manage vessel stability</w:t>
      </w:r>
    </w:p>
    <w:p w:rsidR="00000000" w:rsidRPr="000F2576" w:rsidP="000F2576">
      <w:pPr>
        <w:pStyle w:val="Heading1"/>
      </w:pPr>
      <w:bookmarkStart w:id="1" w:name="O_1284520"/>
      <w:bookmarkEnd w:id="1"/>
      <w:r w:rsidRPr="000F25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5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76" w:rsidP="000F2576">
            <w:pPr>
              <w:pStyle w:val="BodyText"/>
            </w:pPr>
            <w:r w:rsidRPr="000F2576">
              <w:rPr>
                <w:rStyle w:val="SpecialBold"/>
              </w:rPr>
              <w:t>Release 2</w:t>
            </w:r>
            <w:r w:rsidRPr="000F2576">
              <w:t>. This is the second release of this unit of competency in the MAR Maritime Training Package.</w:t>
            </w:r>
          </w:p>
          <w:p w:rsidR="00000000" w:rsidRPr="000F2576" w:rsidP="000F2576">
            <w:pPr>
              <w:pStyle w:val="ListBullet"/>
            </w:pPr>
            <w:r w:rsidRPr="000F2576">
              <w:t>Minor statement changes in unit Application</w:t>
            </w:r>
          </w:p>
          <w:p w:rsidR="00000000" w:rsidRPr="000F2576" w:rsidP="000F2576">
            <w:pPr>
              <w:pStyle w:val="ListBullet"/>
            </w:pPr>
            <w:r w:rsidRPr="000F2576">
              <w:t>Minor grammatical change in Performance Criteria 2.1</w:t>
            </w:r>
          </w:p>
          <w:p w:rsidR="00000000" w:rsidRPr="000F2576" w:rsidP="000F2576">
            <w:pPr>
              <w:pStyle w:val="ListBullet"/>
            </w:pPr>
            <w:r w:rsidRPr="000F2576">
              <w:t>Minor statement</w:t>
            </w:r>
            <w:r w:rsidRPr="000F2576">
              <w:t xml:space="preserve"> changes in Performance Evidence</w:t>
            </w:r>
          </w:p>
          <w:p w:rsidR="00000000" w:rsidP="000F2576">
            <w:pPr>
              <w:pStyle w:val="ListBullet"/>
              <w:rPr>
                <w:lang w:val="en-NZ"/>
              </w:rPr>
            </w:pPr>
            <w:r w:rsidRPr="000F2576">
              <w:t>Minor statement changes in Knowledge Evidence.</w:t>
            </w:r>
          </w:p>
        </w:tc>
      </w:tr>
      <w:tr w:rsidTr="000F25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76" w:rsidP="000F2576">
            <w:pPr>
              <w:pStyle w:val="BodyText"/>
            </w:pPr>
            <w:r w:rsidRPr="000F2576">
              <w:rPr>
                <w:rStyle w:val="SpecialBold"/>
              </w:rPr>
              <w:t>Release 1</w:t>
            </w:r>
            <w:r w:rsidRPr="000F2576">
              <w:t>. This is the first release of this unit of competency in the MAR Maritime Training Package.</w:t>
            </w:r>
          </w:p>
        </w:tc>
      </w:tr>
    </w:tbl>
    <w:p w:rsidR="00000000" w:rsidRPr="000F2576" w:rsidP="000F2576">
      <w:pPr>
        <w:pStyle w:val="NoPaddingFontSize1"/>
      </w:pPr>
    </w:p>
    <w:p w:rsidR="00000000" w:rsidRPr="000F2576" w:rsidP="000F2576">
      <w:pPr>
        <w:pStyle w:val="AllowPageBreak"/>
      </w:pPr>
    </w:p>
    <w:p w:rsidR="00000000" w:rsidRPr="000F2576" w:rsidP="000F2576">
      <w:pPr>
        <w:pStyle w:val="Heading1"/>
      </w:pPr>
      <w:bookmarkStart w:id="2" w:name="O_1284519"/>
      <w:bookmarkEnd w:id="2"/>
      <w:r w:rsidRPr="000F25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5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76" w:rsidP="000F2576">
            <w:pPr>
              <w:pStyle w:val="BodyText"/>
            </w:pPr>
            <w:r w:rsidRPr="000F2576">
              <w:t>Evidence required to demonstrat</w:t>
            </w:r>
            <w:r w:rsidRPr="000F2576">
              <w:t>e competence in this unit must be relevant to and satisfy all of the requirements of the elements and performance criteria on at least one occasion and include:</w:t>
            </w:r>
          </w:p>
          <w:p w:rsidR="00000000" w:rsidRPr="000F2576" w:rsidP="000F2576">
            <w:pPr>
              <w:pStyle w:val="ListBullet"/>
            </w:pPr>
            <w:r w:rsidRPr="000F2576">
              <w:t xml:space="preserve">carrying out basic calculations associated with maintaining vessel stability which must </w:t>
            </w:r>
            <w:r w:rsidRPr="000F2576">
              <w:t>include:</w:t>
            </w:r>
          </w:p>
          <w:p w:rsidR="00000000" w:rsidRPr="000F2576" w:rsidP="000F2576">
            <w:pPr>
              <w:pStyle w:val="ListBullet2"/>
            </w:pPr>
            <w:r w:rsidRPr="000F2576">
              <w:t>dock water and freshwater allowance</w:t>
            </w:r>
          </w:p>
          <w:p w:rsidR="00000000" w:rsidRPr="000F2576" w:rsidP="000F2576">
            <w:pPr>
              <w:pStyle w:val="ListBullet2"/>
            </w:pPr>
            <w:r w:rsidRPr="000F2576">
              <w:t>draft</w:t>
            </w:r>
          </w:p>
          <w:p w:rsidR="00000000" w:rsidRPr="000F2576" w:rsidP="000F2576">
            <w:pPr>
              <w:pStyle w:val="ListBullet2"/>
            </w:pPr>
            <w:r w:rsidRPr="000F2576">
              <w:t xml:space="preserve">final height of the centre of gravity (CG) above the keel of a vessel </w:t>
            </w:r>
          </w:p>
          <w:p w:rsidR="00000000" w:rsidRPr="000F2576" w:rsidP="000F2576">
            <w:pPr>
              <w:pStyle w:val="ListBullet2"/>
            </w:pPr>
            <w:r w:rsidRPr="000F2576">
              <w:t>final position of the longitudinal centre of gravity (LCG)</w:t>
            </w:r>
          </w:p>
          <w:p w:rsidR="00000000" w:rsidRPr="000F2576" w:rsidP="000F2576">
            <w:pPr>
              <w:pStyle w:val="ListBullet2"/>
            </w:pPr>
            <w:r w:rsidRPr="000F2576">
              <w:t>free surface effect and vertical distance between keel and CG adjusted for</w:t>
            </w:r>
            <w:r w:rsidRPr="000F2576">
              <w:t xml:space="preserve"> free surface effect (CGf)</w:t>
            </w:r>
          </w:p>
          <w:p w:rsidR="00000000" w:rsidRPr="000F2576" w:rsidP="000F2576">
            <w:pPr>
              <w:pStyle w:val="ListBullet2"/>
            </w:pPr>
            <w:r w:rsidRPr="000F2576">
              <w:t>metacentric height (GM) and GM adjusted for free surface effect (GMf)</w:t>
            </w:r>
          </w:p>
          <w:p w:rsidR="00000000" w:rsidRPr="000F2576" w:rsidP="000F2576">
            <w:pPr>
              <w:pStyle w:val="ListBullet2"/>
            </w:pPr>
            <w:r w:rsidRPr="000F2576">
              <w:t>righting moments</w:t>
            </w:r>
          </w:p>
          <w:p w:rsidR="00000000" w:rsidRPr="000F2576" w:rsidP="000F2576">
            <w:pPr>
              <w:pStyle w:val="ListBullet2"/>
            </w:pPr>
            <w:r w:rsidRPr="000F2576">
              <w:t>trim</w:t>
            </w:r>
          </w:p>
          <w:p w:rsidR="00000000" w:rsidRPr="000F2576" w:rsidP="000F2576">
            <w:pPr>
              <w:pStyle w:val="ListBullet"/>
            </w:pPr>
            <w:r w:rsidRPr="000F2576">
              <w:t>checking calculations to ensure correlation against stability book data</w:t>
            </w:r>
          </w:p>
          <w:p w:rsidR="00000000" w:rsidRPr="000F2576" w:rsidP="000F2576">
            <w:pPr>
              <w:pStyle w:val="ListBullet"/>
            </w:pPr>
            <w:r w:rsidRPr="000F2576">
              <w:t>maintaining stability management record keeping in accordance wi</w:t>
            </w:r>
            <w:r w:rsidRPr="000F2576">
              <w:t>th organisational procedures</w:t>
            </w:r>
          </w:p>
          <w:p w:rsidR="00000000" w:rsidRPr="000F2576" w:rsidP="000F2576">
            <w:pPr>
              <w:pStyle w:val="ListBullet"/>
            </w:pPr>
            <w:r w:rsidRPr="000F2576">
              <w:t>managing loading and weight distribution of vessel to ensure assigned load line conditions are not exceeded.</w:t>
            </w:r>
          </w:p>
        </w:tc>
      </w:tr>
    </w:tbl>
    <w:p w:rsidR="00000000" w:rsidRPr="000F2576" w:rsidP="000F2576">
      <w:pPr>
        <w:pStyle w:val="NoPaddingFontSize1"/>
      </w:pPr>
    </w:p>
    <w:p w:rsidR="00000000" w:rsidRPr="000F2576" w:rsidP="000F2576">
      <w:pPr>
        <w:pStyle w:val="AllowPageBreak"/>
      </w:pPr>
    </w:p>
    <w:p w:rsidR="00000000" w:rsidRPr="000F2576" w:rsidP="000F2576">
      <w:pPr>
        <w:pStyle w:val="Heading1"/>
      </w:pPr>
      <w:bookmarkStart w:id="3" w:name="O_1284518"/>
      <w:bookmarkEnd w:id="3"/>
      <w:r w:rsidRPr="000F25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5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76" w:rsidP="000F2576">
            <w:pPr>
              <w:pStyle w:val="BodyText"/>
            </w:pPr>
            <w:r w:rsidRPr="000F257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F2576" w:rsidP="000F2576">
            <w:pPr>
              <w:pStyle w:val="ListBullet"/>
            </w:pPr>
            <w:r w:rsidRPr="000F2576">
              <w:t>bilging and permeability</w:t>
            </w:r>
          </w:p>
          <w:p w:rsidR="00000000" w:rsidRPr="000F2576" w:rsidP="000F2576">
            <w:pPr>
              <w:pStyle w:val="ListBullet"/>
            </w:pPr>
            <w:r w:rsidRPr="000F2576">
              <w:t>calculations associated with vessel stability incl</w:t>
            </w:r>
            <w:r w:rsidRPr="000F2576">
              <w:t>uding:</w:t>
            </w:r>
          </w:p>
          <w:p w:rsidR="00000000" w:rsidRPr="000F2576" w:rsidP="000F2576">
            <w:pPr>
              <w:pStyle w:val="ListBullet2"/>
            </w:pPr>
            <w:r w:rsidRPr="000F2576">
              <w:t>centroids and CG</w:t>
            </w:r>
          </w:p>
          <w:p w:rsidR="00000000" w:rsidRPr="000F2576" w:rsidP="000F2576">
            <w:pPr>
              <w:pStyle w:val="ListBullet2"/>
            </w:pPr>
            <w:r w:rsidRPr="000F2576">
              <w:t>change of draught and trim (MCT)</w:t>
            </w:r>
          </w:p>
          <w:p w:rsidR="00000000" w:rsidRPr="000F2576" w:rsidP="000F2576">
            <w:pPr>
              <w:pStyle w:val="ListBullet2"/>
            </w:pPr>
            <w:r w:rsidRPr="000F2576">
              <w:t>density and specific gravity</w:t>
            </w:r>
          </w:p>
          <w:p w:rsidR="00000000" w:rsidRPr="000F2576" w:rsidP="000F2576">
            <w:pPr>
              <w:pStyle w:val="ListBullet2"/>
            </w:pPr>
            <w:r w:rsidRPr="000F2576">
              <w:t>dock water and freshwater allowance</w:t>
            </w:r>
          </w:p>
          <w:p w:rsidR="00000000" w:rsidRPr="000F2576" w:rsidP="000F2576">
            <w:pPr>
              <w:pStyle w:val="ListBullet2"/>
            </w:pPr>
            <w:r w:rsidRPr="000F2576">
              <w:t>draft calculations</w:t>
            </w:r>
          </w:p>
          <w:p w:rsidR="00000000" w:rsidRPr="000F2576" w:rsidP="000F2576">
            <w:pPr>
              <w:pStyle w:val="ListBullet2"/>
            </w:pPr>
            <w:r w:rsidRPr="000F2576">
              <w:t>free surface effect and vertical distance between keel and CG adjusted for free surface effect (CGf)</w:t>
            </w:r>
          </w:p>
          <w:p w:rsidR="00000000" w:rsidRPr="000F2576" w:rsidP="000F2576">
            <w:pPr>
              <w:pStyle w:val="ListBullet2"/>
            </w:pPr>
            <w:r w:rsidRPr="000F2576">
              <w:t>forces and moments calculations</w:t>
            </w:r>
          </w:p>
          <w:p w:rsidR="00000000" w:rsidRPr="000F2576" w:rsidP="000F2576">
            <w:pPr>
              <w:pStyle w:val="ListBullet2"/>
            </w:pPr>
            <w:r w:rsidRPr="000F2576">
              <w:t>longitudinal centre of gravity (LCG)</w:t>
            </w:r>
          </w:p>
          <w:p w:rsidR="00000000" w:rsidRPr="000F2576" w:rsidP="000F2576">
            <w:pPr>
              <w:pStyle w:val="ListBullet2"/>
            </w:pPr>
            <w:r w:rsidRPr="000F2576">
              <w:t>metacentric height (GM) and GM adjusted for free surface effect (GMf)</w:t>
            </w:r>
          </w:p>
          <w:p w:rsidR="00000000" w:rsidRPr="000F2576" w:rsidP="000F2576">
            <w:pPr>
              <w:pStyle w:val="ListBullet2"/>
            </w:pPr>
            <w:r w:rsidRPr="000F2576">
              <w:t>righting moments</w:t>
            </w:r>
          </w:p>
          <w:p w:rsidR="00000000" w:rsidRPr="000F2576" w:rsidP="000F2576">
            <w:pPr>
              <w:pStyle w:val="ListBullet2"/>
            </w:pPr>
            <w:r w:rsidRPr="000F2576">
              <w:t>stress calculations</w:t>
            </w:r>
          </w:p>
          <w:p w:rsidR="00000000" w:rsidRPr="000F2576" w:rsidP="000F2576">
            <w:pPr>
              <w:pStyle w:val="ListBullet2"/>
            </w:pPr>
            <w:r w:rsidRPr="000F2576">
              <w:t>tonnes per centimetre (TPC) immersion</w:t>
            </w:r>
          </w:p>
          <w:p w:rsidR="00000000" w:rsidRPr="000F2576" w:rsidP="000F2576">
            <w:pPr>
              <w:pStyle w:val="ListBullet2"/>
            </w:pPr>
            <w:r w:rsidRPr="000F2576">
              <w:t>trim calculations including use of trim an</w:t>
            </w:r>
            <w:r w:rsidRPr="000F2576">
              <w:t>d stress tables</w:t>
            </w:r>
          </w:p>
          <w:p w:rsidR="00000000" w:rsidRPr="000F2576" w:rsidP="000F2576">
            <w:pPr>
              <w:pStyle w:val="ListBullet"/>
            </w:pPr>
            <w:r w:rsidRPr="000F2576">
              <w:t>conditions of stable, neutral and unstable equilibrium and effects of disturbing vessel from upright</w:t>
            </w:r>
          </w:p>
          <w:p w:rsidR="00000000" w:rsidRPr="000F2576" w:rsidP="000F2576">
            <w:pPr>
              <w:pStyle w:val="ListBullet"/>
            </w:pPr>
            <w:r w:rsidRPr="000F2576">
              <w:t>construction features and stress characteristics for vessels</w:t>
            </w:r>
          </w:p>
          <w:p w:rsidR="00000000" w:rsidRPr="000F2576" w:rsidP="000F2576">
            <w:pPr>
              <w:pStyle w:val="ListBullet"/>
            </w:pPr>
            <w:r w:rsidRPr="000F2576">
              <w:t>effects of free surface of liquids</w:t>
            </w:r>
          </w:p>
          <w:p w:rsidR="00000000" w:rsidRPr="000F2576" w:rsidP="000F2576">
            <w:pPr>
              <w:pStyle w:val="ListBullet"/>
            </w:pPr>
            <w:r w:rsidRPr="000F2576">
              <w:t>emergencies including:</w:t>
            </w:r>
          </w:p>
          <w:p w:rsidR="00000000" w:rsidRPr="000F2576" w:rsidP="000F2576">
            <w:pPr>
              <w:pStyle w:val="ListBullet2"/>
            </w:pPr>
            <w:r w:rsidRPr="000F2576">
              <w:t>adverse weather and water conditions</w:t>
            </w:r>
          </w:p>
          <w:p w:rsidR="00000000" w:rsidRPr="000F2576" w:rsidP="000F2576">
            <w:pPr>
              <w:pStyle w:val="ListBullet2"/>
            </w:pPr>
            <w:r w:rsidRPr="000F2576">
              <w:t>any other emergency identified by risk assessment that may affect stability</w:t>
            </w:r>
          </w:p>
          <w:p w:rsidR="00000000" w:rsidRPr="000F2576" w:rsidP="000F2576">
            <w:pPr>
              <w:pStyle w:val="ListBullet2"/>
            </w:pPr>
            <w:r w:rsidRPr="000F2576">
              <w:t>cargo shift</w:t>
            </w:r>
          </w:p>
          <w:p w:rsidR="00000000" w:rsidRPr="000F2576" w:rsidP="000F2576">
            <w:pPr>
              <w:pStyle w:val="ListBullet2"/>
            </w:pPr>
            <w:r w:rsidRPr="000F2576">
              <w:t>damaged hull</w:t>
            </w:r>
          </w:p>
          <w:p w:rsidR="00000000" w:rsidRPr="000F2576" w:rsidP="000F2576">
            <w:pPr>
              <w:pStyle w:val="ListBullet2"/>
            </w:pPr>
            <w:r w:rsidRPr="000F2576">
              <w:t>flooding of cargo spaces</w:t>
            </w:r>
          </w:p>
          <w:p w:rsidR="00000000" w:rsidRPr="000F2576" w:rsidP="000F2576">
            <w:pPr>
              <w:pStyle w:val="ListBullet"/>
            </w:pPr>
            <w:r w:rsidRPr="000F2576">
              <w:t>factors that affect the rolling period of vessel</w:t>
            </w:r>
          </w:p>
          <w:p w:rsidR="00000000" w:rsidRPr="000F2576" w:rsidP="000F2576">
            <w:pPr>
              <w:pStyle w:val="ListBullet"/>
            </w:pPr>
            <w:r w:rsidRPr="000F2576">
              <w:t xml:space="preserve">loading and discharging weights </w:t>
            </w:r>
          </w:p>
          <w:p w:rsidR="00000000" w:rsidRPr="000F2576" w:rsidP="000F2576">
            <w:pPr>
              <w:pStyle w:val="ListBullet"/>
            </w:pPr>
            <w:r w:rsidRPr="000F2576">
              <w:t>loading li</w:t>
            </w:r>
            <w:r w:rsidRPr="000F2576">
              <w:t>mits including:</w:t>
            </w:r>
          </w:p>
          <w:p w:rsidR="00000000" w:rsidRPr="000F2576" w:rsidP="000F2576">
            <w:pPr>
              <w:pStyle w:val="ListBullet2"/>
            </w:pPr>
            <w:r w:rsidRPr="000F2576">
              <w:t>not exceeding allowable passenger carrying capacity and distribution</w:t>
            </w:r>
          </w:p>
          <w:p w:rsidR="00000000" w:rsidRPr="000F2576" w:rsidP="000F2576">
            <w:pPr>
              <w:pStyle w:val="ListBullet2"/>
            </w:pPr>
            <w:r w:rsidRPr="000F2576">
              <w:t xml:space="preserve">not exceeding cargo carrying capacity of the vessel </w:t>
            </w:r>
          </w:p>
          <w:p w:rsidR="00000000" w:rsidRPr="000F2576" w:rsidP="000F2576">
            <w:pPr>
              <w:pStyle w:val="ListBullet2"/>
            </w:pPr>
            <w:r w:rsidRPr="000F2576">
              <w:t>the effect of fuel, freshwater and ballast on cargo carrying capacity</w:t>
            </w:r>
          </w:p>
          <w:p w:rsidR="00000000" w:rsidRPr="000F2576" w:rsidP="000F2576">
            <w:pPr>
              <w:pStyle w:val="ListBullet"/>
            </w:pPr>
            <w:r w:rsidRPr="000F2576">
              <w:t>maintenance of stability during firefighting o</w:t>
            </w:r>
            <w:r w:rsidRPr="000F2576">
              <w:t>perations</w:t>
            </w:r>
          </w:p>
          <w:p w:rsidR="00000000" w:rsidRPr="000F2576" w:rsidP="000F2576">
            <w:pPr>
              <w:pStyle w:val="ListBullet"/>
            </w:pPr>
            <w:r w:rsidRPr="000F2576">
              <w:t>principal stresses that act on the structure of a vessel</w:t>
            </w:r>
          </w:p>
          <w:p w:rsidR="00000000" w:rsidRPr="000F2576" w:rsidP="000F2576">
            <w:pPr>
              <w:pStyle w:val="ListBullet"/>
            </w:pPr>
            <w:r w:rsidRPr="000F2576">
              <w:t>principles of vessel stability</w:t>
            </w:r>
          </w:p>
          <w:p w:rsidR="00000000" w:rsidRPr="000F2576" w:rsidP="000F2576">
            <w:pPr>
              <w:pStyle w:val="ListBullet"/>
            </w:pPr>
            <w:r w:rsidRPr="000F2576">
              <w:t>problems affecting vessel stability</w:t>
            </w:r>
          </w:p>
          <w:p w:rsidR="00000000" w:rsidRPr="000F2576" w:rsidP="000F2576">
            <w:pPr>
              <w:pStyle w:val="ListBullet"/>
            </w:pPr>
            <w:r w:rsidRPr="000F2576">
              <w:t>relationship between light displacement, loaded displacement and deadweight tonnage</w:t>
            </w:r>
          </w:p>
          <w:p w:rsidR="00000000" w:rsidRPr="000F2576" w:rsidP="000F2576">
            <w:pPr>
              <w:pStyle w:val="ListBullet"/>
            </w:pPr>
            <w:r w:rsidRPr="000F2576">
              <w:t>stability curves</w:t>
            </w:r>
          </w:p>
          <w:p w:rsidR="00000000" w:rsidRPr="000F2576" w:rsidP="000F2576">
            <w:pPr>
              <w:pStyle w:val="ListBullet"/>
            </w:pPr>
            <w:r w:rsidRPr="000F2576">
              <w:t>stability management record management including:</w:t>
            </w:r>
          </w:p>
          <w:p w:rsidR="00000000" w:rsidRPr="000F2576" w:rsidP="000F2576">
            <w:pPr>
              <w:pStyle w:val="ListBullet2"/>
            </w:pPr>
            <w:r w:rsidRPr="000F2576">
              <w:t>information contained in stability data books</w:t>
            </w:r>
          </w:p>
          <w:p w:rsidR="00000000" w:rsidRPr="000F2576" w:rsidP="000F2576">
            <w:pPr>
              <w:pStyle w:val="ListBullet"/>
            </w:pPr>
            <w:r w:rsidRPr="000F2576">
              <w:t xml:space="preserve">stability of vessel in a range of conditions </w:t>
            </w:r>
          </w:p>
          <w:p w:rsidR="00000000" w:rsidRPr="000F2576" w:rsidP="000F2576">
            <w:pPr>
              <w:pStyle w:val="ListBullet"/>
            </w:pPr>
            <w:r w:rsidRPr="000F2576">
              <w:t>stability terms and definitions</w:t>
            </w:r>
          </w:p>
          <w:p w:rsidR="00000000" w:rsidRPr="000F2576" w:rsidP="000F2576">
            <w:pPr>
              <w:pStyle w:val="ListBullet"/>
            </w:pPr>
            <w:r w:rsidRPr="000F2576">
              <w:t>steps involved in bringing an unstable vessel to a stable condition</w:t>
            </w:r>
          </w:p>
          <w:p w:rsidR="00000000" w:rsidRPr="000F2576" w:rsidP="000F2576">
            <w:pPr>
              <w:pStyle w:val="ListBullet"/>
            </w:pPr>
            <w:r w:rsidRPr="000F2576">
              <w:t>transverse a</w:t>
            </w:r>
            <w:r w:rsidRPr="000F2576">
              <w:t>nd longitudinal dynamics</w:t>
            </w:r>
          </w:p>
          <w:p w:rsidR="00000000" w:rsidRPr="000F2576" w:rsidP="000F2576">
            <w:pPr>
              <w:pStyle w:val="ListBullet"/>
            </w:pPr>
            <w:r w:rsidRPr="000F2576">
              <w:t>work health and safety (WHS)/occupational health and safety (OHS) requirements and work practices.</w:t>
            </w:r>
          </w:p>
        </w:tc>
      </w:tr>
    </w:tbl>
    <w:p w:rsidR="00000000" w:rsidRPr="000F2576" w:rsidP="000F2576">
      <w:pPr>
        <w:pStyle w:val="NoPaddingFontSize1"/>
      </w:pPr>
    </w:p>
    <w:p w:rsidR="00000000" w:rsidRPr="000F2576" w:rsidP="000F2576">
      <w:pPr>
        <w:pStyle w:val="AllowPageBreak"/>
      </w:pPr>
    </w:p>
    <w:p w:rsidR="00000000" w:rsidRPr="000F2576" w:rsidP="000F2576">
      <w:pPr>
        <w:pStyle w:val="Heading1"/>
      </w:pPr>
      <w:bookmarkStart w:id="4" w:name="O_1284517"/>
      <w:bookmarkEnd w:id="4"/>
      <w:r w:rsidRPr="000F25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5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76" w:rsidP="000F2576">
            <w:pPr>
              <w:pStyle w:val="BodyText"/>
            </w:pPr>
            <w:r w:rsidRPr="000F2576">
              <w:t xml:space="preserve">Assessors must satisfy applicable regulatory requirements, which include requirements in the Standards for Registered Training Organisations current at the time of assessment. </w:t>
            </w:r>
          </w:p>
          <w:p w:rsidR="00000000" w:rsidRPr="000F2576" w:rsidP="000F2576">
            <w:pPr>
              <w:pStyle w:val="BodyText"/>
            </w:pPr>
            <w:r w:rsidRPr="000F2576">
              <w:t>As a minimum, assessment must satisfy applicable regulatory requirements, which</w:t>
            </w:r>
            <w:r w:rsidRPr="000F2576">
              <w:t xml:space="preserve"> include requirements in the Standards for Registered Training Organisations current at the time of assessment.</w:t>
            </w:r>
          </w:p>
          <w:p w:rsidR="00000000" w:rsidRPr="000F2576" w:rsidP="000F2576">
            <w:pPr>
              <w:pStyle w:val="BodyText"/>
            </w:pPr>
            <w:r w:rsidRPr="000F2576">
              <w:t xml:space="preserve">Assessment processes and techniques must be appropriate to the language, literacy and numeracy requirements of the work being performed and the </w:t>
            </w:r>
            <w:r w:rsidRPr="000F2576">
              <w:t>needs of the candidate.</w:t>
            </w:r>
          </w:p>
          <w:p w:rsidR="00000000" w:rsidRPr="000F2576" w:rsidP="000F2576">
            <w:pPr>
              <w:pStyle w:val="BodyText"/>
            </w:pPr>
            <w:r w:rsidRPr="000F2576">
              <w:t xml:space="preserve">Practical assessment must occur in a workplace, or realistic simulated workplace, under the normal range of workplace conditions. </w:t>
            </w:r>
          </w:p>
          <w:p w:rsidR="00000000" w:rsidRPr="000F2576" w:rsidP="000F2576">
            <w:pPr>
              <w:pStyle w:val="BodyText"/>
            </w:pPr>
            <w:r w:rsidRPr="000F2576">
              <w:t>Simulations and scenarios may be used where situations cannot be provided in the workplace or may occ</w:t>
            </w:r>
            <w:r w:rsidRPr="000F2576">
              <w:t>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0F2576" w:rsidP="000F2576">
            <w:pPr>
              <w:pStyle w:val="BodyText"/>
            </w:pPr>
            <w:r w:rsidRPr="000F2576">
              <w:t>Resources for assessment must include access to:</w:t>
            </w:r>
          </w:p>
          <w:p w:rsidR="00000000" w:rsidRPr="000F2576" w:rsidP="000F2576">
            <w:pPr>
              <w:pStyle w:val="ListBullet"/>
            </w:pPr>
            <w:r w:rsidRPr="000F2576">
              <w:t>applicable doc</w:t>
            </w:r>
            <w:r w:rsidRPr="000F2576">
              <w:t>umentation, such as legislation, regulations, codes of practice, safety management system (SMS), vessel stability books, workplace procedures and operational manuals</w:t>
            </w:r>
          </w:p>
          <w:p w:rsidR="00000000" w:rsidRPr="000F2576" w:rsidP="000F2576">
            <w:pPr>
              <w:pStyle w:val="ListBullet"/>
            </w:pPr>
            <w:r w:rsidRPr="000F2576">
              <w:t>tools, equipment, machinery, materials and personal protective equipment (PPE) currently u</w:t>
            </w:r>
            <w:r w:rsidRPr="000F2576">
              <w:t>sed in industry.</w:t>
            </w:r>
          </w:p>
        </w:tc>
      </w:tr>
    </w:tbl>
    <w:p w:rsidR="00000000" w:rsidRPr="000F2576" w:rsidP="000F2576">
      <w:pPr>
        <w:pStyle w:val="NoPaddingFontSize1"/>
      </w:pPr>
    </w:p>
    <w:p w:rsidR="00000000" w:rsidRPr="000F2576" w:rsidP="000F2576">
      <w:pPr>
        <w:pStyle w:val="AllowPageBreak"/>
      </w:pPr>
    </w:p>
    <w:p w:rsidR="00000000" w:rsidRPr="000F2576" w:rsidP="000F2576">
      <w:pPr>
        <w:pStyle w:val="Heading1"/>
      </w:pPr>
      <w:bookmarkStart w:id="5" w:name="O_1284532"/>
      <w:bookmarkEnd w:id="5"/>
      <w:r w:rsidRPr="000F2576">
        <w:t>Links</w:t>
      </w:r>
    </w:p>
    <w:p w:rsidR="00000000" w:rsidRPr="000F2576" w:rsidP="00F00AB2">
      <w:pPr>
        <w:pStyle w:val="BodyText"/>
      </w:pPr>
      <w:r w:rsidRPr="000F25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C49A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F2576" w:rsidP="000F2576"/>
    <w:sectPr w:rsidSect="000F2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6" w:rsidRPr="00F00AB2" w:rsidP="00F00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B2" w:rsidP="000F2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AB2" w:rsidP="000F2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00AB2" w:rsidP="000F2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576" w:rsidRPr="00F00AB2" w:rsidP="00F00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B2" w:rsidRPr="002D2AF8" w:rsidP="000F2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MARA024 Manage vessel stability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F00AB2" w:rsidP="000F2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08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E84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5C9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576"/>
  </w:style>
  <w:style w:type="character" w:customStyle="1" w:styleId="Heading1Char">
    <w:name w:val="Heading 1 Char"/>
    <w:basedOn w:val="DefaultParagraphFont"/>
    <w:link w:val="Heading1"/>
    <w:rsid w:val="000F2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5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5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576"/>
    <w:rPr>
      <w:b/>
      <w:spacing w:val="0"/>
    </w:rPr>
  </w:style>
  <w:style w:type="paragraph" w:styleId="ListBullet2">
    <w:name w:val="List Bullet 2"/>
    <w:basedOn w:val="List2"/>
    <w:rsid w:val="000F25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2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2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5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5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576"/>
    <w:rPr>
      <w:i/>
    </w:rPr>
  </w:style>
  <w:style w:type="paragraph" w:styleId="Caption">
    <w:name w:val="caption"/>
    <w:basedOn w:val="BodyText"/>
    <w:next w:val="Normal"/>
    <w:qFormat/>
    <w:rsid w:val="000F2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576"/>
  </w:style>
  <w:style w:type="paragraph" w:styleId="TableofFigures">
    <w:name w:val="table of figures"/>
    <w:basedOn w:val="Normal"/>
    <w:next w:val="Normal"/>
    <w:semiHidden/>
    <w:rsid w:val="000F2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5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576"/>
    <w:rPr>
      <w:rFonts w:ascii="Wingdings" w:hAnsi="Wingdings"/>
    </w:rPr>
  </w:style>
  <w:style w:type="paragraph" w:customStyle="1" w:styleId="TableHeading">
    <w:name w:val="Table Heading"/>
    <w:basedOn w:val="HeadingBase"/>
    <w:rsid w:val="000F2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576"/>
    <w:rPr>
      <w:color w:val="0033CC"/>
      <w:u w:val="none"/>
    </w:rPr>
  </w:style>
  <w:style w:type="paragraph" w:customStyle="1" w:styleId="BodyTextRight">
    <w:name w:val="Body Text Right"/>
    <w:basedOn w:val="BodyText"/>
    <w:rsid w:val="000F2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5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576"/>
    <w:rPr>
      <w:sz w:val="32"/>
    </w:rPr>
  </w:style>
  <w:style w:type="paragraph" w:customStyle="1" w:styleId="HeadingProcedure">
    <w:name w:val="Heading Procedure"/>
    <w:basedOn w:val="HeadingBase"/>
    <w:next w:val="Normal"/>
    <w:rsid w:val="000F2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576"/>
    <w:pPr>
      <w:spacing w:before="60" w:after="60"/>
    </w:pPr>
  </w:style>
  <w:style w:type="paragraph" w:styleId="ListContinue">
    <w:name w:val="List Continue"/>
    <w:basedOn w:val="List"/>
    <w:rsid w:val="000F2576"/>
    <w:pPr>
      <w:ind w:firstLine="0"/>
    </w:pPr>
  </w:style>
  <w:style w:type="paragraph" w:customStyle="1" w:styleId="ListNote">
    <w:name w:val="List Note"/>
    <w:basedOn w:val="List"/>
    <w:rsid w:val="000F2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576"/>
    <w:rPr>
      <w:rFonts w:ascii="Courier New" w:hAnsi="Courier New"/>
    </w:rPr>
  </w:style>
  <w:style w:type="paragraph" w:customStyle="1" w:styleId="NoteBullet">
    <w:name w:val="Note Bullet"/>
    <w:basedOn w:val="Note"/>
    <w:rsid w:val="000F2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5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576"/>
    <w:rPr>
      <w:b/>
      <w:smallCaps/>
    </w:rPr>
  </w:style>
  <w:style w:type="paragraph" w:customStyle="1" w:styleId="TableListNumber">
    <w:name w:val="Table List Number"/>
    <w:basedOn w:val="ListNumber"/>
    <w:rsid w:val="000F2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576"/>
    <w:pPr>
      <w:numPr>
        <w:numId w:val="9"/>
      </w:numPr>
    </w:pPr>
  </w:style>
  <w:style w:type="paragraph" w:customStyle="1" w:styleId="ListAlpha2">
    <w:name w:val="List Alpha 2"/>
    <w:basedOn w:val="List2"/>
    <w:rsid w:val="000F2576"/>
    <w:pPr>
      <w:numPr>
        <w:numId w:val="8"/>
      </w:numPr>
    </w:pPr>
  </w:style>
  <w:style w:type="paragraph" w:styleId="List2">
    <w:name w:val="List 2"/>
    <w:basedOn w:val="BodyText"/>
    <w:rsid w:val="000F2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5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5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576"/>
    <w:pPr>
      <w:numPr>
        <w:numId w:val="4"/>
      </w:numPr>
    </w:pPr>
  </w:style>
  <w:style w:type="paragraph" w:styleId="ListContinue2">
    <w:name w:val="List Continue 2"/>
    <w:basedOn w:val="List2"/>
    <w:rsid w:val="000F2576"/>
    <w:pPr>
      <w:ind w:firstLine="0"/>
    </w:pPr>
  </w:style>
  <w:style w:type="paragraph" w:styleId="ListContinue3">
    <w:name w:val="List Continue 3"/>
    <w:basedOn w:val="List3"/>
    <w:rsid w:val="000F2576"/>
    <w:pPr>
      <w:ind w:left="1021" w:firstLine="0"/>
    </w:pPr>
  </w:style>
  <w:style w:type="paragraph" w:styleId="ListContinue4">
    <w:name w:val="List Continue 4"/>
    <w:basedOn w:val="List4"/>
    <w:rsid w:val="000F2576"/>
    <w:pPr>
      <w:ind w:firstLine="0"/>
    </w:pPr>
  </w:style>
  <w:style w:type="paragraph" w:styleId="ListContinue5">
    <w:name w:val="List Continue 5"/>
    <w:basedOn w:val="List5"/>
    <w:rsid w:val="000F2576"/>
    <w:pPr>
      <w:ind w:firstLine="0"/>
    </w:pPr>
  </w:style>
  <w:style w:type="paragraph" w:styleId="ListNumber3">
    <w:name w:val="List Number 3"/>
    <w:basedOn w:val="List3"/>
    <w:rsid w:val="000F2576"/>
    <w:pPr>
      <w:numPr>
        <w:numId w:val="5"/>
      </w:numPr>
    </w:pPr>
  </w:style>
  <w:style w:type="paragraph" w:styleId="ListNumber4">
    <w:name w:val="List Number 4"/>
    <w:basedOn w:val="List4"/>
    <w:rsid w:val="000F2576"/>
    <w:pPr>
      <w:numPr>
        <w:numId w:val="6"/>
      </w:numPr>
    </w:pPr>
  </w:style>
  <w:style w:type="paragraph" w:styleId="ListNumber5">
    <w:name w:val="List Number 5"/>
    <w:basedOn w:val="List5"/>
    <w:rsid w:val="000F2576"/>
    <w:pPr>
      <w:numPr>
        <w:numId w:val="7"/>
      </w:numPr>
    </w:pPr>
  </w:style>
  <w:style w:type="paragraph" w:styleId="BlockText">
    <w:name w:val="Block Text"/>
    <w:basedOn w:val="Normal"/>
    <w:rsid w:val="000F2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576"/>
    <w:rPr>
      <w:sz w:val="16"/>
      <w:vertAlign w:val="superscript"/>
    </w:rPr>
  </w:style>
  <w:style w:type="character" w:customStyle="1" w:styleId="Symbols">
    <w:name w:val="Symbols"/>
    <w:basedOn w:val="DefaultParagraphFont"/>
    <w:rsid w:val="000F2576"/>
    <w:rPr>
      <w:rFonts w:ascii="Symbol" w:hAnsi="Symbol"/>
    </w:rPr>
  </w:style>
  <w:style w:type="character" w:customStyle="1" w:styleId="MenuOptions">
    <w:name w:val="Menu Options"/>
    <w:basedOn w:val="DefaultParagraphFont"/>
    <w:rsid w:val="000F2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576"/>
    <w:rPr>
      <w:b/>
    </w:rPr>
  </w:style>
  <w:style w:type="character" w:customStyle="1" w:styleId="Underlined">
    <w:name w:val="Underlined"/>
    <w:basedOn w:val="DefaultParagraphFont"/>
    <w:rsid w:val="000F2576"/>
    <w:rPr>
      <w:u w:val="single"/>
    </w:rPr>
  </w:style>
  <w:style w:type="paragraph" w:customStyle="1" w:styleId="TableBodyTextRight">
    <w:name w:val="Table Body Text Right"/>
    <w:basedOn w:val="TableBodyText"/>
    <w:rsid w:val="000F2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576"/>
    <w:rPr>
      <w:sz w:val="18"/>
    </w:rPr>
  </w:style>
  <w:style w:type="paragraph" w:customStyle="1" w:styleId="BodySmallRight">
    <w:name w:val="Body Small Right"/>
    <w:basedOn w:val="BodyTextRight"/>
    <w:rsid w:val="000F2576"/>
    <w:rPr>
      <w:sz w:val="18"/>
      <w:szCs w:val="18"/>
    </w:rPr>
  </w:style>
  <w:style w:type="paragraph" w:customStyle="1" w:styleId="MarginEdition">
    <w:name w:val="Margin Edition"/>
    <w:basedOn w:val="MarginNote"/>
    <w:rsid w:val="000F2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576"/>
    <w:rPr>
      <w:sz w:val="2"/>
      <w:szCs w:val="2"/>
    </w:rPr>
  </w:style>
  <w:style w:type="character" w:customStyle="1" w:styleId="Small">
    <w:name w:val="Small"/>
    <w:basedOn w:val="DefaultParagraphFont"/>
    <w:rsid w:val="000F2576"/>
    <w:rPr>
      <w:sz w:val="16"/>
    </w:rPr>
  </w:style>
  <w:style w:type="paragraph" w:customStyle="1" w:styleId="WideTable">
    <w:name w:val="Wide Table"/>
    <w:basedOn w:val="Normal"/>
    <w:rsid w:val="000F2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576"/>
  </w:style>
  <w:style w:type="paragraph" w:styleId="Quote">
    <w:name w:val="Quote"/>
    <w:basedOn w:val="Heading1"/>
    <w:link w:val="QuoteChar"/>
    <w:qFormat/>
    <w:rsid w:val="000F2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576"/>
    <w:pPr>
      <w:pageBreakBefore/>
    </w:pPr>
  </w:style>
  <w:style w:type="paragraph" w:customStyle="1" w:styleId="Border">
    <w:name w:val="Border"/>
    <w:basedOn w:val="Normal"/>
    <w:qFormat/>
    <w:rsid w:val="000F2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576"/>
    <w:rPr>
      <w:u w:val="single"/>
    </w:rPr>
  </w:style>
  <w:style w:type="character" w:customStyle="1" w:styleId="BoldandItalics">
    <w:name w:val="Bold and Italics"/>
    <w:qFormat/>
    <w:rsid w:val="000F2576"/>
    <w:rPr>
      <w:b/>
      <w:i/>
      <w:u w:val="none"/>
    </w:rPr>
  </w:style>
  <w:style w:type="paragraph" w:styleId="BalloonText">
    <w:name w:val="Balloon Text"/>
    <w:basedOn w:val="Normal"/>
    <w:link w:val="BalloonTextChar"/>
    <w:rsid w:val="000F2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576"/>
    <w:pPr>
      <w:spacing w:before="0" w:after="0"/>
    </w:pPr>
  </w:style>
  <w:style w:type="paragraph" w:customStyle="1" w:styleId="BodyTextBold">
    <w:name w:val="Body Text Bold"/>
    <w:basedOn w:val="BodyText"/>
    <w:qFormat/>
    <w:rsid w:val="000F2576"/>
    <w:rPr>
      <w:b/>
    </w:rPr>
  </w:style>
  <w:style w:type="character" w:styleId="Hyperlink">
    <w:name w:val="Hyperlink"/>
    <w:basedOn w:val="DefaultParagraphFont"/>
    <w:uiPriority w:val="99"/>
    <w:unhideWhenUsed/>
    <w:rsid w:val="00F00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4566</Characters>
  <Application>Microsoft Office Word</Application>
  <DocSecurity>0</DocSecurity>
  <Lines>117</Lines>
  <Paragraphs>94</Paragraphs>
  <ScaleCrop>false</ScaleCrop>
  <Company>Author-it Software Corporation Ltd.</Company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MARA024 Manage vessel stability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2024-11-25T10:50:00Z</dcterms:created>
  <dcterms:modified xsi:type="dcterms:W3CDTF">2024-11-25T10:50:00Z</dcterms:modified>
</cp:coreProperties>
</file>