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CBD" w:rsidP="00312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MARA022 Manage loading, discharging and stowing of cargo</w:t>
      </w:r>
      <w:r>
        <w:fldChar w:fldCharType="end"/>
      </w:r>
    </w:p>
    <w:p w:rsidR="00312CBD" w:rsidP="00312CBD">
      <w:pPr>
        <w:pStyle w:val="Version"/>
        <w:sectPr w:rsidSect="00E71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193E" w:rsidP="00E7193E">
      <w:pPr>
        <w:pStyle w:val="SuperHeading"/>
      </w:pPr>
      <w:r w:rsidRPr="00E7193E">
        <w:t>MARA022 Manage loading, discharging and stowing of cargo</w:t>
      </w:r>
    </w:p>
    <w:p w:rsidR="00000000" w:rsidRPr="00E7193E" w:rsidP="00E7193E">
      <w:pPr>
        <w:pStyle w:val="Heading1"/>
      </w:pPr>
      <w:bookmarkStart w:id="1" w:name="O_1284427"/>
      <w:bookmarkEnd w:id="1"/>
      <w:r w:rsidRPr="00E719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Release 2</w:t>
            </w:r>
            <w:r w:rsidRPr="00E7193E">
              <w:t xml:space="preserve">. This is the second release of this unit of competency in the MAR Maritime Training Package. </w:t>
            </w:r>
          </w:p>
          <w:p w:rsidR="00000000" w:rsidRPr="00E7193E" w:rsidP="00E7193E">
            <w:pPr>
              <w:pStyle w:val="ListBullet"/>
            </w:pPr>
            <w:r w:rsidRPr="00E7193E">
              <w:t>Minor statement changes in unit Application</w:t>
            </w:r>
          </w:p>
          <w:p w:rsidR="00000000" w:rsidP="00E7193E">
            <w:pPr>
              <w:pStyle w:val="ListBullet"/>
              <w:rPr>
                <w:lang w:val="en-NZ"/>
              </w:rPr>
            </w:pPr>
            <w:r w:rsidRPr="00E7193E">
              <w:t>Minor statement change in Knowledge Evidence.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Release 1</w:t>
            </w:r>
            <w:r w:rsidRPr="00E7193E">
              <w:t>. This is th</w:t>
            </w:r>
            <w:r w:rsidRPr="00E7193E">
              <w:t>e first release of this unit of competency in the MAR Maritime Training Package.</w:t>
            </w:r>
          </w:p>
        </w:tc>
      </w:tr>
    </w:tbl>
    <w:p w:rsidR="00000000" w:rsidRPr="00E7193E" w:rsidP="00E7193E">
      <w:pPr>
        <w:pStyle w:val="NoPaddingFontSize1"/>
      </w:pPr>
    </w:p>
    <w:p w:rsidR="00000000" w:rsidRPr="00E7193E" w:rsidP="00E7193E">
      <w:pPr>
        <w:pStyle w:val="AllowPageBreak"/>
      </w:pPr>
    </w:p>
    <w:p w:rsidR="00000000" w:rsidRPr="00E7193E" w:rsidP="00E7193E">
      <w:pPr>
        <w:pStyle w:val="Heading1"/>
      </w:pPr>
      <w:bookmarkStart w:id="2" w:name="O_1284426"/>
      <w:bookmarkEnd w:id="2"/>
      <w:r w:rsidRPr="00E719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This unit involves the skills and knowledge required to manage the loading, discharging and stowage of cargo to prevent damage or deterioratio</w:t>
            </w:r>
            <w:r w:rsidRPr="00E7193E">
              <w:t>n of cargo and to deliver it, as far as is possible, in as good a condition and order as it was when received onboard.</w:t>
            </w:r>
          </w:p>
          <w:p w:rsidR="00000000" w:rsidRPr="00E7193E" w:rsidP="00E7193E">
            <w:pPr>
              <w:pStyle w:val="BodyText"/>
            </w:pPr>
            <w:r w:rsidRPr="00E7193E">
              <w:t>It includes planning the stow, planning load/unload with stevedores, preparing for loading, controlling loading/unloading of cargo, manag</w:t>
            </w:r>
            <w:r w:rsidRPr="00E7193E">
              <w:t>ing ballast management operations and monitoring care of cargo during voyage.</w:t>
            </w:r>
          </w:p>
          <w:p w:rsidR="00000000" w:rsidRPr="00E7193E" w:rsidP="00E7193E">
            <w:pPr>
              <w:pStyle w:val="BodyText"/>
            </w:pPr>
            <w:r w:rsidRPr="00E7193E">
              <w:t>This unit applies to people working in the maritime industry in the capacity of Master on commercial vessels up to 45 metres Near Coastal.</w:t>
            </w:r>
          </w:p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Licensing/Regulatory Information</w:t>
            </w:r>
          </w:p>
          <w:p w:rsidR="00000000" w:rsidRPr="00E7193E" w:rsidP="00E7193E">
            <w:pPr>
              <w:pStyle w:val="BodyText"/>
            </w:pPr>
            <w:r w:rsidRPr="00E7193E">
              <w:t xml:space="preserve">Legislative and regulatory requirements are applicable to this unit. </w:t>
            </w:r>
          </w:p>
          <w:p w:rsidR="00000000" w:rsidRPr="00E7193E" w:rsidP="00E7193E">
            <w:pPr>
              <w:pStyle w:val="BodyText"/>
            </w:pPr>
            <w:r w:rsidRPr="00E7193E">
              <w:t>This unit is one of the requirements to obtain Australian Maritime Safety Authority (AMSA) certification as a Master up to 45 metres Near Coastal as specified in Marine Order 505.</w:t>
            </w:r>
          </w:p>
          <w:p w:rsidR="00000000" w:rsidRPr="00E7193E" w:rsidP="00E7193E">
            <w:pPr>
              <w:pStyle w:val="BodyText"/>
            </w:pPr>
            <w:r w:rsidRPr="00E7193E">
              <w:t>Seafar</w:t>
            </w:r>
            <w:r w:rsidRPr="00E7193E">
              <w:t>ers seeking certification should check with AMSA.</w:t>
            </w:r>
          </w:p>
        </w:tc>
      </w:tr>
    </w:tbl>
    <w:p w:rsidR="00000000" w:rsidRPr="00E7193E" w:rsidP="00E7193E">
      <w:pPr>
        <w:pStyle w:val="NoPaddingFontSize1"/>
      </w:pPr>
    </w:p>
    <w:p w:rsidR="00000000" w:rsidRPr="00E7193E" w:rsidP="00E7193E">
      <w:pPr>
        <w:pStyle w:val="AllowPageBreak"/>
      </w:pPr>
    </w:p>
    <w:p w:rsidR="00000000" w:rsidRPr="00E7193E" w:rsidP="00E7193E">
      <w:pPr>
        <w:pStyle w:val="Heading1"/>
      </w:pPr>
      <w:bookmarkStart w:id="3" w:name="O_1284425"/>
      <w:bookmarkEnd w:id="3"/>
      <w:r w:rsidRPr="00E719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Not applicable.</w:t>
            </w:r>
          </w:p>
        </w:tc>
      </w:tr>
    </w:tbl>
    <w:p w:rsidR="00312CBD" w:rsidP="00E7193E">
      <w:pPr>
        <w:pStyle w:val="NoPaddingFontSize1"/>
      </w:pPr>
    </w:p>
    <w:p w:rsidR="00312CBD" w:rsidP="00E7193E">
      <w:pPr>
        <w:pStyle w:val="NoPaddingFontSize1"/>
      </w:pPr>
    </w:p>
    <w:p w:rsidR="00000000" w:rsidRPr="00E7193E" w:rsidP="00E7193E">
      <w:pPr>
        <w:pStyle w:val="Heading1"/>
      </w:pPr>
      <w:bookmarkStart w:id="4" w:name="O_1284424"/>
      <w:bookmarkEnd w:id="4"/>
      <w:r w:rsidRPr="00E719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A – Handling Cargo and Vessel Stability</w:t>
            </w:r>
          </w:p>
        </w:tc>
      </w:tr>
    </w:tbl>
    <w:p w:rsidR="00312CBD" w:rsidP="00E7193E">
      <w:pPr>
        <w:pStyle w:val="NoPaddingFontSize1"/>
      </w:pPr>
    </w:p>
    <w:p w:rsidR="00312CBD" w:rsidP="00E7193E">
      <w:pPr>
        <w:pStyle w:val="NoPaddingFontSize1"/>
      </w:pPr>
    </w:p>
    <w:p w:rsidR="00000000" w:rsidRPr="00E7193E" w:rsidP="00E7193E">
      <w:pPr>
        <w:pStyle w:val="Heading1"/>
      </w:pPr>
      <w:bookmarkStart w:id="5" w:name="O_1284423"/>
      <w:bookmarkEnd w:id="5"/>
      <w:r w:rsidRPr="00E719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Not applicable.</w:t>
            </w:r>
          </w:p>
        </w:tc>
      </w:tr>
    </w:tbl>
    <w:p w:rsidR="00312CBD" w:rsidP="00E7193E">
      <w:pPr>
        <w:pStyle w:val="NoPaddingFontSize1"/>
      </w:pPr>
    </w:p>
    <w:p w:rsidR="00312CBD" w:rsidP="00E7193E">
      <w:pPr>
        <w:pStyle w:val="NoPaddingFontSize1"/>
      </w:pPr>
    </w:p>
    <w:p w:rsidR="00000000" w:rsidRPr="00E7193E" w:rsidP="00E7193E">
      <w:pPr>
        <w:pStyle w:val="Heading1"/>
      </w:pPr>
      <w:bookmarkStart w:id="6" w:name="O_1284422"/>
      <w:bookmarkEnd w:id="6"/>
      <w:r w:rsidRPr="00E719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PERFORMANCE CRITERIA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Performance criteria describe the performance needed to demonstrate achievement of the element.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Plan the stow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 xml:space="preserve">Loading manual is </w:t>
            </w:r>
            <w:r w:rsidRPr="00E7193E">
              <w:t>interpreted to determine operational loading conditions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Still water shear forces and bending moments in any load or ballast condition are identified and not exceeded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Load is planned to ensure stresses in vessel are minimised by evenly distributing cargo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Load is planned to avoid incompatible cargo stowage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Regulations relating to hazardous materials/dangerous goods are observed, where appropriate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Load is planned for unloading sequence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Vessel cargo carrying capacity is not exceeded for appropriate load line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Vessel trim is calculated to allow for optimum vessel performance at sea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Plan load/unload with stevedores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Available port/ve</w:t>
            </w:r>
            <w:r w:rsidRPr="00E7193E">
              <w:t>ssel cargo handling gear and equipment are determined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Handling capacity of cargo handling gear and equipment are established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Pumping capacity of cargo pumps is verified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Availability and status of human resources are resolved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Cargo manifest is made available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Cargo stowage plan is completed and agreed with stevedores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Stability calculation is made and checked against vessel stability information manual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Notice of readiness to load/unload is provided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Prepare for loading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 xml:space="preserve">Holds are checked to ensure they are clean, dry and free </w:t>
            </w:r>
            <w:r w:rsidRPr="00E7193E">
              <w:t>of odour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Safety arrangements in holds are verified to ensure they are operational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Supplies of dunnage and mats are reviewed to ensure there are sufficient available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Bilges are covered with tarpaulins/wrappers before loading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Checks are made to ensure cargo is correctly identified, inspected and confirmed against documentati</w:t>
            </w:r>
            <w:r w:rsidRPr="00E7193E">
              <w:t>on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Preparations for loading are monitored according to stowage plan and organisational procedures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Control loading/unloading of cargo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 xml:space="preserve">Instructions are given to crew and stevedores involved in cargo loading/unloading according to cargo stowage </w:t>
            </w:r>
            <w:r w:rsidRPr="00E7193E">
              <w:t>plan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Compliance with regulations, procedures and instructions pertaining to type of cargo being handled is managed during loading/unloading operations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Loading/unloading is monitored to ensure loading rate is not exceeded in the case of bulk or liquid cargo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Vessel stability is observed during loading/unloading operations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Loading/unloading operations are checked against stowage plan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Cargo is secured and lashed according to lashing plan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All cargo handling documentation is completed according to organisational procedures and regulatory requirements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Manage ballast management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Ballast discharge requirements of port</w:t>
            </w:r>
            <w:r w:rsidRPr="00E7193E">
              <w:t xml:space="preserve"> authority are complied with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Ballast management activities are monitored according to organisational procedures, ballast water management plan and port authority requirements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 xml:space="preserve">Ballast management problems are identified and appropriate actions </w:t>
            </w:r>
            <w:r w:rsidRPr="00E7193E">
              <w:t>are taken to minimise risk to the environment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6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rPr>
                <w:rStyle w:val="SpecialBold"/>
              </w:rPr>
              <w:t>Monitor care of cargo during voyage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Vessel plan for care of cargo during the voyage is implemented according to organisational and customer requirements, and relevant regulations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Ventilation and humidity control systems are checked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6.3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Actions required to maintain the wellbeing of cargo during the voyage is initiated according to customer requirements and organisational procedures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6.4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t>Compliance with safety and hazard minimis</w:t>
            </w:r>
            <w:r w:rsidRPr="00E7193E">
              <w:t>ation procedures and regulations related to cargo care is managed at all times during the voyage to maintain safety of personnel, cargo and vessel</w:t>
            </w:r>
          </w:p>
        </w:tc>
      </w:tr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93E">
            <w:pPr>
              <w:pStyle w:val="BodyText"/>
              <w:rPr>
                <w:lang w:val="en-NZ"/>
              </w:rPr>
            </w:pPr>
            <w:r w:rsidRPr="00E7193E">
              <w:rPr>
                <w:rStyle w:val="SpecialBold"/>
              </w:rPr>
              <w:t>6.5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Appropriate action is taken in the event of a cargo-related incident or emergency to rectify problem, secure cargo and maintain safety of vessel and personnel</w:t>
            </w:r>
          </w:p>
        </w:tc>
      </w:tr>
    </w:tbl>
    <w:p w:rsidR="00000000" w:rsidRPr="00E7193E" w:rsidP="00E7193E">
      <w:pPr>
        <w:pStyle w:val="NoPaddingFontSize1"/>
      </w:pPr>
    </w:p>
    <w:p w:rsidR="00000000" w:rsidRPr="00E7193E" w:rsidP="00E7193E">
      <w:pPr>
        <w:pStyle w:val="AllowPageBreak"/>
      </w:pPr>
    </w:p>
    <w:p w:rsidR="00000000" w:rsidRPr="00E7193E" w:rsidP="00E7193E">
      <w:pPr>
        <w:pStyle w:val="Heading1"/>
      </w:pPr>
      <w:bookmarkStart w:id="7" w:name="O_1284421"/>
      <w:bookmarkEnd w:id="7"/>
      <w:r w:rsidRPr="00E719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Foundat</w:t>
            </w:r>
            <w:r w:rsidRPr="00E7193E">
              <w:t>ion skills essential to performance are explicit in the performance criteria of this unit of competency.</w:t>
            </w:r>
          </w:p>
        </w:tc>
      </w:tr>
    </w:tbl>
    <w:p w:rsidR="00312CBD" w:rsidP="00E7193E">
      <w:pPr>
        <w:pStyle w:val="NoPaddingFontSize1"/>
      </w:pPr>
    </w:p>
    <w:p w:rsidR="00312CBD" w:rsidP="00E7193E">
      <w:pPr>
        <w:pStyle w:val="NoPaddingFontSize1"/>
      </w:pPr>
    </w:p>
    <w:p w:rsidR="00000000" w:rsidRPr="00E7193E" w:rsidP="00E7193E">
      <w:pPr>
        <w:pStyle w:val="Heading1"/>
      </w:pPr>
      <w:bookmarkStart w:id="8" w:name="O_1284420"/>
      <w:bookmarkEnd w:id="8"/>
      <w:r w:rsidRPr="00E719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Range is restricted to essential operating conditions and any other variables essential to the work environme</w:t>
            </w:r>
            <w:r w:rsidRPr="00E7193E">
              <w:t>nt.</w:t>
            </w:r>
          </w:p>
        </w:tc>
      </w:tr>
    </w:tbl>
    <w:p w:rsidR="00312CBD" w:rsidP="00E7193E">
      <w:pPr>
        <w:pStyle w:val="NoPaddingFontSize1"/>
      </w:pPr>
    </w:p>
    <w:p w:rsidR="00312CBD" w:rsidP="00E7193E">
      <w:pPr>
        <w:pStyle w:val="NoPaddingFontSize1"/>
      </w:pPr>
    </w:p>
    <w:p w:rsidR="00000000" w:rsidRPr="00E7193E" w:rsidP="00E7193E">
      <w:pPr>
        <w:pStyle w:val="Heading1"/>
      </w:pPr>
      <w:bookmarkStart w:id="9" w:name="O_1284419"/>
      <w:bookmarkEnd w:id="9"/>
      <w:r w:rsidRPr="00E719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93E" w:rsidP="00E7193E">
            <w:pPr>
              <w:pStyle w:val="BodyText"/>
            </w:pPr>
            <w:r w:rsidRPr="00E7193E">
              <w:t>This unit replaces and is equivalent to MARA003 Manage loading, discharging and stowing of cargo.</w:t>
            </w:r>
          </w:p>
        </w:tc>
      </w:tr>
    </w:tbl>
    <w:p w:rsidR="00000000" w:rsidRPr="00E7193E" w:rsidP="00E7193E">
      <w:pPr>
        <w:pStyle w:val="NoPaddingFontSize1"/>
      </w:pPr>
    </w:p>
    <w:p w:rsidR="00000000" w:rsidRPr="00E7193E" w:rsidP="00E7193E">
      <w:pPr>
        <w:pStyle w:val="AllowPageBreak"/>
      </w:pPr>
    </w:p>
    <w:p w:rsidR="00000000" w:rsidRPr="00E7193E" w:rsidP="00E7193E">
      <w:pPr>
        <w:pStyle w:val="Heading1"/>
      </w:pPr>
      <w:bookmarkStart w:id="10" w:name="O_1284428"/>
      <w:bookmarkEnd w:id="10"/>
      <w:r w:rsidRPr="00E7193E">
        <w:t>Links</w:t>
      </w:r>
    </w:p>
    <w:p w:rsidR="00000000" w:rsidRPr="00E7193E" w:rsidP="00312CBD">
      <w:pPr>
        <w:pStyle w:val="BodyText"/>
      </w:pPr>
      <w:r w:rsidRPr="00E71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410E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7193E" w:rsidP="00E7193E"/>
    <w:sectPr w:rsidSect="00E719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3E" w:rsidRPr="00312CBD" w:rsidP="00312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BD" w:rsidP="00E71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CBD" w:rsidP="00E71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2CBD" w:rsidP="00E71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93E" w:rsidRPr="00312CBD" w:rsidP="00312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BD" w:rsidRPr="002D2AF8" w:rsidP="00E71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MARA022 Manage loading, discharging and stowing of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12CBD" w:rsidP="00E71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8A2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8C8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93E"/>
  </w:style>
  <w:style w:type="character" w:customStyle="1" w:styleId="Heading1Char">
    <w:name w:val="Heading 1 Char"/>
    <w:basedOn w:val="DefaultParagraphFont"/>
    <w:link w:val="Heading1"/>
    <w:rsid w:val="00E71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9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9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193E"/>
    <w:rPr>
      <w:b/>
      <w:spacing w:val="0"/>
    </w:rPr>
  </w:style>
  <w:style w:type="paragraph" w:customStyle="1" w:styleId="SuperHeading">
    <w:name w:val="SuperHeading"/>
    <w:basedOn w:val="Normal"/>
    <w:rsid w:val="00E71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1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9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9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9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93E"/>
    <w:rPr>
      <w:i/>
    </w:rPr>
  </w:style>
  <w:style w:type="paragraph" w:styleId="Caption">
    <w:name w:val="caption"/>
    <w:basedOn w:val="BodyText"/>
    <w:next w:val="Normal"/>
    <w:qFormat/>
    <w:rsid w:val="00E71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93E"/>
  </w:style>
  <w:style w:type="paragraph" w:styleId="TableofFigures">
    <w:name w:val="table of figures"/>
    <w:basedOn w:val="Normal"/>
    <w:next w:val="Normal"/>
    <w:semiHidden/>
    <w:rsid w:val="00E71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9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93E"/>
    <w:rPr>
      <w:rFonts w:ascii="Wingdings" w:hAnsi="Wingdings"/>
    </w:rPr>
  </w:style>
  <w:style w:type="paragraph" w:customStyle="1" w:styleId="TableHeading">
    <w:name w:val="Table Heading"/>
    <w:basedOn w:val="HeadingBase"/>
    <w:rsid w:val="00E71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93E"/>
    <w:rPr>
      <w:color w:val="0033CC"/>
      <w:u w:val="none"/>
    </w:rPr>
  </w:style>
  <w:style w:type="paragraph" w:customStyle="1" w:styleId="BodyTextRight">
    <w:name w:val="Body Text Right"/>
    <w:basedOn w:val="BodyText"/>
    <w:rsid w:val="00E71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9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93E"/>
    <w:rPr>
      <w:sz w:val="32"/>
    </w:rPr>
  </w:style>
  <w:style w:type="paragraph" w:customStyle="1" w:styleId="HeadingProcedure">
    <w:name w:val="Heading Procedure"/>
    <w:basedOn w:val="HeadingBase"/>
    <w:next w:val="Normal"/>
    <w:rsid w:val="00E71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93E"/>
    <w:pPr>
      <w:spacing w:before="60" w:after="60"/>
    </w:pPr>
  </w:style>
  <w:style w:type="paragraph" w:styleId="ListContinue">
    <w:name w:val="List Continue"/>
    <w:basedOn w:val="List"/>
    <w:rsid w:val="00E7193E"/>
    <w:pPr>
      <w:ind w:firstLine="0"/>
    </w:pPr>
  </w:style>
  <w:style w:type="paragraph" w:customStyle="1" w:styleId="ListNote">
    <w:name w:val="List Note"/>
    <w:basedOn w:val="List"/>
    <w:rsid w:val="00E71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93E"/>
    <w:rPr>
      <w:rFonts w:ascii="Courier New" w:hAnsi="Courier New"/>
    </w:rPr>
  </w:style>
  <w:style w:type="paragraph" w:customStyle="1" w:styleId="NoteBullet">
    <w:name w:val="Note Bullet"/>
    <w:basedOn w:val="Note"/>
    <w:rsid w:val="00E71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9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93E"/>
    <w:rPr>
      <w:b/>
      <w:smallCaps/>
    </w:rPr>
  </w:style>
  <w:style w:type="paragraph" w:customStyle="1" w:styleId="TableListNumber">
    <w:name w:val="Table List Number"/>
    <w:basedOn w:val="ListNumber"/>
    <w:rsid w:val="00E71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93E"/>
    <w:pPr>
      <w:numPr>
        <w:numId w:val="8"/>
      </w:numPr>
    </w:pPr>
  </w:style>
  <w:style w:type="paragraph" w:customStyle="1" w:styleId="ListAlpha2">
    <w:name w:val="List Alpha 2"/>
    <w:basedOn w:val="List2"/>
    <w:rsid w:val="00E7193E"/>
    <w:pPr>
      <w:numPr>
        <w:numId w:val="7"/>
      </w:numPr>
    </w:pPr>
  </w:style>
  <w:style w:type="paragraph" w:styleId="List2">
    <w:name w:val="List 2"/>
    <w:basedOn w:val="BodyText"/>
    <w:rsid w:val="00E71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9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9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93E"/>
    <w:pPr>
      <w:numPr>
        <w:numId w:val="3"/>
      </w:numPr>
    </w:pPr>
  </w:style>
  <w:style w:type="paragraph" w:styleId="ListContinue2">
    <w:name w:val="List Continue 2"/>
    <w:basedOn w:val="List2"/>
    <w:rsid w:val="00E7193E"/>
    <w:pPr>
      <w:ind w:firstLine="0"/>
    </w:pPr>
  </w:style>
  <w:style w:type="paragraph" w:styleId="ListContinue3">
    <w:name w:val="List Continue 3"/>
    <w:basedOn w:val="List3"/>
    <w:rsid w:val="00E7193E"/>
    <w:pPr>
      <w:ind w:left="1021" w:firstLine="0"/>
    </w:pPr>
  </w:style>
  <w:style w:type="paragraph" w:styleId="ListContinue4">
    <w:name w:val="List Continue 4"/>
    <w:basedOn w:val="List4"/>
    <w:rsid w:val="00E7193E"/>
    <w:pPr>
      <w:ind w:firstLine="0"/>
    </w:pPr>
  </w:style>
  <w:style w:type="paragraph" w:styleId="ListContinue5">
    <w:name w:val="List Continue 5"/>
    <w:basedOn w:val="List5"/>
    <w:rsid w:val="00E7193E"/>
    <w:pPr>
      <w:ind w:firstLine="0"/>
    </w:pPr>
  </w:style>
  <w:style w:type="paragraph" w:styleId="ListNumber3">
    <w:name w:val="List Number 3"/>
    <w:basedOn w:val="List3"/>
    <w:rsid w:val="00E7193E"/>
    <w:pPr>
      <w:numPr>
        <w:numId w:val="4"/>
      </w:numPr>
    </w:pPr>
  </w:style>
  <w:style w:type="paragraph" w:styleId="ListNumber4">
    <w:name w:val="List Number 4"/>
    <w:basedOn w:val="List4"/>
    <w:rsid w:val="00E7193E"/>
    <w:pPr>
      <w:numPr>
        <w:numId w:val="5"/>
      </w:numPr>
    </w:pPr>
  </w:style>
  <w:style w:type="paragraph" w:styleId="ListNumber5">
    <w:name w:val="List Number 5"/>
    <w:basedOn w:val="List5"/>
    <w:rsid w:val="00E7193E"/>
    <w:pPr>
      <w:numPr>
        <w:numId w:val="6"/>
      </w:numPr>
    </w:pPr>
  </w:style>
  <w:style w:type="paragraph" w:styleId="BlockText">
    <w:name w:val="Block Text"/>
    <w:basedOn w:val="Normal"/>
    <w:rsid w:val="00E71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93E"/>
    <w:rPr>
      <w:sz w:val="16"/>
      <w:vertAlign w:val="superscript"/>
    </w:rPr>
  </w:style>
  <w:style w:type="character" w:customStyle="1" w:styleId="Symbols">
    <w:name w:val="Symbols"/>
    <w:basedOn w:val="DefaultParagraphFont"/>
    <w:rsid w:val="00E7193E"/>
    <w:rPr>
      <w:rFonts w:ascii="Symbol" w:hAnsi="Symbol"/>
    </w:rPr>
  </w:style>
  <w:style w:type="character" w:customStyle="1" w:styleId="MenuOptions">
    <w:name w:val="Menu Options"/>
    <w:basedOn w:val="DefaultParagraphFont"/>
    <w:rsid w:val="00E71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93E"/>
    <w:rPr>
      <w:b/>
    </w:rPr>
  </w:style>
  <w:style w:type="character" w:customStyle="1" w:styleId="Underlined">
    <w:name w:val="Underlined"/>
    <w:basedOn w:val="DefaultParagraphFont"/>
    <w:rsid w:val="00E7193E"/>
    <w:rPr>
      <w:u w:val="single"/>
    </w:rPr>
  </w:style>
  <w:style w:type="paragraph" w:customStyle="1" w:styleId="TableBodyTextRight">
    <w:name w:val="Table Body Text Right"/>
    <w:basedOn w:val="TableBodyText"/>
    <w:rsid w:val="00E71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93E"/>
    <w:rPr>
      <w:sz w:val="18"/>
    </w:rPr>
  </w:style>
  <w:style w:type="paragraph" w:customStyle="1" w:styleId="BodySmallRight">
    <w:name w:val="Body Small Right"/>
    <w:basedOn w:val="BodyTextRight"/>
    <w:rsid w:val="00E7193E"/>
    <w:rPr>
      <w:sz w:val="18"/>
      <w:szCs w:val="18"/>
    </w:rPr>
  </w:style>
  <w:style w:type="paragraph" w:customStyle="1" w:styleId="MarginEdition">
    <w:name w:val="Margin Edition"/>
    <w:basedOn w:val="MarginNote"/>
    <w:rsid w:val="00E71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93E"/>
    <w:rPr>
      <w:sz w:val="2"/>
      <w:szCs w:val="2"/>
    </w:rPr>
  </w:style>
  <w:style w:type="character" w:customStyle="1" w:styleId="Small">
    <w:name w:val="Small"/>
    <w:basedOn w:val="DefaultParagraphFont"/>
    <w:rsid w:val="00E7193E"/>
    <w:rPr>
      <w:sz w:val="16"/>
    </w:rPr>
  </w:style>
  <w:style w:type="paragraph" w:customStyle="1" w:styleId="WideTable">
    <w:name w:val="Wide Table"/>
    <w:basedOn w:val="Normal"/>
    <w:rsid w:val="00E71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93E"/>
  </w:style>
  <w:style w:type="paragraph" w:styleId="Quote">
    <w:name w:val="Quote"/>
    <w:basedOn w:val="Heading1"/>
    <w:link w:val="QuoteChar"/>
    <w:qFormat/>
    <w:rsid w:val="00E71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93E"/>
    <w:pPr>
      <w:pageBreakBefore/>
    </w:pPr>
  </w:style>
  <w:style w:type="paragraph" w:customStyle="1" w:styleId="Border">
    <w:name w:val="Border"/>
    <w:basedOn w:val="Normal"/>
    <w:qFormat/>
    <w:rsid w:val="00E71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93E"/>
    <w:rPr>
      <w:u w:val="single"/>
    </w:rPr>
  </w:style>
  <w:style w:type="character" w:customStyle="1" w:styleId="BoldandItalics">
    <w:name w:val="Bold and Italics"/>
    <w:qFormat/>
    <w:rsid w:val="00E7193E"/>
    <w:rPr>
      <w:b/>
      <w:i/>
      <w:u w:val="none"/>
    </w:rPr>
  </w:style>
  <w:style w:type="paragraph" w:styleId="BalloonText">
    <w:name w:val="Balloon Text"/>
    <w:basedOn w:val="Normal"/>
    <w:link w:val="BalloonTextChar"/>
    <w:rsid w:val="00E71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93E"/>
    <w:pPr>
      <w:spacing w:before="0" w:after="0"/>
    </w:pPr>
  </w:style>
  <w:style w:type="paragraph" w:customStyle="1" w:styleId="BodyTextBold">
    <w:name w:val="Body Text Bold"/>
    <w:basedOn w:val="BodyText"/>
    <w:qFormat/>
    <w:rsid w:val="00E7193E"/>
    <w:rPr>
      <w:b/>
    </w:rPr>
  </w:style>
  <w:style w:type="character" w:styleId="Hyperlink">
    <w:name w:val="Hyperlink"/>
    <w:basedOn w:val="DefaultParagraphFont"/>
    <w:uiPriority w:val="99"/>
    <w:unhideWhenUsed/>
    <w:rsid w:val="00312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5241</Characters>
  <Application>Microsoft Office Word</Application>
  <DocSecurity>0</DocSecurity>
  <Lines>275</Lines>
  <Paragraphs>145</Paragraphs>
  <ScaleCrop>false</ScaleCrop>
  <Company>Author-it Software Corporation Ltd.</Company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MARA022 Manage loading, discharging and stowing of cargo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2024-11-25T10:50:00Z</dcterms:created>
  <dcterms:modified xsi:type="dcterms:W3CDTF">2024-11-25T10:50:00Z</dcterms:modified>
</cp:coreProperties>
</file>