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5A25" w:rsidP="00145A25">
      <w:pPr>
        <w:pStyle w:val="Title"/>
      </w:pPr>
      <w:r>
        <w:fldChar w:fldCharType="begin"/>
      </w:r>
      <w:r>
        <w:instrText xml:space="preserve"> TITLE   \* MERGEFORMAT </w:instrText>
      </w:r>
      <w:r>
        <w:fldChar w:fldCharType="separate"/>
      </w:r>
      <w:r>
        <w:t>MARA017 Maintain seaworthiness of the ship (ship stability)</w:t>
      </w:r>
      <w:r>
        <w:fldChar w:fldCharType="end"/>
      </w:r>
    </w:p>
    <w:p w:rsidR="00145A25" w:rsidP="00145A25">
      <w:pPr>
        <w:pStyle w:val="Version"/>
        <w:sectPr w:rsidSect="00DD557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D5577" w:rsidP="00DD5577">
      <w:pPr>
        <w:pStyle w:val="SuperHeading"/>
      </w:pPr>
      <w:r w:rsidRPr="00DD5577">
        <w:t>MARA017 Maintain seaworthiness of the ship (ship stability)</w:t>
      </w:r>
    </w:p>
    <w:p w:rsidR="00000000" w:rsidRPr="00DD5577" w:rsidP="00DD5577">
      <w:pPr>
        <w:pStyle w:val="Heading1"/>
      </w:pPr>
      <w:bookmarkStart w:id="1" w:name="O_1284393"/>
      <w:bookmarkEnd w:id="1"/>
      <w:r w:rsidRPr="00DD5577">
        <w:t>Modification History</w:t>
      </w:r>
    </w:p>
    <w:tbl>
      <w:tblPr>
        <w:tblW w:w="9497" w:type="dxa"/>
        <w:tblLayout w:type="fixed"/>
        <w:tblCellMar>
          <w:left w:w="62" w:type="dxa"/>
          <w:right w:w="62" w:type="dxa"/>
        </w:tblCellMar>
        <w:tblLook w:val="0000"/>
      </w:tblPr>
      <w:tblGrid>
        <w:gridCol w:w="9497"/>
      </w:tblGrid>
      <w:tr w:rsidTr="00DD55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5577" w:rsidP="00DD5577">
            <w:pPr>
              <w:pStyle w:val="BodyText"/>
            </w:pPr>
            <w:r w:rsidRPr="00DD5577">
              <w:rPr>
                <w:rStyle w:val="SpecialBold"/>
              </w:rPr>
              <w:t>Release 2</w:t>
            </w:r>
            <w:r w:rsidRPr="00DD5577">
              <w:t>. This is the second release of this unit of competency in the MAR Maritime Training Package.</w:t>
            </w:r>
          </w:p>
          <w:p w:rsidR="00000000" w:rsidP="00DD5577">
            <w:pPr>
              <w:pStyle w:val="ListBullet"/>
              <w:rPr>
                <w:lang w:val="en-NZ"/>
              </w:rPr>
            </w:pPr>
            <w:r w:rsidRPr="00DD5577">
              <w:t>Minor statement changes in unit Application.</w:t>
            </w:r>
          </w:p>
        </w:tc>
      </w:tr>
      <w:tr w:rsidTr="00DD55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5577" w:rsidP="00DD5577">
            <w:pPr>
              <w:pStyle w:val="BodyText"/>
            </w:pPr>
            <w:r w:rsidRPr="00DD5577">
              <w:rPr>
                <w:rStyle w:val="SpecialBold"/>
              </w:rPr>
              <w:t>Release 1</w:t>
            </w:r>
            <w:r w:rsidRPr="00DD5577">
              <w:t xml:space="preserve">. This is the first release of this unit of competency in </w:t>
            </w:r>
            <w:r w:rsidRPr="00DD5577">
              <w:t>the MAR Maritime Training Package.</w:t>
            </w:r>
          </w:p>
        </w:tc>
      </w:tr>
    </w:tbl>
    <w:p w:rsidR="00000000" w:rsidRPr="00DD5577" w:rsidP="00DD5577">
      <w:pPr>
        <w:pStyle w:val="NoPaddingFontSize1"/>
      </w:pPr>
    </w:p>
    <w:p w:rsidR="00000000" w:rsidRPr="00DD5577" w:rsidP="00DD5577">
      <w:pPr>
        <w:pStyle w:val="AllowPageBreak"/>
      </w:pPr>
    </w:p>
    <w:p w:rsidR="00000000" w:rsidRPr="00DD5577" w:rsidP="00DD5577">
      <w:pPr>
        <w:pStyle w:val="Heading1"/>
      </w:pPr>
      <w:bookmarkStart w:id="2" w:name="O_1284392"/>
      <w:bookmarkEnd w:id="2"/>
      <w:r w:rsidRPr="00DD5577">
        <w:t>Application</w:t>
      </w:r>
    </w:p>
    <w:tbl>
      <w:tblPr>
        <w:tblW w:w="9497" w:type="dxa"/>
        <w:tblLayout w:type="fixed"/>
        <w:tblCellMar>
          <w:left w:w="62" w:type="dxa"/>
          <w:right w:w="62" w:type="dxa"/>
        </w:tblCellMar>
        <w:tblLook w:val="0000"/>
      </w:tblPr>
      <w:tblGrid>
        <w:gridCol w:w="9497"/>
      </w:tblGrid>
      <w:tr w:rsidTr="00DD55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5577" w:rsidP="00DD5577">
            <w:pPr>
              <w:pStyle w:val="BodyText"/>
            </w:pPr>
            <w:r w:rsidRPr="00DD5577">
              <w:t>This unit involves the skills and knowledge required to determine the stability and trim of a ship to ensure that stability conditions of ship comply with intact stability criteria under a</w:t>
            </w:r>
            <w:r w:rsidRPr="00DD5577">
              <w:t>ll conditions of loading, discharge and transfer of cargo.</w:t>
            </w:r>
          </w:p>
          <w:p w:rsidR="00000000" w:rsidRPr="00DD5577" w:rsidP="00DD5577">
            <w:pPr>
              <w:pStyle w:val="BodyText"/>
            </w:pPr>
            <w:r w:rsidRPr="00DD5577">
              <w:t>This unit applies to people working in the maritime industry in the capacity of:</w:t>
            </w:r>
          </w:p>
          <w:p w:rsidR="00000000" w:rsidRPr="00DD5577" w:rsidP="00DD5577">
            <w:pPr>
              <w:pStyle w:val="ListBullet"/>
            </w:pPr>
            <w:r w:rsidRPr="00DD5577">
              <w:t>Master of a commercial vessel up to 100 metres in length Near Coastal</w:t>
            </w:r>
          </w:p>
          <w:p w:rsidR="00000000" w:rsidRPr="00DD5577" w:rsidP="00DD5577">
            <w:pPr>
              <w:pStyle w:val="ListBullet"/>
            </w:pPr>
            <w:r w:rsidRPr="00DD5577">
              <w:t>Master of a commercial vessel up to 500 gross</w:t>
            </w:r>
            <w:r w:rsidRPr="00DD5577">
              <w:t xml:space="preserve"> tonnage (GT)</w:t>
            </w:r>
          </w:p>
          <w:p w:rsidR="00000000" w:rsidRPr="00DD5577" w:rsidP="00DD5577">
            <w:pPr>
              <w:pStyle w:val="ListBullet"/>
            </w:pPr>
            <w:r w:rsidRPr="00DD5577">
              <w:t>Watchkeeper Deck.</w:t>
            </w:r>
          </w:p>
          <w:p w:rsidR="00000000" w:rsidRPr="00DD5577" w:rsidP="00DD5577">
            <w:pPr>
              <w:pStyle w:val="BodyText"/>
            </w:pPr>
          </w:p>
          <w:p w:rsidR="00000000" w:rsidRPr="00DD5577" w:rsidP="00DD5577">
            <w:pPr>
              <w:pStyle w:val="BodyText"/>
            </w:pPr>
            <w:r w:rsidRPr="00DD5577">
              <w:rPr>
                <w:rStyle w:val="SpecialBold"/>
              </w:rPr>
              <w:t>Licensing/Regulatory Information</w:t>
            </w:r>
          </w:p>
          <w:p w:rsidR="00000000" w:rsidRPr="00DD5577" w:rsidP="00DD5577">
            <w:pPr>
              <w:pStyle w:val="BodyText"/>
            </w:pPr>
            <w:r w:rsidRPr="00DD5577">
              <w:t>Legislative and regulatory requirements are applicable to this unit.</w:t>
            </w:r>
          </w:p>
          <w:p w:rsidR="00000000" w:rsidRPr="00DD5577" w:rsidP="00DD5577">
            <w:pPr>
              <w:pStyle w:val="ListBullet"/>
            </w:pPr>
            <w:r w:rsidRPr="00DD5577">
              <w:t xml:space="preserve">Regulatory requirements include STCW International Maritime Organization (IMO) model course competencies </w:t>
            </w:r>
            <w:r w:rsidRPr="00DD5577">
              <w:t>and areas of knowledge, understanding and proficiency, together with the estimated total hours required for lectures and practical exercises. Teaching staff should note that timings are suggestions only and should be adapted to suit individual groups of tr</w:t>
            </w:r>
            <w:r w:rsidRPr="00DD5577">
              <w:t>ainees depending on their experience, ability, equipment and staff available for training.</w:t>
            </w:r>
          </w:p>
          <w:p w:rsidR="00000000" w:rsidRPr="00DD5577" w:rsidP="00DD5577">
            <w:pPr>
              <w:pStyle w:val="BodyText"/>
            </w:pPr>
            <w:r w:rsidRPr="00DD5577">
              <w:rPr>
                <w:rStyle w:val="SpecialBold"/>
              </w:rPr>
              <w:t>Near Coastal Qualifications:</w:t>
            </w:r>
          </w:p>
          <w:p w:rsidR="00000000" w:rsidRPr="00DD5577" w:rsidP="00DD5577">
            <w:pPr>
              <w:pStyle w:val="ListBullet"/>
            </w:pPr>
            <w:r w:rsidRPr="00DD5577">
              <w:t>This unit is one of the requirements to obtain Australian Maritime Safety Authority (AMSA) certification as a Master of a commercial ve</w:t>
            </w:r>
            <w:r w:rsidRPr="00DD5577">
              <w:t>ssel up to 100 metres Near Coastal as specified in Marine Order 505.</w:t>
            </w:r>
          </w:p>
          <w:p w:rsidR="00000000" w:rsidRPr="00DD5577" w:rsidP="00DD5577">
            <w:pPr>
              <w:pStyle w:val="BodyText"/>
            </w:pPr>
            <w:r w:rsidRPr="00DD5577">
              <w:rPr>
                <w:rStyle w:val="SpecialBold"/>
              </w:rPr>
              <w:t>Blue Waters Qualifications:</w:t>
            </w:r>
          </w:p>
          <w:p w:rsidR="00000000" w:rsidRPr="00DD5577" w:rsidP="00DD5577">
            <w:pPr>
              <w:pStyle w:val="ListBullet"/>
            </w:pPr>
            <w:r w:rsidRPr="00DD5577">
              <w:t>This unit is one of the requirements to obtain AMSA certification as a Master of a commercial vessel up to 500 gross tonnage (GT) or as a Watchkeeper Deck and</w:t>
            </w:r>
            <w:r w:rsidRPr="00DD5577">
              <w:t xml:space="preserve"> to meet regulatory requirements this unit must be delivered consistent with Marine Orders and with the relevant sections of the International Convention on Standards of Training, Certification and Watchkeeping for Seafarers (STCW).</w:t>
            </w:r>
          </w:p>
          <w:p w:rsidR="00000000" w:rsidRPr="00DD5577" w:rsidP="00DD5577">
            <w:pPr>
              <w:pStyle w:val="BodyText"/>
            </w:pPr>
            <w:r w:rsidRPr="00DD5577">
              <w:t>Training providers seek</w:t>
            </w:r>
            <w:r w:rsidRPr="00DD5577">
              <w:t>ing to offer this unit of competency must gain AMSA approval before the unit is offered.</w:t>
            </w:r>
          </w:p>
          <w:p w:rsidR="00000000" w:rsidRPr="00DD5577" w:rsidP="00DD5577">
            <w:pPr>
              <w:pStyle w:val="BodyText"/>
            </w:pPr>
            <w:r w:rsidRPr="00DD5577">
              <w:t>Seafarers seeking certification should check with AMSA.</w:t>
            </w:r>
          </w:p>
        </w:tc>
      </w:tr>
    </w:tbl>
    <w:p w:rsidR="00000000" w:rsidRPr="00DD5577" w:rsidP="00DD5577">
      <w:pPr>
        <w:pStyle w:val="NoPaddingFontSize1"/>
      </w:pPr>
    </w:p>
    <w:p w:rsidR="00000000" w:rsidRPr="00DD5577" w:rsidP="00DD5577">
      <w:pPr>
        <w:pStyle w:val="AllowPageBreak"/>
      </w:pPr>
    </w:p>
    <w:p w:rsidR="00000000" w:rsidRPr="00DD5577" w:rsidP="00DD5577">
      <w:pPr>
        <w:pStyle w:val="Heading1"/>
      </w:pPr>
      <w:bookmarkStart w:id="3" w:name="O_1284391"/>
      <w:bookmarkEnd w:id="3"/>
      <w:r w:rsidRPr="00DD5577">
        <w:t>Pre-requisite Unit</w:t>
      </w:r>
    </w:p>
    <w:tbl>
      <w:tblPr>
        <w:tblW w:w="9497" w:type="dxa"/>
        <w:tblLayout w:type="fixed"/>
        <w:tblCellMar>
          <w:left w:w="62" w:type="dxa"/>
          <w:right w:w="62" w:type="dxa"/>
        </w:tblCellMar>
        <w:tblLook w:val="0000"/>
      </w:tblPr>
      <w:tblGrid>
        <w:gridCol w:w="9497"/>
      </w:tblGrid>
      <w:tr w:rsidTr="00DD55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5577" w:rsidP="00DD5577">
            <w:pPr>
              <w:pStyle w:val="BodyText"/>
            </w:pPr>
            <w:r w:rsidRPr="00DD5577">
              <w:t>Not applicable.</w:t>
            </w:r>
          </w:p>
        </w:tc>
      </w:tr>
    </w:tbl>
    <w:p w:rsidR="00145A25" w:rsidP="00DD5577">
      <w:pPr>
        <w:pStyle w:val="NoPaddingFontSize1"/>
      </w:pPr>
    </w:p>
    <w:p w:rsidR="00145A25" w:rsidP="00DD5577">
      <w:pPr>
        <w:pStyle w:val="NoPaddingFontSize1"/>
      </w:pPr>
    </w:p>
    <w:p w:rsidR="00000000" w:rsidRPr="00DD5577" w:rsidP="00DD5577">
      <w:pPr>
        <w:pStyle w:val="Heading1"/>
      </w:pPr>
      <w:bookmarkStart w:id="4" w:name="O_1284390"/>
      <w:bookmarkEnd w:id="4"/>
      <w:r w:rsidRPr="00DD5577">
        <w:t>Competency Field</w:t>
      </w:r>
    </w:p>
    <w:tbl>
      <w:tblPr>
        <w:tblW w:w="9497" w:type="dxa"/>
        <w:tblLayout w:type="fixed"/>
        <w:tblCellMar>
          <w:left w:w="62" w:type="dxa"/>
          <w:right w:w="62" w:type="dxa"/>
        </w:tblCellMar>
        <w:tblLook w:val="0000"/>
      </w:tblPr>
      <w:tblGrid>
        <w:gridCol w:w="9497"/>
      </w:tblGrid>
      <w:tr w:rsidTr="00DD55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5577" w:rsidP="00DD5577">
            <w:pPr>
              <w:pStyle w:val="BodyText"/>
            </w:pPr>
            <w:r w:rsidRPr="00DD5577">
              <w:t>A –</w:t>
            </w:r>
            <w:r w:rsidRPr="00DD5577">
              <w:t xml:space="preserve"> Handling Cargo and Vessel Stability</w:t>
            </w:r>
          </w:p>
        </w:tc>
      </w:tr>
    </w:tbl>
    <w:p w:rsidR="00145A25" w:rsidP="00DD5577">
      <w:pPr>
        <w:pStyle w:val="NoPaddingFontSize1"/>
      </w:pPr>
    </w:p>
    <w:p w:rsidR="00145A25" w:rsidP="00DD5577">
      <w:pPr>
        <w:pStyle w:val="NoPaddingFontSize1"/>
      </w:pPr>
    </w:p>
    <w:p w:rsidR="00000000" w:rsidRPr="00DD5577" w:rsidP="00DD5577">
      <w:pPr>
        <w:pStyle w:val="Heading1"/>
      </w:pPr>
      <w:bookmarkStart w:id="5" w:name="O_1284389"/>
      <w:bookmarkEnd w:id="5"/>
      <w:r w:rsidRPr="00DD5577">
        <w:t>Unit Sector</w:t>
      </w:r>
    </w:p>
    <w:tbl>
      <w:tblPr>
        <w:tblW w:w="9497" w:type="dxa"/>
        <w:tblLayout w:type="fixed"/>
        <w:tblCellMar>
          <w:left w:w="62" w:type="dxa"/>
          <w:right w:w="62" w:type="dxa"/>
        </w:tblCellMar>
        <w:tblLook w:val="0000"/>
      </w:tblPr>
      <w:tblGrid>
        <w:gridCol w:w="9497"/>
      </w:tblGrid>
      <w:tr w:rsidTr="00DD55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5577" w:rsidP="00DD5577">
            <w:pPr>
              <w:pStyle w:val="BodyText"/>
            </w:pPr>
            <w:r w:rsidRPr="00DD5577">
              <w:t>Not applicable.</w:t>
            </w:r>
          </w:p>
        </w:tc>
      </w:tr>
    </w:tbl>
    <w:p w:rsidR="00145A25" w:rsidP="00DD5577">
      <w:pPr>
        <w:pStyle w:val="NoPaddingFontSize1"/>
      </w:pPr>
    </w:p>
    <w:p w:rsidR="00145A25" w:rsidP="00DD5577">
      <w:pPr>
        <w:pStyle w:val="NoPaddingFontSize1"/>
      </w:pPr>
    </w:p>
    <w:p w:rsidR="00000000" w:rsidRPr="00DD5577" w:rsidP="00DD5577">
      <w:pPr>
        <w:pStyle w:val="Heading1"/>
      </w:pPr>
      <w:bookmarkStart w:id="6" w:name="O_1284388"/>
      <w:bookmarkEnd w:id="6"/>
      <w:r w:rsidRPr="00DD5577">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DD5577">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DD5577" w:rsidP="00DD5577">
            <w:pPr>
              <w:pStyle w:val="BodyText"/>
            </w:pPr>
            <w:r w:rsidRPr="00DD5577">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DD5577">
            <w:pPr>
              <w:pStyle w:val="BodyText"/>
              <w:rPr>
                <w:lang w:val="en-NZ"/>
              </w:rPr>
            </w:pPr>
            <w:r w:rsidRPr="00DD5577">
              <w:rPr>
                <w:rStyle w:val="SpecialBold"/>
              </w:rPr>
              <w:t>PERFORMANCE CRITERIA</w:t>
            </w:r>
          </w:p>
        </w:tc>
      </w:tr>
      <w:tr w:rsidTr="00DD5577">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DD5577">
            <w:pPr>
              <w:pStyle w:val="BodyText"/>
              <w:rPr>
                <w:lang w:val="en-NZ"/>
              </w:rPr>
            </w:pPr>
            <w:r w:rsidRPr="00DD5577">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DD5577">
            <w:pPr>
              <w:pStyle w:val="BodyText"/>
              <w:rPr>
                <w:lang w:val="en-NZ"/>
              </w:rPr>
            </w:pPr>
            <w:r w:rsidRPr="00DD5577">
              <w:t>Performance criteria describe the performance needed to demonstrate achievement of the element.</w:t>
            </w:r>
          </w:p>
        </w:tc>
      </w:tr>
      <w:tr w:rsidTr="00DD557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DD5577" w:rsidP="00DD5577">
            <w:pPr>
              <w:pStyle w:val="BodyText"/>
            </w:pPr>
            <w:r w:rsidRPr="00DD5577">
              <w:rPr>
                <w:rStyle w:val="SpecialBold"/>
              </w:rPr>
              <w:t xml:space="preserve">1 </w:t>
            </w:r>
          </w:p>
        </w:tc>
        <w:tc>
          <w:tcPr>
            <w:tcW w:w="2762" w:type="dxa"/>
            <w:tcBorders>
              <w:top w:val="nil"/>
              <w:left w:val="nil"/>
              <w:bottom w:val="nil"/>
              <w:right w:val="nil"/>
            </w:tcBorders>
            <w:tcMar>
              <w:top w:w="0" w:type="dxa"/>
              <w:left w:w="62" w:type="dxa"/>
              <w:bottom w:w="0" w:type="dxa"/>
              <w:right w:w="62" w:type="dxa"/>
            </w:tcMar>
          </w:tcPr>
          <w:p w:rsidR="00000000" w:rsidRPr="00DD5577" w:rsidP="00DD5577">
            <w:pPr>
              <w:pStyle w:val="BodyText"/>
            </w:pPr>
            <w:r w:rsidRPr="00DD5577">
              <w:rPr>
                <w:rStyle w:val="SpecialBold"/>
              </w:rPr>
              <w:t>Calculate stability</w:t>
            </w:r>
          </w:p>
        </w:tc>
        <w:tc>
          <w:tcPr>
            <w:tcW w:w="702" w:type="dxa"/>
            <w:tcBorders>
              <w:top w:val="nil"/>
              <w:left w:val="nil"/>
              <w:bottom w:val="nil"/>
              <w:right w:val="nil"/>
            </w:tcBorders>
            <w:tcMar>
              <w:top w:w="0" w:type="dxa"/>
              <w:left w:w="62" w:type="dxa"/>
              <w:bottom w:w="0" w:type="dxa"/>
              <w:right w:w="62" w:type="dxa"/>
            </w:tcMar>
          </w:tcPr>
          <w:p w:rsidR="00000000" w:rsidP="00DD5577">
            <w:pPr>
              <w:pStyle w:val="BodyText"/>
              <w:rPr>
                <w:lang w:val="en-NZ"/>
              </w:rPr>
            </w:pPr>
            <w:r w:rsidRPr="00DD5577">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DD5577">
            <w:pPr>
              <w:pStyle w:val="BodyText"/>
              <w:rPr>
                <w:lang w:val="en-NZ"/>
              </w:rPr>
            </w:pPr>
            <w:r w:rsidRPr="00DD5577">
              <w:t>Ship stability data book is accessed and checked for endorsement</w:t>
            </w:r>
          </w:p>
        </w:tc>
      </w:tr>
      <w:tr w:rsidTr="00DD557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D557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D5577">
            <w:pPr>
              <w:pStyle w:val="BodyText"/>
              <w:rPr>
                <w:lang w:val="en-NZ"/>
              </w:rPr>
            </w:pPr>
            <w:r w:rsidRPr="00DD5577">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DD5577">
            <w:pPr>
              <w:pStyle w:val="BodyText"/>
              <w:rPr>
                <w:lang w:val="en-NZ"/>
              </w:rPr>
            </w:pPr>
            <w:r w:rsidRPr="00DD5577">
              <w:t>Sample worked data is interpreted to determine ship safety parameters</w:t>
            </w:r>
          </w:p>
        </w:tc>
      </w:tr>
      <w:tr w:rsidTr="00DD557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D557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D5577">
            <w:pPr>
              <w:pStyle w:val="BodyText"/>
              <w:rPr>
                <w:lang w:val="en-NZ"/>
              </w:rPr>
            </w:pPr>
            <w:r w:rsidRPr="00DD5577">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DD5577">
            <w:pPr>
              <w:pStyle w:val="BodyText"/>
              <w:rPr>
                <w:lang w:val="en-NZ"/>
              </w:rPr>
            </w:pPr>
            <w:r w:rsidRPr="00DD5577">
              <w:t>Transverse and longitudinal stability is accurately calculated using data extracted from the body of ship stability data book</w:t>
            </w:r>
          </w:p>
        </w:tc>
      </w:tr>
      <w:tr w:rsidTr="00DD557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D557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D5577">
            <w:pPr>
              <w:pStyle w:val="BodyText"/>
              <w:rPr>
                <w:lang w:val="en-NZ"/>
              </w:rPr>
            </w:pPr>
            <w:r w:rsidRPr="00DD5577">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DD5577">
            <w:pPr>
              <w:pStyle w:val="BodyText"/>
              <w:rPr>
                <w:lang w:val="en-NZ"/>
              </w:rPr>
            </w:pPr>
            <w:r w:rsidRPr="00DD5577">
              <w:t>Stability calculations are checked to ensure t</w:t>
            </w:r>
            <w:r w:rsidRPr="00DD5577">
              <w:t>hey correlate with data set out in ship stability book</w:t>
            </w:r>
          </w:p>
        </w:tc>
      </w:tr>
      <w:tr w:rsidTr="00DD557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D557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D5577">
            <w:pPr>
              <w:pStyle w:val="BodyText"/>
              <w:rPr>
                <w:lang w:val="en-NZ"/>
              </w:rPr>
            </w:pPr>
            <w:r w:rsidRPr="00DD5577">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DD5577">
            <w:pPr>
              <w:pStyle w:val="BodyText"/>
              <w:rPr>
                <w:lang w:val="en-NZ"/>
              </w:rPr>
            </w:pPr>
            <w:r w:rsidRPr="00DD5577">
              <w:t>Spurious or incorrect information is recognised and recalculated</w:t>
            </w:r>
          </w:p>
        </w:tc>
      </w:tr>
      <w:tr w:rsidTr="00DD557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D557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D5577">
            <w:pPr>
              <w:pStyle w:val="BodyText"/>
              <w:rPr>
                <w:lang w:val="en-NZ"/>
              </w:rPr>
            </w:pPr>
            <w:r w:rsidRPr="00DD5577">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DD5577">
            <w:pPr>
              <w:pStyle w:val="BodyText"/>
              <w:rPr>
                <w:lang w:val="en-NZ"/>
              </w:rPr>
            </w:pPr>
            <w:r w:rsidRPr="00DD5577">
              <w:t>Trim, draughts and lists are adjusted, as required</w:t>
            </w:r>
          </w:p>
        </w:tc>
      </w:tr>
      <w:tr w:rsidTr="00DD557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D557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D5577">
            <w:pPr>
              <w:pStyle w:val="BodyText"/>
              <w:rPr>
                <w:lang w:val="en-NZ"/>
              </w:rPr>
            </w:pPr>
            <w:r w:rsidRPr="00DD5577">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DD5577">
            <w:pPr>
              <w:pStyle w:val="BodyText"/>
              <w:rPr>
                <w:lang w:val="en-NZ"/>
              </w:rPr>
            </w:pPr>
            <w:r w:rsidRPr="00DD5577">
              <w:t>Stability calculations are conducted at a time, frequency and scope appropriate to voyage</w:t>
            </w:r>
          </w:p>
        </w:tc>
      </w:tr>
      <w:tr w:rsidTr="00DD557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DD5577" w:rsidP="00DD5577">
            <w:pPr>
              <w:pStyle w:val="BodyText"/>
            </w:pPr>
            <w:r w:rsidRPr="00DD5577">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DD5577" w:rsidP="00DD5577">
            <w:pPr>
              <w:pStyle w:val="BodyText"/>
            </w:pPr>
            <w:r w:rsidRPr="00DD5577">
              <w:rPr>
                <w:rStyle w:val="SpecialBold"/>
              </w:rPr>
              <w:t>Manage weight distribution</w:t>
            </w:r>
          </w:p>
        </w:tc>
        <w:tc>
          <w:tcPr>
            <w:tcW w:w="702" w:type="dxa"/>
            <w:tcBorders>
              <w:top w:val="nil"/>
              <w:left w:val="nil"/>
              <w:bottom w:val="nil"/>
              <w:right w:val="nil"/>
            </w:tcBorders>
            <w:tcMar>
              <w:top w:w="0" w:type="dxa"/>
              <w:left w:w="62" w:type="dxa"/>
              <w:bottom w:w="0" w:type="dxa"/>
              <w:right w:w="62" w:type="dxa"/>
            </w:tcMar>
          </w:tcPr>
          <w:p w:rsidR="00000000" w:rsidP="00DD5577">
            <w:pPr>
              <w:pStyle w:val="BodyText"/>
              <w:rPr>
                <w:lang w:val="en-NZ"/>
              </w:rPr>
            </w:pPr>
            <w:r w:rsidRPr="00DD5577">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DD5577">
            <w:pPr>
              <w:pStyle w:val="BodyText"/>
              <w:rPr>
                <w:lang w:val="en-NZ"/>
              </w:rPr>
            </w:pPr>
            <w:r w:rsidRPr="00DD5577">
              <w:t>Stability calculations are used to plan weight distribution to ensure assigned load line conditions are not exceeded</w:t>
            </w:r>
          </w:p>
        </w:tc>
      </w:tr>
      <w:tr w:rsidTr="00DD557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D557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D5577">
            <w:pPr>
              <w:pStyle w:val="BodyText"/>
              <w:rPr>
                <w:lang w:val="en-NZ"/>
              </w:rPr>
            </w:pPr>
            <w:r w:rsidRPr="00DD5577">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DD5577">
            <w:pPr>
              <w:pStyle w:val="BodyText"/>
              <w:rPr>
                <w:lang w:val="en-NZ"/>
              </w:rPr>
            </w:pPr>
            <w:r w:rsidRPr="00DD5577">
              <w:t>Weight distribution is controlled to maintain ship within acceptable stability and stress limits for loading operation and at all stages of voyage</w:t>
            </w:r>
          </w:p>
        </w:tc>
      </w:tr>
      <w:tr w:rsidTr="00DD557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D557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D5577">
            <w:pPr>
              <w:pStyle w:val="BodyText"/>
              <w:rPr>
                <w:lang w:val="en-NZ"/>
              </w:rPr>
            </w:pPr>
            <w:r w:rsidRPr="00DD5577">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DD5577">
            <w:pPr>
              <w:pStyle w:val="BodyText"/>
              <w:rPr>
                <w:lang w:val="en-NZ"/>
              </w:rPr>
            </w:pPr>
            <w:r w:rsidRPr="00DD5577">
              <w:t>Appropriate action is taken when weight distribution is compromising ship safety</w:t>
            </w:r>
          </w:p>
        </w:tc>
      </w:tr>
      <w:tr w:rsidTr="00DD557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DD5577" w:rsidP="00DD5577">
            <w:pPr>
              <w:pStyle w:val="BodyText"/>
            </w:pPr>
            <w:r w:rsidRPr="00DD5577">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DD5577" w:rsidP="00DD5577">
            <w:pPr>
              <w:pStyle w:val="BodyText"/>
            </w:pPr>
            <w:r w:rsidRPr="00DD5577">
              <w:rPr>
                <w:rStyle w:val="SpecialBold"/>
              </w:rPr>
              <w:t>Maintain records o</w:t>
            </w:r>
            <w:r w:rsidRPr="00DD5577">
              <w:rPr>
                <w:rStyle w:val="SpecialBold"/>
              </w:rPr>
              <w:t>f stability management</w:t>
            </w:r>
          </w:p>
        </w:tc>
        <w:tc>
          <w:tcPr>
            <w:tcW w:w="702" w:type="dxa"/>
            <w:tcBorders>
              <w:top w:val="nil"/>
              <w:left w:val="nil"/>
              <w:bottom w:val="nil"/>
              <w:right w:val="nil"/>
            </w:tcBorders>
            <w:tcMar>
              <w:top w:w="0" w:type="dxa"/>
              <w:left w:w="62" w:type="dxa"/>
              <w:bottom w:w="0" w:type="dxa"/>
              <w:right w:w="62" w:type="dxa"/>
            </w:tcMar>
          </w:tcPr>
          <w:p w:rsidR="00000000" w:rsidP="00DD5577">
            <w:pPr>
              <w:pStyle w:val="BodyText"/>
              <w:rPr>
                <w:lang w:val="en-NZ"/>
              </w:rPr>
            </w:pPr>
            <w:r w:rsidRPr="00DD5577">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DD5577">
            <w:pPr>
              <w:pStyle w:val="BodyText"/>
              <w:rPr>
                <w:lang w:val="en-NZ"/>
              </w:rPr>
            </w:pPr>
            <w:r w:rsidRPr="00DD5577">
              <w:t>Data and information related to stability management is accurately recorded</w:t>
            </w:r>
          </w:p>
        </w:tc>
      </w:tr>
      <w:tr w:rsidTr="00DD557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D557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D5577">
            <w:pPr>
              <w:pStyle w:val="BodyText"/>
              <w:rPr>
                <w:lang w:val="en-NZ"/>
              </w:rPr>
            </w:pPr>
            <w:r w:rsidRPr="00DD5577">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RPr="00DD5577" w:rsidP="00DD5577">
            <w:pPr>
              <w:pStyle w:val="BodyText"/>
            </w:pPr>
            <w:r w:rsidRPr="00DD5577">
              <w:t>Data and information related to stability management is filed and stored according to organisational procedures</w:t>
            </w:r>
          </w:p>
        </w:tc>
      </w:tr>
    </w:tbl>
    <w:p w:rsidR="00000000" w:rsidRPr="00DD5577" w:rsidP="00DD5577">
      <w:pPr>
        <w:pStyle w:val="NoPaddingFontSize1"/>
      </w:pPr>
    </w:p>
    <w:p w:rsidR="00000000" w:rsidRPr="00DD5577" w:rsidP="00DD5577">
      <w:pPr>
        <w:pStyle w:val="AllowPageBreak"/>
      </w:pPr>
    </w:p>
    <w:p w:rsidR="00000000" w:rsidRPr="00DD5577" w:rsidP="00DD5577">
      <w:pPr>
        <w:pStyle w:val="Heading1"/>
      </w:pPr>
      <w:bookmarkStart w:id="7" w:name="O_1284387"/>
      <w:bookmarkEnd w:id="7"/>
      <w:r w:rsidRPr="00DD5577">
        <w:t>Foundation Skills</w:t>
      </w:r>
    </w:p>
    <w:tbl>
      <w:tblPr>
        <w:tblW w:w="9497" w:type="dxa"/>
        <w:tblLayout w:type="fixed"/>
        <w:tblCellMar>
          <w:left w:w="62" w:type="dxa"/>
          <w:right w:w="62" w:type="dxa"/>
        </w:tblCellMar>
        <w:tblLook w:val="0000"/>
      </w:tblPr>
      <w:tblGrid>
        <w:gridCol w:w="9497"/>
      </w:tblGrid>
      <w:tr w:rsidTr="00DD55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5577" w:rsidP="00DD5577">
            <w:pPr>
              <w:pStyle w:val="BodyText"/>
            </w:pPr>
            <w:r w:rsidRPr="00DD5577">
              <w:t>Foundation skills essential to performance are explicit in the performance criteria of this unit of competency.</w:t>
            </w:r>
          </w:p>
        </w:tc>
      </w:tr>
    </w:tbl>
    <w:p w:rsidR="00145A25" w:rsidP="00DD5577">
      <w:pPr>
        <w:pStyle w:val="NoPaddingFontSize1"/>
      </w:pPr>
    </w:p>
    <w:p w:rsidR="00145A25" w:rsidP="00DD5577">
      <w:pPr>
        <w:pStyle w:val="NoPaddingFontSize1"/>
      </w:pPr>
    </w:p>
    <w:p w:rsidR="00000000" w:rsidRPr="00DD5577" w:rsidP="00DD5577">
      <w:pPr>
        <w:pStyle w:val="Heading1"/>
      </w:pPr>
      <w:bookmarkStart w:id="8" w:name="O_1284386"/>
      <w:bookmarkEnd w:id="8"/>
      <w:r w:rsidRPr="00DD5577">
        <w:t>Range of Conditions</w:t>
      </w:r>
    </w:p>
    <w:tbl>
      <w:tblPr>
        <w:tblW w:w="9497" w:type="dxa"/>
        <w:tblLayout w:type="fixed"/>
        <w:tblCellMar>
          <w:left w:w="62" w:type="dxa"/>
          <w:right w:w="62" w:type="dxa"/>
        </w:tblCellMar>
        <w:tblLook w:val="0000"/>
      </w:tblPr>
      <w:tblGrid>
        <w:gridCol w:w="9497"/>
      </w:tblGrid>
      <w:tr w:rsidTr="00DD55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5577" w:rsidP="00DD5577">
            <w:pPr>
              <w:pStyle w:val="BodyText"/>
            </w:pPr>
            <w:r w:rsidRPr="00DD5577">
              <w:t>Range is restricted to essential operating conditions and any other variables essential to the work environment.</w:t>
            </w:r>
          </w:p>
        </w:tc>
      </w:tr>
    </w:tbl>
    <w:p w:rsidR="00145A25" w:rsidP="00DD5577">
      <w:pPr>
        <w:pStyle w:val="NoPaddingFontSize1"/>
      </w:pPr>
    </w:p>
    <w:p w:rsidR="00145A25" w:rsidP="00DD5577">
      <w:pPr>
        <w:pStyle w:val="NoPaddingFontSize1"/>
      </w:pPr>
    </w:p>
    <w:p w:rsidR="00000000" w:rsidRPr="00DD5577" w:rsidP="00DD5577">
      <w:pPr>
        <w:pStyle w:val="Heading1"/>
      </w:pPr>
      <w:bookmarkStart w:id="9" w:name="O_1284385"/>
      <w:bookmarkEnd w:id="9"/>
      <w:r w:rsidRPr="00DD5577">
        <w:t>Unit Mapping Information</w:t>
      </w:r>
    </w:p>
    <w:tbl>
      <w:tblPr>
        <w:tblW w:w="9497" w:type="dxa"/>
        <w:tblLayout w:type="fixed"/>
        <w:tblCellMar>
          <w:left w:w="62" w:type="dxa"/>
          <w:right w:w="62" w:type="dxa"/>
        </w:tblCellMar>
        <w:tblLook w:val="0000"/>
      </w:tblPr>
      <w:tblGrid>
        <w:gridCol w:w="9497"/>
      </w:tblGrid>
      <w:tr w:rsidTr="00DD55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5577" w:rsidP="00DD5577">
            <w:pPr>
              <w:pStyle w:val="BodyText"/>
            </w:pPr>
            <w:r w:rsidRPr="00DD5577">
              <w:t>This unit replaces and is equivalent to MARA005 Maintain vessel stability.</w:t>
            </w:r>
          </w:p>
        </w:tc>
      </w:tr>
    </w:tbl>
    <w:p w:rsidR="00145A25" w:rsidP="00DD5577">
      <w:pPr>
        <w:pStyle w:val="NoPaddingFontSize1"/>
      </w:pPr>
    </w:p>
    <w:p w:rsidR="00145A25" w:rsidP="00DD5577">
      <w:pPr>
        <w:pStyle w:val="NoPaddingFontSize1"/>
      </w:pPr>
    </w:p>
    <w:p w:rsidR="00000000" w:rsidRPr="00DD5577" w:rsidP="00DD5577">
      <w:pPr>
        <w:pStyle w:val="Heading1"/>
      </w:pPr>
      <w:bookmarkStart w:id="10" w:name="O_1284394"/>
      <w:bookmarkEnd w:id="10"/>
      <w:r w:rsidRPr="00DD5577">
        <w:t>Links</w:t>
      </w:r>
    </w:p>
    <w:p w:rsidR="00000000" w:rsidRPr="00DD5577" w:rsidP="00145A25">
      <w:pPr>
        <w:pStyle w:val="BodyText"/>
      </w:pPr>
      <w:r w:rsidRPr="00DD5577">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167558">
        <w:rPr>
          <w:rStyle w:val="Hyperlink"/>
        </w:rPr>
        <w:t>https://vetnet.gov.au/Pages/TrainingDocs.aspx?q=772efb7b-4cce-47fe-9bbd-ee3b1d1eb4c2</w:t>
      </w:r>
      <w:r>
        <w:fldChar w:fldCharType="end"/>
      </w:r>
    </w:p>
    <w:p w:rsidR="00000000" w:rsidRPr="00DD5577" w:rsidP="00145A25">
      <w:pPr>
        <w:pStyle w:val="BodyText"/>
        <w:sectPr w:rsidSect="00DD5577">
          <w:headerReference w:type="default" r:id="rId10"/>
          <w:footerReference w:type="default" r:id="rId11"/>
          <w:pgSz w:w="11908" w:h="16833"/>
          <w:pgMar w:top="1702" w:right="1418" w:bottom="1702" w:left="1418" w:header="992" w:footer="992" w:gutter="0"/>
          <w:cols w:space="720"/>
          <w:noEndnote/>
          <w:docGrid w:linePitch="299"/>
        </w:sectPr>
      </w:pPr>
    </w:p>
    <w:p w:rsidR="00000000" w:rsidRPr="00DD5577" w:rsidP="00DD5577">
      <w:pPr>
        <w:pStyle w:val="SuperHeading"/>
      </w:pPr>
      <w:r w:rsidRPr="00DD5577">
        <w:t>Assessment Requirements for MARA017 Maintain seaworthine</w:t>
      </w:r>
      <w:r w:rsidRPr="00DD5577">
        <w:t>ss of the ship (ship stability)</w:t>
      </w:r>
    </w:p>
    <w:p w:rsidR="00000000" w:rsidRPr="00DD5577" w:rsidP="00DD5577">
      <w:pPr>
        <w:pStyle w:val="Heading1"/>
      </w:pPr>
      <w:bookmarkStart w:id="11" w:name="O_1284383"/>
      <w:bookmarkEnd w:id="11"/>
      <w:r w:rsidRPr="00DD5577">
        <w:t>Modification History</w:t>
      </w:r>
    </w:p>
    <w:tbl>
      <w:tblPr>
        <w:tblW w:w="9497" w:type="dxa"/>
        <w:tblLayout w:type="fixed"/>
        <w:tblCellMar>
          <w:left w:w="62" w:type="dxa"/>
          <w:right w:w="62" w:type="dxa"/>
        </w:tblCellMar>
        <w:tblLook w:val="0000"/>
      </w:tblPr>
      <w:tblGrid>
        <w:gridCol w:w="9497"/>
      </w:tblGrid>
      <w:tr w:rsidTr="00DD55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5577" w:rsidP="00DD5577">
            <w:pPr>
              <w:pStyle w:val="BodyText"/>
            </w:pPr>
            <w:r w:rsidRPr="00DD5577">
              <w:rPr>
                <w:rStyle w:val="SpecialBold"/>
              </w:rPr>
              <w:t>Release 2</w:t>
            </w:r>
            <w:r w:rsidRPr="00DD5577">
              <w:t>. This is the second release of this unit of competency in the MAR Maritime Training Package.</w:t>
            </w:r>
          </w:p>
          <w:p w:rsidR="00000000" w:rsidP="00DD5577">
            <w:pPr>
              <w:pStyle w:val="ListBullet"/>
              <w:rPr>
                <w:lang w:val="en-NZ"/>
              </w:rPr>
            </w:pPr>
            <w:r w:rsidRPr="00DD5577">
              <w:t>Minor statement changes in unit Application.</w:t>
            </w:r>
          </w:p>
        </w:tc>
      </w:tr>
      <w:tr w:rsidTr="00DD55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5577" w:rsidP="00DD5577">
            <w:pPr>
              <w:pStyle w:val="BodyText"/>
            </w:pPr>
            <w:r w:rsidRPr="00DD5577">
              <w:rPr>
                <w:rStyle w:val="SpecialBold"/>
              </w:rPr>
              <w:t>Release 1</w:t>
            </w:r>
            <w:r w:rsidRPr="00DD5577">
              <w:t>. This is the first release of this unit of competency in the MAR Maritime Training Package.</w:t>
            </w:r>
          </w:p>
        </w:tc>
      </w:tr>
    </w:tbl>
    <w:p w:rsidR="00000000" w:rsidRPr="00DD5577" w:rsidP="00DD5577">
      <w:pPr>
        <w:pStyle w:val="NoPaddingFontSize1"/>
      </w:pPr>
    </w:p>
    <w:p w:rsidR="00000000" w:rsidRPr="00DD5577" w:rsidP="00DD5577">
      <w:pPr>
        <w:pStyle w:val="AllowPageBreak"/>
      </w:pPr>
    </w:p>
    <w:p w:rsidR="00000000" w:rsidRPr="00DD5577" w:rsidP="00DD5577">
      <w:pPr>
        <w:pStyle w:val="Heading1"/>
      </w:pPr>
      <w:bookmarkStart w:id="12" w:name="O_1284382"/>
      <w:bookmarkEnd w:id="12"/>
      <w:r w:rsidRPr="00DD5577">
        <w:t>Performance Evidence</w:t>
      </w:r>
    </w:p>
    <w:tbl>
      <w:tblPr>
        <w:tblW w:w="9497" w:type="dxa"/>
        <w:tblLayout w:type="fixed"/>
        <w:tblCellMar>
          <w:left w:w="62" w:type="dxa"/>
          <w:right w:w="62" w:type="dxa"/>
        </w:tblCellMar>
        <w:tblLook w:val="0000"/>
      </w:tblPr>
      <w:tblGrid>
        <w:gridCol w:w="9497"/>
      </w:tblGrid>
      <w:tr w:rsidTr="00DD55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5577" w:rsidP="00DD5577">
            <w:pPr>
              <w:pStyle w:val="BodyText"/>
            </w:pPr>
            <w:r w:rsidRPr="00DD5577">
              <w:t>Evidence required to demonstrate competence in this unit must be relevant to and satisfy all of the requirements of the e</w:t>
            </w:r>
            <w:r w:rsidRPr="00DD5577">
              <w:t>lements and performance criteria on at least one occasion and include:</w:t>
            </w:r>
          </w:p>
          <w:p w:rsidR="00000000" w:rsidRPr="00DD5577" w:rsidP="00DD5577">
            <w:pPr>
              <w:pStyle w:val="ListBullet"/>
            </w:pPr>
            <w:r w:rsidRPr="00DD5577">
              <w:t>applying appropriate actions to correct weight distribution, including:</w:t>
            </w:r>
          </w:p>
          <w:p w:rsidR="00000000" w:rsidRPr="00DD5577" w:rsidP="00DD5577">
            <w:pPr>
              <w:pStyle w:val="ListBullet2"/>
            </w:pPr>
            <w:r w:rsidRPr="00DD5577">
              <w:t>amending the ship loading plan</w:t>
            </w:r>
          </w:p>
          <w:p w:rsidR="00000000" w:rsidRPr="00DD5577" w:rsidP="00DD5577">
            <w:pPr>
              <w:pStyle w:val="ListBullet2"/>
            </w:pPr>
            <w:r w:rsidRPr="00DD5577">
              <w:t>ballast management</w:t>
            </w:r>
          </w:p>
          <w:p w:rsidR="00000000" w:rsidRPr="00DD5577" w:rsidP="00DD5577">
            <w:pPr>
              <w:pStyle w:val="ListBullet2"/>
            </w:pPr>
            <w:r w:rsidRPr="00DD5577">
              <w:t>reduction of free surface</w:t>
            </w:r>
          </w:p>
          <w:p w:rsidR="00000000" w:rsidRPr="00DD5577" w:rsidP="00DD5577">
            <w:pPr>
              <w:pStyle w:val="ListBullet"/>
            </w:pPr>
            <w:r w:rsidRPr="00DD5577">
              <w:t>applying stability, trim and stress tables, diagrams and stress calculating equipment</w:t>
            </w:r>
          </w:p>
          <w:p w:rsidR="00000000" w:rsidRPr="00DD5577" w:rsidP="00DD5577">
            <w:pPr>
              <w:pStyle w:val="ListBullet"/>
            </w:pPr>
            <w:r w:rsidRPr="00DD5577">
              <w:t>carrying out calculations required when determining ship stability, list</w:t>
            </w:r>
            <w:r w:rsidRPr="00DD5577">
              <w:rPr>
                <w:rStyle w:val="Emphasis"/>
              </w:rPr>
              <w:t xml:space="preserve"> </w:t>
            </w:r>
            <w:r w:rsidRPr="00DD5577">
              <w:t>and trim</w:t>
            </w:r>
          </w:p>
          <w:p w:rsidR="00000000" w:rsidRPr="00DD5577" w:rsidP="00DD5577">
            <w:pPr>
              <w:pStyle w:val="ListBullet"/>
            </w:pPr>
            <w:r w:rsidRPr="00DD5577">
              <w:t>managing ship stability in a range of conditions</w:t>
            </w:r>
          </w:p>
          <w:p w:rsidR="00000000" w:rsidRPr="00DD5577" w:rsidP="00DD5577">
            <w:pPr>
              <w:pStyle w:val="ListBullet"/>
            </w:pPr>
            <w:r w:rsidRPr="00DD5577">
              <w:t>managing the loading and weight distrib</w:t>
            </w:r>
            <w:r w:rsidRPr="00DD5577">
              <w:t>ution of a ship to ensure assigned load line conditions are not exceeded</w:t>
            </w:r>
          </w:p>
          <w:p w:rsidR="00000000" w:rsidRPr="00DD5577" w:rsidP="00DD5577">
            <w:pPr>
              <w:pStyle w:val="ListBullet"/>
            </w:pPr>
            <w:r w:rsidRPr="00DD5577">
              <w:t>reading and interpreting ship specifications and design drawings</w:t>
            </w:r>
          </w:p>
          <w:p w:rsidR="00000000" w:rsidRPr="00DD5577" w:rsidP="00DD5577">
            <w:pPr>
              <w:pStyle w:val="ListBullet"/>
            </w:pPr>
            <w:r w:rsidRPr="00DD5577">
              <w:t>recognising problems affecting ship stability and trim</w:t>
            </w:r>
          </w:p>
          <w:p w:rsidR="00000000" w:rsidRPr="00DD5577" w:rsidP="00DD5577">
            <w:pPr>
              <w:pStyle w:val="ListBullet"/>
            </w:pPr>
            <w:r w:rsidRPr="00DD5577">
              <w:t>undertaking stability calculations, including:</w:t>
            </w:r>
          </w:p>
          <w:p w:rsidR="00000000" w:rsidRPr="00DD5577" w:rsidP="00DD5577">
            <w:pPr>
              <w:pStyle w:val="ListBullet2"/>
            </w:pPr>
            <w:r w:rsidRPr="00DD5577">
              <w:t xml:space="preserve">calculation of </w:t>
            </w:r>
            <w:r w:rsidRPr="00DD5577">
              <w:t>areas under the curve</w:t>
            </w:r>
          </w:p>
          <w:p w:rsidR="00000000" w:rsidRPr="00DD5577" w:rsidP="00DD5577">
            <w:pPr>
              <w:pStyle w:val="ListBullet2"/>
            </w:pPr>
            <w:r w:rsidRPr="00DD5577">
              <w:t>changes in draft and trim due to differing water densities</w:t>
            </w:r>
          </w:p>
          <w:p w:rsidR="00000000" w:rsidRPr="00DD5577" w:rsidP="00DD5577">
            <w:pPr>
              <w:pStyle w:val="ListBullet2"/>
            </w:pPr>
            <w:r w:rsidRPr="00DD5577">
              <w:t>correction for free surface effect</w:t>
            </w:r>
          </w:p>
          <w:p w:rsidR="00000000" w:rsidRPr="00DD5577" w:rsidP="00DD5577">
            <w:pPr>
              <w:pStyle w:val="ListBullet2"/>
            </w:pPr>
            <w:r w:rsidRPr="00DD5577">
              <w:t>dead weight</w:t>
            </w:r>
          </w:p>
          <w:p w:rsidR="00000000" w:rsidRPr="00DD5577" w:rsidP="00DD5577">
            <w:pPr>
              <w:pStyle w:val="ListBullet2"/>
            </w:pPr>
            <w:r w:rsidRPr="00DD5577">
              <w:t>displacement</w:t>
            </w:r>
          </w:p>
          <w:p w:rsidR="00000000" w:rsidRPr="00DD5577" w:rsidP="00DD5577">
            <w:pPr>
              <w:pStyle w:val="ListBullet2"/>
            </w:pPr>
            <w:r w:rsidRPr="00DD5577">
              <w:t>draft and trim</w:t>
            </w:r>
          </w:p>
          <w:p w:rsidR="00000000" w:rsidRPr="00DD5577" w:rsidP="00DD5577">
            <w:pPr>
              <w:pStyle w:val="ListBullet2"/>
            </w:pPr>
            <w:r w:rsidRPr="00DD5577">
              <w:t>effect of slack tanks</w:t>
            </w:r>
          </w:p>
          <w:p w:rsidR="00000000" w:rsidRPr="00DD5577" w:rsidP="00DD5577">
            <w:pPr>
              <w:pStyle w:val="ListBullet2"/>
            </w:pPr>
            <w:r w:rsidRPr="00DD5577">
              <w:t>metacentric height</w:t>
            </w:r>
          </w:p>
          <w:p w:rsidR="00000000" w:rsidRPr="00DD5577" w:rsidP="00DD5577">
            <w:pPr>
              <w:pStyle w:val="ListBullet2"/>
            </w:pPr>
            <w:r w:rsidRPr="00DD5577">
              <w:t>moment of static stability at small angles of heel</w:t>
            </w:r>
          </w:p>
          <w:p w:rsidR="00000000" w:rsidRPr="00DD5577" w:rsidP="00DD5577">
            <w:pPr>
              <w:pStyle w:val="ListBullet2"/>
            </w:pPr>
            <w:r w:rsidRPr="00DD5577">
              <w:t>movement of the centre of gravity</w:t>
            </w:r>
          </w:p>
          <w:p w:rsidR="00000000" w:rsidRPr="00DD5577" w:rsidP="00DD5577">
            <w:pPr>
              <w:pStyle w:val="ListBullet2"/>
            </w:pPr>
            <w:r w:rsidRPr="00DD5577">
              <w:t>tonnes per centimetre (TPC)</w:t>
            </w:r>
          </w:p>
          <w:p w:rsidR="00000000" w:rsidRPr="00DD5577" w:rsidP="00DD5577">
            <w:pPr>
              <w:pStyle w:val="ListBullet2"/>
            </w:pPr>
            <w:r w:rsidRPr="00DD5577">
              <w:t>transverse and longitudinal stability</w:t>
            </w:r>
          </w:p>
          <w:p w:rsidR="00000000" w:rsidRPr="00DD5577" w:rsidP="00DD5577">
            <w:pPr>
              <w:pStyle w:val="ListBullet2"/>
            </w:pPr>
            <w:r w:rsidRPr="00DD5577">
              <w:t>values for righting levers and construction of the curve of stability.</w:t>
            </w:r>
          </w:p>
          <w:p w:rsidR="00000000" w:rsidRPr="00DD5577" w:rsidP="00DD5577">
            <w:pPr>
              <w:pStyle w:val="BodyText"/>
            </w:pPr>
          </w:p>
        </w:tc>
      </w:tr>
    </w:tbl>
    <w:p w:rsidR="00145A25" w:rsidP="00DD5577">
      <w:pPr>
        <w:pStyle w:val="NoPaddingFontSize1"/>
      </w:pPr>
    </w:p>
    <w:p w:rsidR="00145A25" w:rsidP="00DD5577">
      <w:pPr>
        <w:pStyle w:val="NoPaddingFontSize1"/>
      </w:pPr>
    </w:p>
    <w:p w:rsidR="00000000" w:rsidRPr="00DD5577" w:rsidP="00DD5577">
      <w:pPr>
        <w:pStyle w:val="Heading1"/>
      </w:pPr>
      <w:bookmarkStart w:id="13" w:name="O_1284381"/>
      <w:bookmarkEnd w:id="13"/>
      <w:r w:rsidRPr="00DD5577">
        <w:t>Knowledge Evidence</w:t>
      </w:r>
    </w:p>
    <w:tbl>
      <w:tblPr>
        <w:tblW w:w="9497" w:type="dxa"/>
        <w:tblLayout w:type="fixed"/>
        <w:tblCellMar>
          <w:left w:w="62" w:type="dxa"/>
          <w:right w:w="62" w:type="dxa"/>
        </w:tblCellMar>
        <w:tblLook w:val="0000"/>
      </w:tblPr>
      <w:tblGrid>
        <w:gridCol w:w="9497"/>
      </w:tblGrid>
      <w:tr w:rsidTr="00DD55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5577" w:rsidP="00DD5577">
            <w:pPr>
              <w:pStyle w:val="BodyText"/>
            </w:pPr>
            <w:r w:rsidRPr="00DD5577">
              <w:t>Evidence required to demonstrate competence in this unit must be relevant to and satisfy all of the requirements of the elements and performance criteria and include knowledge of:</w:t>
            </w:r>
          </w:p>
          <w:p w:rsidR="00000000" w:rsidRPr="00DD5577" w:rsidP="00DD5577">
            <w:pPr>
              <w:pStyle w:val="ListBullet"/>
            </w:pPr>
            <w:r w:rsidRPr="00DD5577">
              <w:t>buoyancy, including:</w:t>
            </w:r>
          </w:p>
          <w:p w:rsidR="00000000" w:rsidRPr="00DD5577" w:rsidP="00DD5577">
            <w:pPr>
              <w:pStyle w:val="ListBullet2"/>
            </w:pPr>
            <w:r w:rsidRPr="00DD5577">
              <w:t>fundamental actions to be taken in the event of parti</w:t>
            </w:r>
            <w:r w:rsidRPr="00DD5577">
              <w:t>al loss of intact buoyancy</w:t>
            </w:r>
          </w:p>
          <w:p w:rsidR="00000000" w:rsidRPr="00DD5577" w:rsidP="00DD5577">
            <w:pPr>
              <w:pStyle w:val="ListBullet"/>
            </w:pPr>
            <w:r w:rsidRPr="00DD5577">
              <w:t>calculation of ships stability using the inclining experiment</w:t>
            </w:r>
          </w:p>
          <w:p w:rsidR="00000000" w:rsidRPr="00DD5577" w:rsidP="00DD5577">
            <w:pPr>
              <w:pStyle w:val="ListBullet"/>
            </w:pPr>
            <w:r w:rsidRPr="00DD5577">
              <w:t>data and information related to stability management, including:</w:t>
            </w:r>
          </w:p>
          <w:p w:rsidR="00000000" w:rsidRPr="00DD5577" w:rsidP="00DD5577">
            <w:pPr>
              <w:pStyle w:val="ListBullet2"/>
            </w:pPr>
            <w:r w:rsidRPr="00DD5577">
              <w:t>cargo stowage and loading plan</w:t>
            </w:r>
          </w:p>
          <w:p w:rsidR="00000000" w:rsidRPr="00DD5577" w:rsidP="00DD5577">
            <w:pPr>
              <w:pStyle w:val="ListBullet2"/>
            </w:pPr>
            <w:r w:rsidRPr="00DD5577">
              <w:t>records of stability calculations</w:t>
            </w:r>
          </w:p>
          <w:p w:rsidR="00000000" w:rsidRPr="00DD5577" w:rsidP="00DD5577">
            <w:pPr>
              <w:pStyle w:val="ListBullet2"/>
            </w:pPr>
            <w:r w:rsidRPr="00DD5577">
              <w:t>safety management system (SMS)</w:t>
            </w:r>
          </w:p>
          <w:p w:rsidR="00000000" w:rsidRPr="00DD5577" w:rsidP="00DD5577">
            <w:pPr>
              <w:pStyle w:val="ListBullet2"/>
            </w:pPr>
            <w:r w:rsidRPr="00DD5577">
              <w:t>stability and trim booklet</w:t>
            </w:r>
          </w:p>
          <w:p w:rsidR="00000000" w:rsidRPr="00DD5577" w:rsidP="00DD5577">
            <w:pPr>
              <w:pStyle w:val="ListBullet"/>
            </w:pPr>
            <w:r w:rsidRPr="00DD5577">
              <w:t>effects of angle of loll</w:t>
            </w:r>
          </w:p>
          <w:p w:rsidR="00000000" w:rsidRPr="00DD5577" w:rsidP="00DD5577">
            <w:pPr>
              <w:pStyle w:val="ListBullet"/>
            </w:pPr>
            <w:r w:rsidRPr="00DD5577">
              <w:t>effects of beam and form coefficient on the stability of a ship</w:t>
            </w:r>
          </w:p>
          <w:p w:rsidR="00000000" w:rsidRPr="00DD5577" w:rsidP="00DD5577">
            <w:pPr>
              <w:pStyle w:val="ListBullet"/>
            </w:pPr>
            <w:r w:rsidRPr="00DD5577">
              <w:t>effects of density of sea water on the draught and freeboard of a ship, including freshwater allowance and dock water allowance</w:t>
            </w:r>
          </w:p>
          <w:p w:rsidR="00000000" w:rsidRPr="00DD5577" w:rsidP="00DD5577">
            <w:pPr>
              <w:pStyle w:val="ListBullet"/>
            </w:pPr>
            <w:r w:rsidRPr="00DD5577">
              <w:t xml:space="preserve">effects of </w:t>
            </w:r>
            <w:r w:rsidRPr="00DD5577">
              <w:t>free surface on the stability of a ship</w:t>
            </w:r>
          </w:p>
          <w:p w:rsidR="00000000" w:rsidRPr="00DD5577" w:rsidP="00DD5577">
            <w:pPr>
              <w:pStyle w:val="ListBullet"/>
            </w:pPr>
            <w:r w:rsidRPr="00DD5577">
              <w:t>features of the load-line and draught marks of a ship and methods for performing related calculations</w:t>
            </w:r>
          </w:p>
          <w:p w:rsidR="00000000" w:rsidRPr="00DD5577" w:rsidP="00DD5577">
            <w:pPr>
              <w:pStyle w:val="ListBullet"/>
            </w:pPr>
            <w:r w:rsidRPr="00DD5577">
              <w:t>fundamentals of watertight integrity</w:t>
            </w:r>
          </w:p>
          <w:p w:rsidR="00000000" w:rsidRPr="00DD5577" w:rsidP="00DD5577">
            <w:pPr>
              <w:pStyle w:val="ListBullet"/>
            </w:pPr>
            <w:r w:rsidRPr="00DD5577">
              <w:t>principal stresses that act on the structure of a ship</w:t>
            </w:r>
          </w:p>
          <w:p w:rsidR="00000000" w:rsidRPr="00DD5577" w:rsidP="00DD5577">
            <w:pPr>
              <w:pStyle w:val="ListBullet"/>
            </w:pPr>
            <w:r w:rsidRPr="00DD5577">
              <w:t>principal structural m</w:t>
            </w:r>
            <w:r w:rsidRPr="00DD5577">
              <w:t>embers of a ship and the proper names for various parts</w:t>
            </w:r>
          </w:p>
          <w:p w:rsidR="00000000" w:rsidRPr="00DD5577" w:rsidP="00DD5577">
            <w:pPr>
              <w:pStyle w:val="ListBullet"/>
            </w:pPr>
            <w:r w:rsidRPr="00DD5577">
              <w:t>problems related to the control of trim, stability and stresses of ships and appropriate actions and solutions</w:t>
            </w:r>
          </w:p>
          <w:p w:rsidR="00000000" w:rsidRPr="00DD5577" w:rsidP="00DD5577">
            <w:pPr>
              <w:pStyle w:val="ListBullet"/>
            </w:pPr>
            <w:r w:rsidRPr="00DD5577">
              <w:t>sections of the International Maritime Organization (IMO), International Convention on St</w:t>
            </w:r>
            <w:r w:rsidRPr="00DD5577">
              <w:t>andards of Training, Certification and Watchkeeping for Seafarers (STCW) and Australian Maritime Safety Authority (AMSA) Marine Orders related to intact stability criteria</w:t>
            </w:r>
          </w:p>
          <w:p w:rsidR="00000000" w:rsidRPr="00DD5577" w:rsidP="00DD5577">
            <w:pPr>
              <w:pStyle w:val="ListBullet"/>
            </w:pPr>
            <w:r w:rsidRPr="00DD5577">
              <w:t>stability, trim and stress tables, diagrams and stress calculating equipment</w:t>
            </w:r>
          </w:p>
          <w:p w:rsidR="00000000" w:rsidRPr="00DD5577" w:rsidP="00DD5577">
            <w:pPr>
              <w:pStyle w:val="ListBullet"/>
            </w:pPr>
            <w:r w:rsidRPr="00DD5577">
              <w:t>theor</w:t>
            </w:r>
            <w:r w:rsidRPr="00DD5577">
              <w:t>y and calculations of ship stability and dynamics, including movement of weights</w:t>
            </w:r>
          </w:p>
          <w:p w:rsidR="00000000" w:rsidRPr="00DD5577" w:rsidP="00DD5577">
            <w:pPr>
              <w:pStyle w:val="ListBullet"/>
            </w:pPr>
            <w:r w:rsidRPr="00DD5577">
              <w:t>use of computer programs in calculating stability.</w:t>
            </w:r>
          </w:p>
        </w:tc>
      </w:tr>
    </w:tbl>
    <w:p w:rsidR="00000000" w:rsidRPr="00DD5577" w:rsidP="00DD5577">
      <w:pPr>
        <w:pStyle w:val="NoPaddingFontSize1"/>
      </w:pPr>
    </w:p>
    <w:p w:rsidR="00000000" w:rsidRPr="00DD5577" w:rsidP="00DD5577">
      <w:pPr>
        <w:pStyle w:val="AllowPageBreak"/>
      </w:pPr>
    </w:p>
    <w:p w:rsidR="00000000" w:rsidRPr="00DD5577" w:rsidP="00DD5577">
      <w:pPr>
        <w:pStyle w:val="Heading1"/>
      </w:pPr>
      <w:bookmarkStart w:id="14" w:name="O_1284380"/>
      <w:bookmarkEnd w:id="14"/>
      <w:r w:rsidRPr="00DD5577">
        <w:t>Assessment Conditions</w:t>
      </w:r>
    </w:p>
    <w:tbl>
      <w:tblPr>
        <w:tblW w:w="9497" w:type="dxa"/>
        <w:tblLayout w:type="fixed"/>
        <w:tblCellMar>
          <w:left w:w="62" w:type="dxa"/>
          <w:right w:w="62" w:type="dxa"/>
        </w:tblCellMar>
        <w:tblLook w:val="0000"/>
      </w:tblPr>
      <w:tblGrid>
        <w:gridCol w:w="9497"/>
      </w:tblGrid>
      <w:tr w:rsidTr="00DD55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5577" w:rsidP="00DD5577">
            <w:pPr>
              <w:pStyle w:val="BodyText"/>
            </w:pPr>
            <w:r w:rsidRPr="00DD5577">
              <w:t>Assessors must hold credentials specified within the Standards for Registered Tra</w:t>
            </w:r>
            <w:r w:rsidRPr="00DD5577">
              <w:t xml:space="preserve">ining Organisations current at the time of assessment. </w:t>
            </w:r>
          </w:p>
          <w:p w:rsidR="00000000" w:rsidRPr="00DD5577" w:rsidP="00DD5577">
            <w:pPr>
              <w:pStyle w:val="BodyText"/>
            </w:pPr>
            <w:r w:rsidRPr="00DD5577">
              <w:t>Assessment must satisfy the Principles of Assessment and Rules of Evidence and all regulatory requirements included within the Standards for Registered Training Organisations current at the time of as</w:t>
            </w:r>
            <w:r w:rsidRPr="00DD5577">
              <w:t>sessment.</w:t>
            </w:r>
          </w:p>
          <w:p w:rsidR="00000000" w:rsidRPr="00DD5577" w:rsidP="00DD5577">
            <w:pPr>
              <w:pStyle w:val="BodyText"/>
            </w:pPr>
            <w:r w:rsidRPr="00DD5577">
              <w:t>Assessment processes and techniques must be appropriate to the language, literacy and numeracy requirements of the work being performed and the needs of the candidate.</w:t>
            </w:r>
          </w:p>
          <w:p w:rsidR="00000000" w:rsidRPr="00DD5577" w:rsidP="00DD5577">
            <w:pPr>
              <w:pStyle w:val="BodyText"/>
            </w:pPr>
            <w:r w:rsidRPr="00DD5577">
              <w:t>Practical assessment must occur in a workplace, or realistic simulated workpla</w:t>
            </w:r>
            <w:r w:rsidRPr="00DD5577">
              <w:t xml:space="preserve">ce, under the normal range of workplace conditions. </w:t>
            </w:r>
          </w:p>
          <w:p w:rsidR="00000000" w:rsidRPr="00DD5577" w:rsidP="00DD5577">
            <w:pPr>
              <w:pStyle w:val="BodyText"/>
            </w:pPr>
            <w:r w:rsidRPr="00DD5577">
              <w:t>Simulations and scenarios may be used where situations cannot be provided in the workplace or may occur only rarely, in particular for situations relating to emergency procedures and adverse weather cond</w:t>
            </w:r>
            <w:r w:rsidRPr="00DD5577">
              <w:t>itions where assessment would be unsafe, impractical or may lead to environmental damage.</w:t>
            </w:r>
          </w:p>
          <w:p w:rsidR="00000000" w:rsidRPr="00DD5577" w:rsidP="00DD5577">
            <w:pPr>
              <w:pStyle w:val="BodyText"/>
            </w:pPr>
            <w:r w:rsidRPr="00DD5577">
              <w:t>Resources for assessment must include access to:</w:t>
            </w:r>
          </w:p>
          <w:p w:rsidR="00000000" w:rsidRPr="00DD5577" w:rsidP="00DD5577">
            <w:pPr>
              <w:pStyle w:val="ListBullet"/>
            </w:pPr>
            <w:r w:rsidRPr="00DD5577">
              <w:t xml:space="preserve">applicable documentation, such as legislation, regulations, codes of practice, workplace procedures </w:t>
            </w:r>
            <w:r w:rsidRPr="00DD5577">
              <w:t>and operational manuals</w:t>
            </w:r>
          </w:p>
          <w:p w:rsidR="00000000" w:rsidRPr="00DD5577" w:rsidP="00DD5577">
            <w:pPr>
              <w:pStyle w:val="ListBullet"/>
            </w:pPr>
            <w:r w:rsidRPr="00DD5577">
              <w:t>tools, equipment, machinery, materials and relevant personal protective equipment (PPE) currently used in industry.</w:t>
            </w:r>
          </w:p>
        </w:tc>
      </w:tr>
    </w:tbl>
    <w:p w:rsidR="00145A25" w:rsidP="00DD5577">
      <w:pPr>
        <w:pStyle w:val="NoPaddingFontSize1"/>
      </w:pPr>
    </w:p>
    <w:p w:rsidR="00145A25" w:rsidP="00DD5577">
      <w:pPr>
        <w:pStyle w:val="NoPaddingFontSize1"/>
      </w:pPr>
    </w:p>
    <w:p w:rsidR="00000000" w:rsidRPr="00DD5577" w:rsidP="00DD5577">
      <w:pPr>
        <w:pStyle w:val="Heading1"/>
      </w:pPr>
      <w:bookmarkStart w:id="15" w:name="O_1284395"/>
      <w:bookmarkEnd w:id="15"/>
      <w:r w:rsidRPr="00DD5577">
        <w:t>Links</w:t>
      </w:r>
    </w:p>
    <w:p w:rsidR="00000000" w:rsidRPr="00DD5577" w:rsidP="00145A25">
      <w:pPr>
        <w:pStyle w:val="BodyText"/>
      </w:pPr>
      <w:r w:rsidRPr="00DD5577">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167558">
        <w:rPr>
          <w:rStyle w:val="Hyperlink"/>
        </w:rPr>
        <w:t>https://vetnet.gov.au/Pages/TrainingDocs.aspx?q=772efb7b-4cce-47fe-9bbd-ee3b1d1eb4c2</w:t>
      </w:r>
      <w:r>
        <w:fldChar w:fldCharType="end"/>
      </w:r>
    </w:p>
    <w:p w:rsidR="00000000" w:rsidRPr="00DD5577" w:rsidP="00DD5577"/>
    <w:sectPr w:rsidSect="00DD557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A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A25">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A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A25" w:rsidP="00DD55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45A25" w:rsidP="00DD557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145A25" w:rsidP="00DD557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577" w:rsidP="00DD5577">
    <w:pPr>
      <w:pStyle w:val="Footer"/>
      <w:framePr w:wrap="around"/>
    </w:pPr>
    <w:r>
      <w:fldChar w:fldCharType="begin"/>
    </w:r>
    <w:r>
      <w:instrText xml:space="preserve"> DOCPROPERTY  Subject  \* MERGEFORMAT </w:instrText>
    </w:r>
    <w:r>
      <w:fldChar w:fldCharType="separate"/>
    </w:r>
    <w:r w:rsidR="00145A25">
      <w:t>Approved</w:t>
    </w:r>
    <w:r w:rsidR="00145A25">
      <w:fldChar w:fldCharType="end"/>
    </w:r>
    <w:r>
      <w:tab/>
      <w:t xml:space="preserve">Page </w:t>
    </w:r>
    <w:r>
      <w:fldChar w:fldCharType="begin"/>
    </w:r>
    <w:r>
      <w:instrText xml:space="preserve"> PAGE  \* Arabic  \* MERGEFORMAT </w:instrText>
    </w:r>
    <w:r>
      <w:fldChar w:fldCharType="separate"/>
    </w:r>
    <w:r w:rsidR="00145A2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45A25">
      <w:rPr>
        <w:noProof/>
      </w:rPr>
      <w:t>5</w:t>
    </w:r>
    <w:r>
      <w:rPr>
        <w:noProof/>
      </w:rPr>
      <w:fldChar w:fldCharType="end"/>
    </w:r>
  </w:p>
  <w:p w:rsidR="00DD5577" w:rsidP="00DD5577">
    <w:pPr>
      <w:pStyle w:val="Footer"/>
      <w:framePr w:wrap="around"/>
    </w:pPr>
    <w:r>
      <w:t xml:space="preserve">© Commonwealth of Australia, </w:t>
    </w:r>
    <w:r>
      <w:fldChar w:fldCharType="begin"/>
    </w:r>
    <w:r>
      <w:instrText xml:space="preserve"> DATE  \@ "yyyy"  \* MERGEFORMAT </w:instrText>
    </w:r>
    <w:r>
      <w:fldChar w:fldCharType="separate"/>
    </w:r>
    <w:r w:rsidR="00145A25">
      <w:rPr>
        <w:noProof/>
      </w:rPr>
      <w:t>2025</w:t>
    </w:r>
    <w:r>
      <w:fldChar w:fldCharType="end"/>
    </w:r>
    <w:r>
      <w:tab/>
    </w:r>
    <w:r>
      <w:fldChar w:fldCharType="begin"/>
    </w:r>
    <w:r>
      <w:instrText xml:space="preserve"> DOCPROPERTY  Author  \* MERGEFORMAT </w:instrText>
    </w:r>
    <w:r>
      <w:fldChar w:fldCharType="separate"/>
    </w:r>
    <w:r w:rsidR="00145A25">
      <w:t>Industry Skills Australia</w:t>
    </w:r>
    <w:r w:rsidR="00145A25">
      <w:fldChar w:fldCharType="end"/>
    </w:r>
  </w:p>
  <w:p w:rsidR="00DD5577" w:rsidP="00DD55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A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A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5577" w:rsidRPr="00145A25" w:rsidP="00145A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A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A25" w:rsidRPr="002D2AF8" w:rsidP="00DD5577">
    <w:pPr>
      <w:pStyle w:val="Header"/>
      <w:framePr w:wrap="around"/>
    </w:pPr>
    <w:r>
      <w:fldChar w:fldCharType="begin"/>
    </w:r>
    <w:r>
      <w:instrText xml:space="preserve"> TITLE   \* MERGEFORMAT </w:instrText>
    </w:r>
    <w:r>
      <w:fldChar w:fldCharType="separate"/>
    </w:r>
    <w:r>
      <w:t>MARA017 Maintain seaworthiness of the ship (ship stability)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45A25" w:rsidP="00DD557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577" w:rsidRPr="002D2AF8" w:rsidP="00DD5577">
    <w:pPr>
      <w:pStyle w:val="Header"/>
      <w:framePr w:wrap="around"/>
    </w:pPr>
    <w:r>
      <w:fldChar w:fldCharType="begin"/>
    </w:r>
    <w:r>
      <w:instrText xml:space="preserve"> TITLE   \* MERGEFORMAT </w:instrText>
    </w:r>
    <w:r>
      <w:fldChar w:fldCharType="separate"/>
    </w:r>
    <w:r w:rsidR="00145A25">
      <w:t>MARA017 Maintain seaworthiness of the ship (ship stability)</w:t>
    </w:r>
    <w:r w:rsidR="00145A25">
      <w:fldChar w:fldCharType="end"/>
    </w:r>
    <w:r>
      <w:tab/>
      <w:t xml:space="preserve">Date this document was generated: </w:t>
    </w:r>
    <w:r>
      <w:fldChar w:fldCharType="begin"/>
    </w:r>
    <w:r>
      <w:instrText xml:space="preserve"> CREATEDATE  \@ "d MMMM yyyy"  \* MERGEFORMAT </w:instrText>
    </w:r>
    <w:r>
      <w:fldChar w:fldCharType="separate"/>
    </w:r>
    <w:r w:rsidR="00145A25">
      <w:rPr>
        <w:noProof/>
      </w:rPr>
      <w:t>1 March 2025</w:t>
    </w:r>
    <w:r>
      <w:fldChar w:fldCharType="end"/>
    </w:r>
  </w:p>
  <w:p w:rsidR="00DD5577" w:rsidP="00DD55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E681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EECE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5CE4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55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5577"/>
    <w:pPr>
      <w:spacing w:before="360" w:after="60"/>
      <w:outlineLvl w:val="0"/>
    </w:pPr>
    <w:rPr>
      <w:sz w:val="32"/>
    </w:rPr>
  </w:style>
  <w:style w:type="paragraph" w:styleId="Heading2">
    <w:name w:val="heading 2"/>
    <w:basedOn w:val="HeadingBase"/>
    <w:next w:val="BodyText"/>
    <w:link w:val="Heading2Char"/>
    <w:qFormat/>
    <w:rsid w:val="00DD5577"/>
    <w:pPr>
      <w:keepLines/>
      <w:spacing w:before="240" w:after="120"/>
      <w:outlineLvl w:val="1"/>
    </w:pPr>
    <w:rPr>
      <w:sz w:val="28"/>
      <w:szCs w:val="40"/>
    </w:rPr>
  </w:style>
  <w:style w:type="paragraph" w:styleId="Heading3">
    <w:name w:val="heading 3"/>
    <w:basedOn w:val="HeadingBase"/>
    <w:next w:val="BodyText"/>
    <w:link w:val="Heading3Char"/>
    <w:qFormat/>
    <w:rsid w:val="00DD5577"/>
    <w:pPr>
      <w:spacing w:before="180" w:after="120"/>
      <w:outlineLvl w:val="2"/>
    </w:pPr>
    <w:rPr>
      <w:spacing w:val="-10"/>
      <w:kern w:val="32"/>
    </w:rPr>
  </w:style>
  <w:style w:type="paragraph" w:styleId="Heading4">
    <w:name w:val="heading 4"/>
    <w:basedOn w:val="HeadingBase"/>
    <w:next w:val="BodyText"/>
    <w:link w:val="Heading4Char"/>
    <w:qFormat/>
    <w:rsid w:val="00DD5577"/>
    <w:pPr>
      <w:spacing w:before="160" w:after="120"/>
      <w:outlineLvl w:val="3"/>
    </w:pPr>
    <w:rPr>
      <w:sz w:val="22"/>
    </w:rPr>
  </w:style>
  <w:style w:type="paragraph" w:styleId="Heading5">
    <w:name w:val="heading 5"/>
    <w:basedOn w:val="HeadingBase"/>
    <w:next w:val="Normal"/>
    <w:link w:val="Heading5Char"/>
    <w:qFormat/>
    <w:rsid w:val="00DD5577"/>
    <w:pPr>
      <w:spacing w:before="80"/>
      <w:outlineLvl w:val="4"/>
    </w:pPr>
    <w:rPr>
      <w:color w:val="918585"/>
      <w:sz w:val="20"/>
    </w:rPr>
  </w:style>
  <w:style w:type="paragraph" w:styleId="Heading6">
    <w:name w:val="heading 6"/>
    <w:basedOn w:val="HeadingBase"/>
    <w:next w:val="Normal"/>
    <w:link w:val="Heading6Char"/>
    <w:qFormat/>
    <w:rsid w:val="00DD5577"/>
    <w:pPr>
      <w:spacing w:before="60"/>
      <w:outlineLvl w:val="5"/>
    </w:pPr>
    <w:rPr>
      <w:color w:val="918585"/>
      <w:sz w:val="20"/>
    </w:rPr>
  </w:style>
  <w:style w:type="paragraph" w:styleId="Heading7">
    <w:name w:val="heading 7"/>
    <w:basedOn w:val="Normal"/>
    <w:next w:val="Normal"/>
    <w:link w:val="Heading7Char"/>
    <w:qFormat/>
    <w:rsid w:val="00DD5577"/>
    <w:pPr>
      <w:ind w:left="720"/>
      <w:outlineLvl w:val="6"/>
    </w:pPr>
    <w:rPr>
      <w:i/>
    </w:rPr>
  </w:style>
  <w:style w:type="paragraph" w:styleId="Heading8">
    <w:name w:val="heading 8"/>
    <w:basedOn w:val="Normal"/>
    <w:next w:val="Normal"/>
    <w:link w:val="Heading8Char"/>
    <w:qFormat/>
    <w:rsid w:val="00DD5577"/>
    <w:pPr>
      <w:ind w:left="720"/>
      <w:outlineLvl w:val="7"/>
    </w:pPr>
    <w:rPr>
      <w:i/>
    </w:rPr>
  </w:style>
  <w:style w:type="paragraph" w:styleId="Heading9">
    <w:name w:val="heading 9"/>
    <w:basedOn w:val="Normal"/>
    <w:next w:val="Normal"/>
    <w:link w:val="Heading9Char"/>
    <w:qFormat/>
    <w:rsid w:val="00DD5577"/>
    <w:pPr>
      <w:ind w:left="720"/>
      <w:outlineLvl w:val="8"/>
    </w:pPr>
    <w:rPr>
      <w:i/>
    </w:rPr>
  </w:style>
  <w:style w:type="character" w:default="1" w:styleId="DefaultParagraphFont">
    <w:name w:val="Default Paragraph Font"/>
    <w:uiPriority w:val="1"/>
    <w:unhideWhenUsed/>
    <w:rsid w:val="00DD55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5577"/>
  </w:style>
  <w:style w:type="character" w:customStyle="1" w:styleId="Heading1Char">
    <w:name w:val="Heading 1 Char"/>
    <w:basedOn w:val="DefaultParagraphFont"/>
    <w:link w:val="Heading1"/>
    <w:rsid w:val="00DD5577"/>
    <w:rPr>
      <w:rFonts w:ascii="Times New Roman" w:eastAsia="Times New Roman" w:hAnsi="Times New Roman" w:cs="Times New Roman"/>
      <w:b/>
      <w:sz w:val="32"/>
      <w:szCs w:val="20"/>
      <w:lang w:eastAsia="en-US"/>
    </w:rPr>
  </w:style>
  <w:style w:type="paragraph" w:styleId="BodyText">
    <w:name w:val="Body Text"/>
    <w:basedOn w:val="Normal"/>
    <w:link w:val="BodyTextChar"/>
    <w:rsid w:val="00DD55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5577"/>
    <w:rPr>
      <w:rFonts w:ascii="Times New Roman" w:eastAsia="Times New Roman" w:hAnsi="Times New Roman" w:cs="Times New Roman"/>
      <w:sz w:val="24"/>
      <w:lang w:eastAsia="en-US"/>
    </w:rPr>
  </w:style>
  <w:style w:type="paragraph" w:styleId="ListBullet">
    <w:name w:val="List Bullet"/>
    <w:basedOn w:val="List"/>
    <w:rsid w:val="00DD5577"/>
    <w:pPr>
      <w:numPr>
        <w:numId w:val="12"/>
      </w:numPr>
      <w:tabs>
        <w:tab w:val="clear" w:pos="340"/>
      </w:tabs>
      <w:spacing w:before="40" w:after="40"/>
    </w:pPr>
  </w:style>
  <w:style w:type="character" w:customStyle="1" w:styleId="SpecialBold">
    <w:name w:val="Special Bold"/>
    <w:basedOn w:val="DefaultParagraphFont"/>
    <w:rsid w:val="00DD5577"/>
    <w:rPr>
      <w:b/>
      <w:spacing w:val="0"/>
    </w:rPr>
  </w:style>
  <w:style w:type="paragraph" w:styleId="ListBullet2">
    <w:name w:val="List Bullet 2"/>
    <w:basedOn w:val="List2"/>
    <w:rsid w:val="00DD5577"/>
    <w:pPr>
      <w:numPr>
        <w:numId w:val="13"/>
      </w:numPr>
      <w:tabs>
        <w:tab w:val="clear" w:pos="680"/>
      </w:tabs>
    </w:pPr>
  </w:style>
  <w:style w:type="character" w:styleId="Emphasis">
    <w:name w:val="Emphasis"/>
    <w:basedOn w:val="DefaultParagraphFont"/>
    <w:qFormat/>
    <w:rsid w:val="00DD5577"/>
    <w:rPr>
      <w:i/>
    </w:rPr>
  </w:style>
  <w:style w:type="paragraph" w:customStyle="1" w:styleId="SuperHeading">
    <w:name w:val="SuperHeading"/>
    <w:basedOn w:val="Normal"/>
    <w:rsid w:val="00DD5577"/>
    <w:pPr>
      <w:spacing w:before="240" w:after="120"/>
      <w:outlineLvl w:val="0"/>
    </w:pPr>
    <w:rPr>
      <w:rFonts w:ascii="Times New Roman" w:hAnsi="Times New Roman"/>
      <w:b/>
      <w:sz w:val="32"/>
    </w:rPr>
  </w:style>
  <w:style w:type="paragraph" w:customStyle="1" w:styleId="AllowPageBreak">
    <w:name w:val="AllowPageBreak"/>
    <w:rsid w:val="00DD557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D55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55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55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55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55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55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55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5577"/>
    <w:rPr>
      <w:rFonts w:ascii="Courier New" w:eastAsia="Times New Roman" w:hAnsi="Courier New" w:cs="Times New Roman"/>
      <w:i/>
      <w:szCs w:val="20"/>
      <w:lang w:eastAsia="en-US"/>
    </w:rPr>
  </w:style>
  <w:style w:type="paragraph" w:customStyle="1" w:styleId="HeadingBase">
    <w:name w:val="Heading Base"/>
    <w:rsid w:val="00DD55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5577"/>
    <w:pPr>
      <w:tabs>
        <w:tab w:val="right" w:leader="dot" w:pos="9072"/>
      </w:tabs>
      <w:ind w:left="567"/>
    </w:pPr>
    <w:rPr>
      <w:szCs w:val="22"/>
    </w:rPr>
  </w:style>
  <w:style w:type="paragraph" w:customStyle="1" w:styleId="TOCBase">
    <w:name w:val="TOC Base"/>
    <w:rsid w:val="00DD55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5577"/>
    <w:pPr>
      <w:tabs>
        <w:tab w:val="right" w:leader="dot" w:pos="9072"/>
      </w:tabs>
      <w:spacing w:before="40" w:after="40"/>
      <w:ind w:left="284"/>
    </w:pPr>
    <w:rPr>
      <w:rFonts w:ascii="Times New Roman" w:hAnsi="Times New Roman"/>
    </w:rPr>
  </w:style>
  <w:style w:type="paragraph" w:styleId="TOC1">
    <w:name w:val="toc 1"/>
    <w:basedOn w:val="TOCBase"/>
    <w:next w:val="Normal"/>
    <w:rsid w:val="00DD55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55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5577"/>
    <w:rPr>
      <w:rFonts w:ascii="Times New Roman" w:eastAsia="Times New Roman" w:hAnsi="Times New Roman" w:cs="Times New Roman"/>
      <w:sz w:val="16"/>
      <w:lang w:eastAsia="en-US"/>
    </w:rPr>
  </w:style>
  <w:style w:type="paragraph" w:styleId="Title">
    <w:name w:val="Title"/>
    <w:basedOn w:val="HeadingBase"/>
    <w:link w:val="TitleChar"/>
    <w:qFormat/>
    <w:rsid w:val="00DD5577"/>
    <w:pPr>
      <w:spacing w:before="5040"/>
      <w:jc w:val="center"/>
    </w:pPr>
    <w:rPr>
      <w:sz w:val="48"/>
      <w:szCs w:val="72"/>
      <w:lang w:val="en-US"/>
    </w:rPr>
  </w:style>
  <w:style w:type="character" w:customStyle="1" w:styleId="TitleChar">
    <w:name w:val="Title Char"/>
    <w:basedOn w:val="DefaultParagraphFont"/>
    <w:link w:val="Title"/>
    <w:rsid w:val="00DD55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5577"/>
    <w:pPr>
      <w:tabs>
        <w:tab w:val="left" w:pos="3600"/>
        <w:tab w:val="left" w:pos="3958"/>
      </w:tabs>
    </w:pPr>
  </w:style>
  <w:style w:type="paragraph" w:styleId="List">
    <w:name w:val="List"/>
    <w:basedOn w:val="BodyText"/>
    <w:next w:val="BodyText"/>
    <w:rsid w:val="00DD5577"/>
    <w:pPr>
      <w:tabs>
        <w:tab w:val="left" w:pos="340"/>
      </w:tabs>
      <w:spacing w:before="60" w:after="60"/>
      <w:ind w:left="340" w:hanging="340"/>
    </w:pPr>
  </w:style>
  <w:style w:type="paragraph" w:customStyle="1" w:styleId="Note">
    <w:name w:val="Note"/>
    <w:basedOn w:val="BodyText"/>
    <w:rsid w:val="00DD55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5577"/>
    <w:pPr>
      <w:framePr w:wrap="auto" w:hAnchor="text" w:y="6049"/>
    </w:pPr>
    <w:rPr>
      <w:color w:val="000000"/>
      <w:sz w:val="40"/>
    </w:rPr>
  </w:style>
  <w:style w:type="paragraph" w:customStyle="1" w:styleId="TOCTitle">
    <w:name w:val="TOCTitle"/>
    <w:basedOn w:val="Heading1"/>
    <w:rsid w:val="00DD5577"/>
    <w:pPr>
      <w:spacing w:after="240"/>
      <w:jc w:val="center"/>
      <w:outlineLvl w:val="9"/>
    </w:pPr>
    <w:rPr>
      <w:caps/>
    </w:rPr>
  </w:style>
  <w:style w:type="paragraph" w:customStyle="1" w:styleId="Version">
    <w:name w:val="Version"/>
    <w:rsid w:val="00DD55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5577"/>
    <w:pPr>
      <w:keepNext w:val="0"/>
      <w:tabs>
        <w:tab w:val="right" w:pos="4176"/>
      </w:tabs>
      <w:ind w:left="198" w:hanging="198"/>
    </w:pPr>
    <w:rPr>
      <w:rFonts w:ascii="Garamond" w:hAnsi="Garamond"/>
    </w:rPr>
  </w:style>
  <w:style w:type="paragraph" w:styleId="IndexHeading">
    <w:name w:val="index heading"/>
    <w:basedOn w:val="Normal"/>
    <w:next w:val="Index1"/>
    <w:semiHidden/>
    <w:rsid w:val="00DD5577"/>
    <w:pPr>
      <w:spacing w:before="120" w:after="120"/>
    </w:pPr>
    <w:rPr>
      <w:rFonts w:ascii="Arial" w:hAnsi="Arial"/>
      <w:b/>
      <w:color w:val="918585"/>
      <w:sz w:val="24"/>
    </w:rPr>
  </w:style>
  <w:style w:type="paragraph" w:styleId="Header">
    <w:name w:val="header"/>
    <w:basedOn w:val="Normal"/>
    <w:link w:val="HeaderChar"/>
    <w:rsid w:val="00DD55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5577"/>
    <w:rPr>
      <w:rFonts w:ascii="Times New Roman" w:eastAsia="Times New Roman" w:hAnsi="Times New Roman" w:cs="Times New Roman"/>
      <w:sz w:val="16"/>
      <w:szCs w:val="20"/>
      <w:lang w:val="en-GB" w:eastAsia="en-US"/>
    </w:rPr>
  </w:style>
  <w:style w:type="paragraph" w:customStyle="1" w:styleId="Chapter">
    <w:name w:val="Chapter"/>
    <w:basedOn w:val="Normal"/>
    <w:rsid w:val="00DD5577"/>
    <w:pPr>
      <w:spacing w:before="240"/>
    </w:pPr>
    <w:rPr>
      <w:rFonts w:ascii="Times New Roman" w:hAnsi="Times New Roman"/>
      <w:smallCaps/>
      <w:spacing w:val="80"/>
      <w:sz w:val="28"/>
    </w:rPr>
  </w:style>
  <w:style w:type="paragraph" w:customStyle="1" w:styleId="InChapter">
    <w:name w:val="InChapter"/>
    <w:basedOn w:val="Heading3"/>
    <w:rsid w:val="00DD5577"/>
    <w:pPr>
      <w:spacing w:after="240"/>
      <w:outlineLvl w:val="9"/>
    </w:pPr>
    <w:rPr>
      <w:noProof/>
    </w:rPr>
  </w:style>
  <w:style w:type="paragraph" w:styleId="Index2">
    <w:name w:val="index 2"/>
    <w:basedOn w:val="Normal"/>
    <w:next w:val="Normal"/>
    <w:semiHidden/>
    <w:rsid w:val="00DD5577"/>
    <w:pPr>
      <w:tabs>
        <w:tab w:val="right" w:pos="4176"/>
      </w:tabs>
      <w:ind w:left="568" w:hanging="284"/>
    </w:pPr>
    <w:rPr>
      <w:rFonts w:ascii="Garamond" w:hAnsi="Garamond"/>
    </w:rPr>
  </w:style>
  <w:style w:type="paragraph" w:customStyle="1" w:styleId="Byline">
    <w:name w:val="Byline"/>
    <w:rsid w:val="00DD55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5577"/>
    <w:pPr>
      <w:tabs>
        <w:tab w:val="clear" w:pos="3600"/>
        <w:tab w:val="clear" w:pos="3958"/>
      </w:tabs>
      <w:jc w:val="right"/>
    </w:pPr>
  </w:style>
  <w:style w:type="paragraph" w:styleId="Caption">
    <w:name w:val="caption"/>
    <w:basedOn w:val="BodyText"/>
    <w:next w:val="Normal"/>
    <w:qFormat/>
    <w:rsid w:val="00DD5577"/>
    <w:pPr>
      <w:framePr w:w="2268" w:hSpace="181" w:vSpace="181" w:wrap="around" w:vAnchor="text" w:hAnchor="page" w:x="1135" w:y="285" w:anchorLock="1"/>
    </w:pPr>
    <w:rPr>
      <w:i/>
    </w:rPr>
  </w:style>
  <w:style w:type="paragraph" w:customStyle="1" w:styleId="MiniTOCTitle">
    <w:name w:val="MiniTOCTitle"/>
    <w:basedOn w:val="Heading4"/>
    <w:rsid w:val="00DD5577"/>
    <w:pPr>
      <w:spacing w:before="240"/>
      <w:outlineLvl w:val="9"/>
    </w:pPr>
    <w:rPr>
      <w:noProof/>
      <w:sz w:val="24"/>
    </w:rPr>
  </w:style>
  <w:style w:type="paragraph" w:customStyle="1" w:styleId="MiniTOCItem">
    <w:name w:val="MiniTOCItem"/>
    <w:basedOn w:val="ListBullet"/>
    <w:rsid w:val="00DD5577"/>
    <w:pPr>
      <w:numPr>
        <w:numId w:val="0"/>
      </w:numPr>
      <w:tabs>
        <w:tab w:val="right" w:leader="dot" w:pos="6521"/>
      </w:tabs>
      <w:spacing w:before="0" w:after="0"/>
    </w:pPr>
  </w:style>
  <w:style w:type="paragraph" w:customStyle="1" w:styleId="TOFTitle">
    <w:name w:val="TOFTitle"/>
    <w:basedOn w:val="TOCTitle"/>
    <w:rsid w:val="00DD5577"/>
  </w:style>
  <w:style w:type="paragraph" w:styleId="TableofFigures">
    <w:name w:val="table of figures"/>
    <w:basedOn w:val="Normal"/>
    <w:next w:val="Normal"/>
    <w:semiHidden/>
    <w:rsid w:val="00DD5577"/>
    <w:pPr>
      <w:tabs>
        <w:tab w:val="right" w:leader="dot" w:pos="9072"/>
      </w:tabs>
      <w:ind w:left="970" w:hanging="403"/>
    </w:pPr>
    <w:rPr>
      <w:rFonts w:ascii="Times New Roman" w:hAnsi="Times New Roman"/>
      <w:b/>
    </w:rPr>
  </w:style>
  <w:style w:type="paragraph" w:styleId="ListNumber">
    <w:name w:val="List Number"/>
    <w:basedOn w:val="List"/>
    <w:rsid w:val="00DD5577"/>
    <w:pPr>
      <w:numPr>
        <w:numId w:val="15"/>
      </w:numPr>
      <w:tabs>
        <w:tab w:val="clear" w:pos="340"/>
      </w:tabs>
    </w:pPr>
  </w:style>
  <w:style w:type="character" w:customStyle="1" w:styleId="WingdingSymbols">
    <w:name w:val="Wingding Symbols"/>
    <w:rsid w:val="00DD5577"/>
    <w:rPr>
      <w:rFonts w:ascii="Wingdings" w:hAnsi="Wingdings"/>
    </w:rPr>
  </w:style>
  <w:style w:type="paragraph" w:customStyle="1" w:styleId="TableHeading">
    <w:name w:val="Table Heading"/>
    <w:basedOn w:val="HeadingBase"/>
    <w:rsid w:val="00DD5577"/>
    <w:pPr>
      <w:keepLines/>
      <w:pBdr>
        <w:bottom w:val="single" w:sz="6" w:space="1" w:color="918585"/>
      </w:pBdr>
      <w:spacing w:before="240"/>
    </w:pPr>
  </w:style>
  <w:style w:type="character" w:customStyle="1" w:styleId="HotSpot">
    <w:name w:val="HotSpot"/>
    <w:rsid w:val="00DD5577"/>
    <w:rPr>
      <w:color w:val="0033CC"/>
      <w:u w:val="none"/>
    </w:rPr>
  </w:style>
  <w:style w:type="paragraph" w:customStyle="1" w:styleId="BodyTextRight">
    <w:name w:val="Body Text Right"/>
    <w:basedOn w:val="BodyText"/>
    <w:rsid w:val="00DD5577"/>
    <w:pPr>
      <w:spacing w:before="0" w:after="0"/>
      <w:jc w:val="right"/>
    </w:pPr>
  </w:style>
  <w:style w:type="paragraph" w:styleId="Index3">
    <w:name w:val="index 3"/>
    <w:basedOn w:val="ListNumber2"/>
    <w:next w:val="Normal"/>
    <w:semiHidden/>
    <w:rsid w:val="00DD5577"/>
    <w:pPr>
      <w:numPr>
        <w:numId w:val="0"/>
      </w:numPr>
      <w:tabs>
        <w:tab w:val="right" w:leader="dot" w:pos="4176"/>
      </w:tabs>
    </w:pPr>
  </w:style>
  <w:style w:type="paragraph" w:styleId="ListNumber2">
    <w:name w:val="List Number 2"/>
    <w:basedOn w:val="List2"/>
    <w:rsid w:val="00DD5577"/>
    <w:pPr>
      <w:numPr>
        <w:numId w:val="10"/>
      </w:numPr>
      <w:tabs>
        <w:tab w:val="clear" w:pos="1060"/>
      </w:tabs>
    </w:pPr>
  </w:style>
  <w:style w:type="paragraph" w:customStyle="1" w:styleId="MarginNote">
    <w:name w:val="Margin Note"/>
    <w:basedOn w:val="BodyText"/>
    <w:rsid w:val="00DD55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55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55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5577"/>
    <w:rPr>
      <w:sz w:val="32"/>
    </w:rPr>
  </w:style>
  <w:style w:type="paragraph" w:customStyle="1" w:styleId="HeadingProcedure">
    <w:name w:val="Heading Procedure"/>
    <w:basedOn w:val="HeadingBase"/>
    <w:next w:val="Normal"/>
    <w:rsid w:val="00DD5577"/>
    <w:pPr>
      <w:tabs>
        <w:tab w:val="left" w:pos="0"/>
      </w:tabs>
      <w:spacing w:before="120" w:after="60"/>
    </w:pPr>
    <w:rPr>
      <w:i/>
      <w:color w:val="918585"/>
      <w:sz w:val="22"/>
    </w:rPr>
  </w:style>
  <w:style w:type="paragraph" w:customStyle="1" w:styleId="TableBodyText">
    <w:name w:val="Table Body Text"/>
    <w:basedOn w:val="BodyText"/>
    <w:rsid w:val="00DD5577"/>
    <w:pPr>
      <w:spacing w:before="60" w:after="60"/>
    </w:pPr>
  </w:style>
  <w:style w:type="paragraph" w:styleId="ListContinue">
    <w:name w:val="List Continue"/>
    <w:basedOn w:val="List"/>
    <w:rsid w:val="00DD5577"/>
    <w:pPr>
      <w:ind w:firstLine="0"/>
    </w:pPr>
  </w:style>
  <w:style w:type="paragraph" w:customStyle="1" w:styleId="ListNote">
    <w:name w:val="List Note"/>
    <w:basedOn w:val="List"/>
    <w:rsid w:val="00DD5577"/>
    <w:pPr>
      <w:pBdr>
        <w:top w:val="single" w:sz="6" w:space="2" w:color="918585"/>
        <w:bottom w:val="single" w:sz="6" w:space="2" w:color="918585"/>
      </w:pBdr>
      <w:tabs>
        <w:tab w:val="left" w:pos="1021"/>
      </w:tabs>
      <w:ind w:firstLine="0"/>
    </w:pPr>
  </w:style>
  <w:style w:type="paragraph" w:customStyle="1" w:styleId="Warning">
    <w:name w:val="Warning"/>
    <w:basedOn w:val="BodyText"/>
    <w:rsid w:val="00DD5577"/>
    <w:pPr>
      <w:shd w:val="clear" w:color="auto" w:fill="D9D9D9"/>
      <w:tabs>
        <w:tab w:val="left" w:pos="992"/>
      </w:tabs>
      <w:ind w:left="119" w:right="119"/>
    </w:pPr>
    <w:rPr>
      <w:sz w:val="20"/>
    </w:rPr>
  </w:style>
  <w:style w:type="paragraph" w:customStyle="1" w:styleId="MarginIcons">
    <w:name w:val="Margin Icons"/>
    <w:basedOn w:val="BodyText"/>
    <w:rsid w:val="00DD55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5577"/>
    <w:rPr>
      <w:rFonts w:ascii="Courier New" w:hAnsi="Courier New"/>
    </w:rPr>
  </w:style>
  <w:style w:type="paragraph" w:customStyle="1" w:styleId="NoteBullet">
    <w:name w:val="Note Bullet"/>
    <w:basedOn w:val="Note"/>
    <w:rsid w:val="00DD5577"/>
    <w:pPr>
      <w:tabs>
        <w:tab w:val="clear" w:pos="680"/>
      </w:tabs>
      <w:spacing w:before="60" w:after="60"/>
    </w:pPr>
  </w:style>
  <w:style w:type="paragraph" w:customStyle="1" w:styleId="SubHeading2">
    <w:name w:val="SubHeading2"/>
    <w:basedOn w:val="HeadingBase"/>
    <w:rsid w:val="00DD5577"/>
    <w:pPr>
      <w:spacing w:before="240" w:after="60"/>
    </w:pPr>
    <w:rPr>
      <w:sz w:val="20"/>
    </w:rPr>
  </w:style>
  <w:style w:type="paragraph" w:customStyle="1" w:styleId="SubHeading1">
    <w:name w:val="SubHeading1"/>
    <w:basedOn w:val="HeadingBase"/>
    <w:rsid w:val="00DD5577"/>
    <w:pPr>
      <w:spacing w:before="240" w:after="60"/>
    </w:pPr>
    <w:rPr>
      <w:color w:val="918585"/>
      <w:sz w:val="22"/>
    </w:rPr>
  </w:style>
  <w:style w:type="paragraph" w:customStyle="1" w:styleId="SideHeading">
    <w:name w:val="Side Heading"/>
    <w:basedOn w:val="HeadingBase"/>
    <w:rsid w:val="00DD55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5577"/>
    <w:pPr>
      <w:tabs>
        <w:tab w:val="num" w:pos="360"/>
      </w:tabs>
    </w:pPr>
  </w:style>
  <w:style w:type="paragraph" w:styleId="PlainText">
    <w:name w:val="Plain Text"/>
    <w:basedOn w:val="Normal"/>
    <w:link w:val="PlainTextChar"/>
    <w:rsid w:val="00DD5577"/>
    <w:rPr>
      <w:sz w:val="20"/>
    </w:rPr>
  </w:style>
  <w:style w:type="character" w:customStyle="1" w:styleId="PlainTextChar">
    <w:name w:val="Plain Text Char"/>
    <w:basedOn w:val="DefaultParagraphFont"/>
    <w:link w:val="PlainText"/>
    <w:rsid w:val="00DD5577"/>
    <w:rPr>
      <w:rFonts w:ascii="Courier New" w:eastAsia="Times New Roman" w:hAnsi="Courier New" w:cs="Times New Roman"/>
      <w:sz w:val="20"/>
      <w:szCs w:val="20"/>
      <w:lang w:eastAsia="en-US"/>
    </w:rPr>
  </w:style>
  <w:style w:type="character" w:customStyle="1" w:styleId="MenuOption">
    <w:name w:val="Menu Option"/>
    <w:basedOn w:val="DefaultParagraphFont"/>
    <w:rsid w:val="00DD5577"/>
    <w:rPr>
      <w:b/>
      <w:smallCaps/>
    </w:rPr>
  </w:style>
  <w:style w:type="paragraph" w:customStyle="1" w:styleId="TableListNumber">
    <w:name w:val="Table List Number"/>
    <w:basedOn w:val="ListNumber"/>
    <w:rsid w:val="00DD5577"/>
    <w:pPr>
      <w:numPr>
        <w:numId w:val="0"/>
      </w:numPr>
    </w:pPr>
  </w:style>
  <w:style w:type="paragraph" w:styleId="TOC4">
    <w:name w:val="toc 4"/>
    <w:basedOn w:val="TOCBase"/>
    <w:next w:val="Normal"/>
    <w:semiHidden/>
    <w:rsid w:val="00DD5577"/>
    <w:pPr>
      <w:tabs>
        <w:tab w:val="right" w:leader="dot" w:pos="9071"/>
      </w:tabs>
      <w:ind w:left="1701"/>
    </w:pPr>
  </w:style>
  <w:style w:type="paragraph" w:customStyle="1" w:styleId="ListAlpha">
    <w:name w:val="List Alpha"/>
    <w:basedOn w:val="List"/>
    <w:rsid w:val="00DD5577"/>
    <w:pPr>
      <w:numPr>
        <w:numId w:val="9"/>
      </w:numPr>
    </w:pPr>
  </w:style>
  <w:style w:type="paragraph" w:customStyle="1" w:styleId="ListAlpha2">
    <w:name w:val="List Alpha 2"/>
    <w:basedOn w:val="List2"/>
    <w:rsid w:val="00DD5577"/>
    <w:pPr>
      <w:numPr>
        <w:numId w:val="8"/>
      </w:numPr>
    </w:pPr>
  </w:style>
  <w:style w:type="paragraph" w:styleId="List2">
    <w:name w:val="List 2"/>
    <w:basedOn w:val="BodyText"/>
    <w:rsid w:val="00DD5577"/>
    <w:pPr>
      <w:tabs>
        <w:tab w:val="left" w:pos="680"/>
      </w:tabs>
      <w:spacing w:before="60" w:after="60"/>
      <w:ind w:left="680" w:hanging="340"/>
    </w:pPr>
  </w:style>
  <w:style w:type="paragraph" w:styleId="List3">
    <w:name w:val="List 3"/>
    <w:basedOn w:val="BodyText"/>
    <w:rsid w:val="00DD5577"/>
    <w:pPr>
      <w:tabs>
        <w:tab w:val="left" w:pos="1021"/>
      </w:tabs>
      <w:spacing w:before="60" w:after="60"/>
      <w:ind w:left="1020" w:hanging="340"/>
    </w:pPr>
  </w:style>
  <w:style w:type="paragraph" w:styleId="List4">
    <w:name w:val="List 4"/>
    <w:basedOn w:val="BodyText"/>
    <w:rsid w:val="00DD5577"/>
    <w:pPr>
      <w:tabs>
        <w:tab w:val="left" w:pos="1361"/>
      </w:tabs>
      <w:spacing w:before="60" w:after="60"/>
      <w:ind w:left="1361" w:hanging="340"/>
    </w:pPr>
  </w:style>
  <w:style w:type="paragraph" w:styleId="List5">
    <w:name w:val="List 5"/>
    <w:basedOn w:val="BodyText"/>
    <w:rsid w:val="00DD5577"/>
    <w:pPr>
      <w:tabs>
        <w:tab w:val="left" w:pos="1701"/>
      </w:tabs>
      <w:spacing w:before="60" w:after="60"/>
      <w:ind w:left="1701" w:hanging="340"/>
    </w:pPr>
  </w:style>
  <w:style w:type="paragraph" w:styleId="ListBullet3">
    <w:name w:val="List Bullet 3"/>
    <w:basedOn w:val="List3"/>
    <w:rsid w:val="00DD5577"/>
    <w:pPr>
      <w:numPr>
        <w:numId w:val="14"/>
      </w:numPr>
      <w:tabs>
        <w:tab w:val="clear" w:pos="1021"/>
      </w:tabs>
      <w:ind w:left="1037" w:hanging="357"/>
    </w:pPr>
  </w:style>
  <w:style w:type="paragraph" w:styleId="ListBullet4">
    <w:name w:val="List Bullet 4"/>
    <w:basedOn w:val="List4"/>
    <w:rsid w:val="00DD5577"/>
    <w:pPr>
      <w:numPr>
        <w:numId w:val="3"/>
      </w:numPr>
      <w:tabs>
        <w:tab w:val="clear" w:pos="1361"/>
      </w:tabs>
    </w:pPr>
  </w:style>
  <w:style w:type="paragraph" w:styleId="ListBullet5">
    <w:name w:val="List Bullet 5"/>
    <w:basedOn w:val="List5"/>
    <w:rsid w:val="00DD5577"/>
    <w:pPr>
      <w:numPr>
        <w:numId w:val="4"/>
      </w:numPr>
    </w:pPr>
  </w:style>
  <w:style w:type="paragraph" w:styleId="ListContinue2">
    <w:name w:val="List Continue 2"/>
    <w:basedOn w:val="List2"/>
    <w:rsid w:val="00DD5577"/>
    <w:pPr>
      <w:ind w:firstLine="0"/>
    </w:pPr>
  </w:style>
  <w:style w:type="paragraph" w:styleId="ListContinue3">
    <w:name w:val="List Continue 3"/>
    <w:basedOn w:val="List3"/>
    <w:rsid w:val="00DD5577"/>
    <w:pPr>
      <w:ind w:left="1021" w:firstLine="0"/>
    </w:pPr>
  </w:style>
  <w:style w:type="paragraph" w:styleId="ListContinue4">
    <w:name w:val="List Continue 4"/>
    <w:basedOn w:val="List4"/>
    <w:rsid w:val="00DD5577"/>
    <w:pPr>
      <w:ind w:firstLine="0"/>
    </w:pPr>
  </w:style>
  <w:style w:type="paragraph" w:styleId="ListContinue5">
    <w:name w:val="List Continue 5"/>
    <w:basedOn w:val="List5"/>
    <w:rsid w:val="00DD5577"/>
    <w:pPr>
      <w:ind w:firstLine="0"/>
    </w:pPr>
  </w:style>
  <w:style w:type="paragraph" w:styleId="ListNumber3">
    <w:name w:val="List Number 3"/>
    <w:basedOn w:val="List3"/>
    <w:rsid w:val="00DD5577"/>
    <w:pPr>
      <w:numPr>
        <w:numId w:val="5"/>
      </w:numPr>
    </w:pPr>
  </w:style>
  <w:style w:type="paragraph" w:styleId="ListNumber4">
    <w:name w:val="List Number 4"/>
    <w:basedOn w:val="List4"/>
    <w:rsid w:val="00DD5577"/>
    <w:pPr>
      <w:numPr>
        <w:numId w:val="6"/>
      </w:numPr>
    </w:pPr>
  </w:style>
  <w:style w:type="paragraph" w:styleId="ListNumber5">
    <w:name w:val="List Number 5"/>
    <w:basedOn w:val="List5"/>
    <w:rsid w:val="00DD5577"/>
    <w:pPr>
      <w:numPr>
        <w:numId w:val="7"/>
      </w:numPr>
    </w:pPr>
  </w:style>
  <w:style w:type="paragraph" w:styleId="BlockText">
    <w:name w:val="Block Text"/>
    <w:basedOn w:val="Normal"/>
    <w:rsid w:val="00DD5577"/>
    <w:pPr>
      <w:spacing w:after="120"/>
      <w:ind w:left="1440" w:right="1440"/>
    </w:pPr>
  </w:style>
  <w:style w:type="character" w:customStyle="1" w:styleId="Subscript">
    <w:name w:val="Subscript"/>
    <w:basedOn w:val="DefaultParagraphFont"/>
    <w:rsid w:val="00DD5577"/>
    <w:rPr>
      <w:sz w:val="16"/>
      <w:vertAlign w:val="subscript"/>
    </w:rPr>
  </w:style>
  <w:style w:type="character" w:customStyle="1" w:styleId="Superscript">
    <w:name w:val="Superscript"/>
    <w:basedOn w:val="DefaultParagraphFont"/>
    <w:rsid w:val="00DD5577"/>
    <w:rPr>
      <w:sz w:val="16"/>
      <w:vertAlign w:val="superscript"/>
    </w:rPr>
  </w:style>
  <w:style w:type="character" w:customStyle="1" w:styleId="Symbols">
    <w:name w:val="Symbols"/>
    <w:basedOn w:val="DefaultParagraphFont"/>
    <w:rsid w:val="00DD5577"/>
    <w:rPr>
      <w:rFonts w:ascii="Symbol" w:hAnsi="Symbol"/>
    </w:rPr>
  </w:style>
  <w:style w:type="character" w:customStyle="1" w:styleId="MenuOptions">
    <w:name w:val="Menu Options"/>
    <w:basedOn w:val="DefaultParagraphFont"/>
    <w:rsid w:val="00DD5577"/>
    <w:rPr>
      <w:rFonts w:ascii="Arial Narrow" w:hAnsi="Arial Narrow"/>
      <w:smallCaps/>
    </w:rPr>
  </w:style>
  <w:style w:type="character" w:customStyle="1" w:styleId="Buttons">
    <w:name w:val="Buttons"/>
    <w:basedOn w:val="DefaultParagraphFont"/>
    <w:rsid w:val="00DD5577"/>
    <w:rPr>
      <w:b/>
    </w:rPr>
  </w:style>
  <w:style w:type="character" w:customStyle="1" w:styleId="Underlined">
    <w:name w:val="Underlined"/>
    <w:basedOn w:val="DefaultParagraphFont"/>
    <w:rsid w:val="00DD5577"/>
    <w:rPr>
      <w:u w:val="single"/>
    </w:rPr>
  </w:style>
  <w:style w:type="paragraph" w:customStyle="1" w:styleId="TableBodyTextRight">
    <w:name w:val="Table Body Text Right"/>
    <w:basedOn w:val="TableBodyText"/>
    <w:rsid w:val="00DD5577"/>
    <w:pPr>
      <w:widowControl w:val="0"/>
      <w:autoSpaceDE w:val="0"/>
      <w:autoSpaceDN w:val="0"/>
      <w:adjustRightInd w:val="0"/>
      <w:jc w:val="right"/>
    </w:pPr>
    <w:rPr>
      <w:rFonts w:cs="Arial"/>
      <w:szCs w:val="18"/>
    </w:rPr>
  </w:style>
  <w:style w:type="paragraph" w:customStyle="1" w:styleId="CopyrightText">
    <w:name w:val="Copyright Text"/>
    <w:basedOn w:val="BodyText"/>
    <w:rsid w:val="00DD5577"/>
    <w:rPr>
      <w:sz w:val="18"/>
    </w:rPr>
  </w:style>
  <w:style w:type="paragraph" w:customStyle="1" w:styleId="BodySmallRight">
    <w:name w:val="Body Small Right"/>
    <w:basedOn w:val="BodyTextRight"/>
    <w:rsid w:val="00DD5577"/>
    <w:rPr>
      <w:sz w:val="18"/>
      <w:szCs w:val="18"/>
    </w:rPr>
  </w:style>
  <w:style w:type="paragraph" w:customStyle="1" w:styleId="MarginEdition">
    <w:name w:val="Margin Edition"/>
    <w:basedOn w:val="MarginNote"/>
    <w:rsid w:val="00DD5577"/>
    <w:pPr>
      <w:spacing w:before="0" w:after="0"/>
    </w:pPr>
    <w:rPr>
      <w:rFonts w:ascii="Times New Roman" w:hAnsi="Times New Roman"/>
      <w:color w:val="999999"/>
    </w:rPr>
  </w:style>
  <w:style w:type="paragraph" w:customStyle="1" w:styleId="Spacer">
    <w:name w:val="Spacer"/>
    <w:basedOn w:val="Normal"/>
    <w:rsid w:val="00DD5577"/>
    <w:rPr>
      <w:sz w:val="2"/>
      <w:szCs w:val="2"/>
    </w:rPr>
  </w:style>
  <w:style w:type="character" w:customStyle="1" w:styleId="Small">
    <w:name w:val="Small"/>
    <w:basedOn w:val="DefaultParagraphFont"/>
    <w:rsid w:val="00DD5577"/>
    <w:rPr>
      <w:sz w:val="16"/>
    </w:rPr>
  </w:style>
  <w:style w:type="paragraph" w:customStyle="1" w:styleId="WideTable">
    <w:name w:val="Wide Table"/>
    <w:basedOn w:val="Normal"/>
    <w:rsid w:val="00DD5577"/>
    <w:pPr>
      <w:ind w:left="-1418"/>
    </w:pPr>
    <w:rPr>
      <w:sz w:val="2"/>
      <w:szCs w:val="2"/>
    </w:rPr>
  </w:style>
  <w:style w:type="character" w:styleId="PageNumber">
    <w:name w:val="page number"/>
    <w:basedOn w:val="DefaultParagraphFont"/>
    <w:rsid w:val="00DD5577"/>
  </w:style>
  <w:style w:type="paragraph" w:styleId="Quote">
    <w:name w:val="Quote"/>
    <w:basedOn w:val="Heading1"/>
    <w:link w:val="QuoteChar"/>
    <w:qFormat/>
    <w:rsid w:val="00DD5577"/>
    <w:rPr>
      <w:b w:val="0"/>
      <w:sz w:val="72"/>
      <w:szCs w:val="72"/>
      <w:lang w:val="en-NZ"/>
    </w:rPr>
  </w:style>
  <w:style w:type="character" w:customStyle="1" w:styleId="QuoteChar">
    <w:name w:val="Quote Char"/>
    <w:basedOn w:val="DefaultParagraphFont"/>
    <w:link w:val="Quote"/>
    <w:rsid w:val="00DD55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5577"/>
    <w:pPr>
      <w:pageBreakBefore/>
    </w:pPr>
  </w:style>
  <w:style w:type="paragraph" w:customStyle="1" w:styleId="Border">
    <w:name w:val="Border"/>
    <w:basedOn w:val="Normal"/>
    <w:qFormat/>
    <w:rsid w:val="00DD55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5577"/>
    <w:rPr>
      <w:b/>
      <w:bCs/>
      <w:i/>
      <w:iCs/>
      <w:color w:val="auto"/>
    </w:rPr>
  </w:style>
  <w:style w:type="paragraph" w:styleId="IntenseQuote">
    <w:name w:val="Intense Quote"/>
    <w:basedOn w:val="Normal"/>
    <w:next w:val="Normal"/>
    <w:link w:val="IntenseQuoteChar"/>
    <w:uiPriority w:val="30"/>
    <w:qFormat/>
    <w:rsid w:val="00DD55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55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5577"/>
    <w:rPr>
      <w:smallCaps/>
      <w:color w:val="auto"/>
      <w:u w:val="single"/>
    </w:rPr>
  </w:style>
  <w:style w:type="character" w:styleId="IntenseReference">
    <w:name w:val="Intense Reference"/>
    <w:basedOn w:val="DefaultParagraphFont"/>
    <w:uiPriority w:val="32"/>
    <w:qFormat/>
    <w:rsid w:val="00DD5577"/>
    <w:rPr>
      <w:b/>
      <w:bCs/>
      <w:smallCaps/>
      <w:color w:val="auto"/>
      <w:spacing w:val="5"/>
      <w:u w:val="single"/>
    </w:rPr>
  </w:style>
  <w:style w:type="paragraph" w:customStyle="1" w:styleId="2ColumnHeading">
    <w:name w:val="2Column Heading"/>
    <w:basedOn w:val="BodyText"/>
    <w:qFormat/>
    <w:rsid w:val="00DD5577"/>
    <w:pPr>
      <w:spacing w:after="60"/>
      <w:ind w:left="-2268"/>
    </w:pPr>
    <w:rPr>
      <w:b/>
    </w:rPr>
  </w:style>
  <w:style w:type="paragraph" w:customStyle="1" w:styleId="Heading1TOC">
    <w:name w:val="Heading1 TOC"/>
    <w:basedOn w:val="Normal"/>
    <w:qFormat/>
    <w:rsid w:val="00DD5577"/>
    <w:pPr>
      <w:spacing w:before="240" w:after="120"/>
    </w:pPr>
    <w:rPr>
      <w:rFonts w:ascii="Times New Roman" w:hAnsi="Times New Roman"/>
      <w:b/>
      <w:sz w:val="32"/>
    </w:rPr>
  </w:style>
  <w:style w:type="paragraph" w:customStyle="1" w:styleId="Heading2TOC">
    <w:name w:val="Heading2 TOC"/>
    <w:basedOn w:val="Normal"/>
    <w:qFormat/>
    <w:rsid w:val="00DD5577"/>
    <w:pPr>
      <w:spacing w:before="240" w:after="60"/>
    </w:pPr>
    <w:rPr>
      <w:rFonts w:ascii="Times New Roman" w:hAnsi="Times New Roman"/>
      <w:b/>
      <w:sz w:val="28"/>
    </w:rPr>
  </w:style>
  <w:style w:type="character" w:customStyle="1" w:styleId="Underline">
    <w:name w:val="Underline"/>
    <w:basedOn w:val="DefaultParagraphFont"/>
    <w:qFormat/>
    <w:rsid w:val="00DD5577"/>
    <w:rPr>
      <w:u w:val="single"/>
    </w:rPr>
  </w:style>
  <w:style w:type="character" w:customStyle="1" w:styleId="BoldandItalics">
    <w:name w:val="Bold and Italics"/>
    <w:qFormat/>
    <w:rsid w:val="00DD5577"/>
    <w:rPr>
      <w:b/>
      <w:i/>
      <w:u w:val="none"/>
    </w:rPr>
  </w:style>
  <w:style w:type="paragraph" w:styleId="BalloonText">
    <w:name w:val="Balloon Text"/>
    <w:basedOn w:val="Normal"/>
    <w:link w:val="BalloonTextChar"/>
    <w:rsid w:val="00DD5577"/>
    <w:rPr>
      <w:rFonts w:ascii="Tahoma" w:hAnsi="Tahoma" w:cs="Tahoma"/>
      <w:sz w:val="16"/>
      <w:szCs w:val="16"/>
    </w:rPr>
  </w:style>
  <w:style w:type="character" w:customStyle="1" w:styleId="BalloonTextChar">
    <w:name w:val="Balloon Text Char"/>
    <w:basedOn w:val="DefaultParagraphFont"/>
    <w:link w:val="BalloonText"/>
    <w:rsid w:val="00DD55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55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55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5577"/>
    <w:rPr>
      <w:b/>
      <w:color w:val="660033"/>
      <w:spacing w:val="0"/>
    </w:rPr>
  </w:style>
  <w:style w:type="paragraph" w:customStyle="1" w:styleId="Nameditemlist">
    <w:name w:val="Named item list"/>
    <w:basedOn w:val="BodyText"/>
    <w:qFormat/>
    <w:rsid w:val="00DD5577"/>
    <w:pPr>
      <w:tabs>
        <w:tab w:val="left" w:pos="2835"/>
      </w:tabs>
      <w:ind w:left="2835" w:hanging="2835"/>
    </w:pPr>
  </w:style>
  <w:style w:type="paragraph" w:customStyle="1" w:styleId="BodyTextnopadding">
    <w:name w:val="Body Text no padding"/>
    <w:basedOn w:val="BodyText"/>
    <w:qFormat/>
    <w:rsid w:val="00DD5577"/>
    <w:pPr>
      <w:spacing w:before="0" w:after="0"/>
    </w:pPr>
  </w:style>
  <w:style w:type="paragraph" w:customStyle="1" w:styleId="BodyTextBold">
    <w:name w:val="Body Text Bold"/>
    <w:basedOn w:val="BodyText"/>
    <w:qFormat/>
    <w:rsid w:val="00DD5577"/>
    <w:rPr>
      <w:b/>
    </w:rPr>
  </w:style>
  <w:style w:type="character" w:styleId="Hyperlink">
    <w:name w:val="Hyperlink"/>
    <w:basedOn w:val="DefaultParagraphFont"/>
    <w:uiPriority w:val="99"/>
    <w:unhideWhenUsed/>
    <w:rsid w:val="00145A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1337</Words>
  <Characters>8082</Characters>
  <Application>Microsoft Office Word</Application>
  <DocSecurity>0</DocSecurity>
  <Lines>252</Lines>
  <Paragraphs>162</Paragraphs>
  <ScaleCrop>false</ScaleCrop>
  <Company>Author-it Software Corporation Ltd.</Company>
  <LinksUpToDate>false</LinksUpToDate>
  <CharactersWithSpaces>9257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MARA017 Maintain seaworthiness of the ship (ship stability)</dc:title>
  <dc:subject>Approved</dc:subject>
  <dc:creator>Industry Skills Australia</dc:creator>
  <cp:keywords>Release: 2</cp:keywords>
  <dc:description>Review Date: 12 April 2008</dc:description>
  <cp:lastModifiedBy>HSD_TPCMSd.prod</cp:lastModifiedBy>
  <cp:revision>3</cp:revision>
  <dcterms:created xsi:type="dcterms:W3CDTF">2025-03-01T10:09:00Z</dcterms:created>
  <dcterms:modified xsi:type="dcterms:W3CDTF">2025-03-01T10:10:00Z</dcterms:modified>
</cp:coreProperties>
</file>