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693" w:rsidP="00660693">
      <w:pPr>
        <w:pStyle w:val="Title"/>
      </w:pPr>
      <w:r>
        <w:fldChar w:fldCharType="begin"/>
      </w:r>
      <w:r>
        <w:instrText xml:space="preserve"> TITLE   \* MERGEFORMAT </w:instrText>
      </w:r>
      <w:r>
        <w:fldChar w:fldCharType="separate"/>
      </w:r>
      <w:r>
        <w:t>MARA016 Contribute to safe cargo operations on offshore support vessels</w:t>
      </w:r>
      <w:r>
        <w:fldChar w:fldCharType="end"/>
      </w:r>
    </w:p>
    <w:p w:rsidR="00660693" w:rsidP="00660693">
      <w:pPr>
        <w:pStyle w:val="Version"/>
        <w:sectPr w:rsidSect="00130A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AD6" w:rsidP="00130AD6">
      <w:pPr>
        <w:pStyle w:val="SuperHeading"/>
      </w:pPr>
      <w:r w:rsidRPr="00130AD6">
        <w:t>MARA016 Contribute to safe cargo operations on offshore support vessels</w:t>
      </w:r>
    </w:p>
    <w:p w:rsidR="00000000" w:rsidRPr="00130AD6" w:rsidP="00130AD6">
      <w:pPr>
        <w:pStyle w:val="Heading1"/>
      </w:pPr>
      <w:bookmarkStart w:id="1" w:name="O_1085724"/>
      <w:bookmarkEnd w:id="1"/>
      <w:r w:rsidRPr="00130AD6">
        <w:t>Modification History</w:t>
      </w:r>
    </w:p>
    <w:tbl>
      <w:tblPr>
        <w:tblW w:w="9497" w:type="dxa"/>
        <w:tblLayout w:type="fixed"/>
        <w:tblCellMar>
          <w:left w:w="62" w:type="dxa"/>
          <w:right w:w="62" w:type="dxa"/>
        </w:tblCellMar>
        <w:tblLook w:val="0000"/>
      </w:tblPr>
      <w:tblGrid>
        <w:gridCol w:w="9497"/>
      </w:tblGrid>
      <w:tr w:rsidTr="00130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t>Release 1. This is the first release of this unit of competency in the MAR Maritime Training Package.</w:t>
            </w:r>
          </w:p>
        </w:tc>
      </w:tr>
    </w:tbl>
    <w:p w:rsidR="00000000" w:rsidRPr="00130AD6" w:rsidP="00130AD6">
      <w:pPr>
        <w:pStyle w:val="NoPaddingFontSize1"/>
      </w:pPr>
    </w:p>
    <w:p w:rsidR="00000000" w:rsidRPr="00130AD6" w:rsidP="00130AD6">
      <w:pPr>
        <w:pStyle w:val="AllowPageBreak"/>
      </w:pPr>
    </w:p>
    <w:p w:rsidR="00000000" w:rsidRPr="00130AD6" w:rsidP="00130AD6">
      <w:pPr>
        <w:pStyle w:val="Heading1"/>
      </w:pPr>
      <w:bookmarkStart w:id="2" w:name="O_1085725"/>
      <w:bookmarkEnd w:id="2"/>
      <w:r w:rsidRPr="00130AD6">
        <w:t>Application</w:t>
      </w:r>
    </w:p>
    <w:tbl>
      <w:tblPr>
        <w:tblW w:w="9497" w:type="dxa"/>
        <w:tblLayout w:type="fixed"/>
        <w:tblCellMar>
          <w:left w:w="62" w:type="dxa"/>
          <w:right w:w="62" w:type="dxa"/>
        </w:tblCellMar>
        <w:tblLook w:val="0000"/>
      </w:tblPr>
      <w:tblGrid>
        <w:gridCol w:w="9497"/>
      </w:tblGrid>
      <w:tr w:rsidTr="00130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t>This unit involves the skills and knowledge required to undertake a range of offshore activities on board an offshore support vessel (OSV).</w:t>
            </w:r>
          </w:p>
          <w:p w:rsidR="00000000" w:rsidRPr="00130AD6" w:rsidP="00130AD6">
            <w:pPr>
              <w:pStyle w:val="BodyText"/>
            </w:pPr>
            <w:r w:rsidRPr="00130AD6">
              <w:t>It includes deck preparation, transfer of deck cargoes, bulk cargo operations and operations with deck equipment wit</w:t>
            </w:r>
            <w:r w:rsidRPr="00130AD6">
              <w:t>hin the limits of responsibility of an Integrated Rating and under the direction of the officer in charge or Master.</w:t>
            </w:r>
          </w:p>
          <w:p w:rsidR="00000000" w:rsidRPr="00130AD6" w:rsidP="00130AD6">
            <w:pPr>
              <w:pStyle w:val="BodyText"/>
            </w:pPr>
            <w:r w:rsidRPr="00130AD6">
              <w:t>This unit applies to people working in the maritime industry assigned to specific activities and responsibilities in the capacity of:</w:t>
            </w:r>
          </w:p>
          <w:p w:rsidR="00000000" w:rsidRPr="00130AD6" w:rsidP="00130AD6">
            <w:pPr>
              <w:pStyle w:val="ListBullet"/>
            </w:pPr>
            <w:r w:rsidRPr="00130AD6">
              <w:t>Inte</w:t>
            </w:r>
            <w:r w:rsidRPr="00130AD6">
              <w:t>grated Rating working offshore.</w:t>
            </w:r>
          </w:p>
          <w:p w:rsidR="00000000" w:rsidRPr="00130AD6" w:rsidP="00130AD6">
            <w:pPr>
              <w:pStyle w:val="BodyText"/>
            </w:pPr>
            <w:r w:rsidRPr="00130AD6">
              <w:rPr>
                <w:rStyle w:val="SpecialBold"/>
              </w:rPr>
              <w:t>Licensing/Regulatory Information</w:t>
            </w:r>
          </w:p>
          <w:p w:rsidR="00000000" w:rsidRPr="00130AD6" w:rsidP="00130AD6">
            <w:pPr>
              <w:pStyle w:val="BodyText"/>
            </w:pPr>
            <w:r w:rsidRPr="00130AD6">
              <w:t xml:space="preserve">Legislative and regulatory requirements are applicable to this unit.  </w:t>
            </w:r>
          </w:p>
          <w:p w:rsidR="00000000" w:rsidRPr="00130AD6" w:rsidP="00130AD6">
            <w:pPr>
              <w:pStyle w:val="ListBullet"/>
            </w:pPr>
            <w:r w:rsidRPr="00130AD6">
              <w:t>This unit is one of the requirements to obtain Australian Maritime Safety Authority (AMSA) certification as an Integrat</w:t>
            </w:r>
            <w:r w:rsidRPr="00130AD6">
              <w:t>ed Rating working offshore and to meet regulatory requirements this unit must be delivered consistent with Marine Orders and with the relevant sections of the International Convention on Standards of Training, Certification and Watchkeeping for Seafarers (</w:t>
            </w:r>
            <w:r w:rsidRPr="00130AD6">
              <w:t>STCW).</w:t>
            </w:r>
          </w:p>
          <w:p w:rsidR="00000000" w:rsidRPr="00130AD6" w:rsidP="00130AD6">
            <w:pPr>
              <w:pStyle w:val="BodyText"/>
            </w:pPr>
          </w:p>
          <w:p w:rsidR="00000000" w:rsidRPr="00130AD6" w:rsidP="00130AD6">
            <w:pPr>
              <w:pStyle w:val="ListBullet"/>
            </w:pPr>
            <w:r w:rsidRPr="00130AD6">
              <w:t>Those regulatory requirements include STCW International Maritime Organization (IMO) model course competencies and areas of knowledge, understanding and proficiency, together with the estimated total hours requ</w:t>
            </w:r>
            <w:r w:rsidRPr="00130AD6">
              <w:t>ired for lectures and practical exercises. Teaching staff should note that timings are suggestions only and should be adapted to suit individual groups of trainees depending on their experience, ability, equipment and staff available for training.</w:t>
            </w:r>
          </w:p>
          <w:p w:rsidR="00000000" w:rsidRPr="00130AD6" w:rsidP="00130AD6">
            <w:pPr>
              <w:pStyle w:val="BodyText"/>
            </w:pPr>
          </w:p>
        </w:tc>
      </w:tr>
    </w:tbl>
    <w:p w:rsidR="00660693" w:rsidP="00130AD6">
      <w:pPr>
        <w:pStyle w:val="NoPaddingFontSize1"/>
      </w:pPr>
    </w:p>
    <w:p w:rsidR="00660693" w:rsidP="00130AD6">
      <w:pPr>
        <w:pStyle w:val="NoPaddingFontSize1"/>
      </w:pPr>
    </w:p>
    <w:p w:rsidR="00000000" w:rsidRPr="00130AD6" w:rsidP="00130AD6">
      <w:pPr>
        <w:pStyle w:val="Heading1"/>
      </w:pPr>
      <w:bookmarkStart w:id="3" w:name="O_1085726"/>
      <w:bookmarkEnd w:id="3"/>
      <w:r w:rsidRPr="00130AD6">
        <w:t>Pre-requisite Unit</w:t>
      </w:r>
    </w:p>
    <w:tbl>
      <w:tblPr>
        <w:tblW w:w="9497" w:type="dxa"/>
        <w:tblLayout w:type="fixed"/>
        <w:tblCellMar>
          <w:left w:w="62" w:type="dxa"/>
          <w:right w:w="62" w:type="dxa"/>
        </w:tblCellMar>
        <w:tblLook w:val="0000"/>
      </w:tblPr>
      <w:tblGrid>
        <w:gridCol w:w="9497"/>
      </w:tblGrid>
      <w:tr w:rsidTr="00130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t>Not applicable.</w:t>
            </w:r>
          </w:p>
        </w:tc>
      </w:tr>
    </w:tbl>
    <w:p w:rsidR="00660693" w:rsidP="00130AD6">
      <w:pPr>
        <w:pStyle w:val="NoPaddingFontSize1"/>
      </w:pPr>
    </w:p>
    <w:p w:rsidR="00660693" w:rsidP="00130AD6">
      <w:pPr>
        <w:pStyle w:val="NoPaddingFontSize1"/>
      </w:pPr>
    </w:p>
    <w:p w:rsidR="00000000" w:rsidRPr="00130AD6" w:rsidP="00130AD6">
      <w:pPr>
        <w:pStyle w:val="Heading1"/>
      </w:pPr>
      <w:bookmarkStart w:id="4" w:name="O_1085727"/>
      <w:bookmarkEnd w:id="4"/>
      <w:r w:rsidRPr="00130AD6">
        <w:t>Competency Field</w:t>
      </w:r>
    </w:p>
    <w:tbl>
      <w:tblPr>
        <w:tblW w:w="9497" w:type="dxa"/>
        <w:tblLayout w:type="fixed"/>
        <w:tblCellMar>
          <w:left w:w="62" w:type="dxa"/>
          <w:right w:w="62" w:type="dxa"/>
        </w:tblCellMar>
        <w:tblLook w:val="0000"/>
      </w:tblPr>
      <w:tblGrid>
        <w:gridCol w:w="9497"/>
      </w:tblGrid>
      <w:tr w:rsidTr="00130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t>A – Handling Cargo and Vessel Stability</w:t>
            </w:r>
          </w:p>
        </w:tc>
      </w:tr>
    </w:tbl>
    <w:p w:rsidR="00660693" w:rsidP="00130AD6">
      <w:pPr>
        <w:pStyle w:val="NoPaddingFontSize1"/>
      </w:pPr>
    </w:p>
    <w:p w:rsidR="00660693" w:rsidP="00130AD6">
      <w:pPr>
        <w:pStyle w:val="NoPaddingFontSize1"/>
      </w:pPr>
    </w:p>
    <w:p w:rsidR="00000000" w:rsidRPr="00130AD6" w:rsidP="00130AD6">
      <w:pPr>
        <w:pStyle w:val="Heading1"/>
      </w:pPr>
      <w:bookmarkStart w:id="5" w:name="O_1085728"/>
      <w:bookmarkEnd w:id="5"/>
      <w:r w:rsidRPr="00130AD6">
        <w:t>Unit Sector</w:t>
      </w:r>
    </w:p>
    <w:tbl>
      <w:tblPr>
        <w:tblW w:w="9497" w:type="dxa"/>
        <w:tblLayout w:type="fixed"/>
        <w:tblCellMar>
          <w:left w:w="62" w:type="dxa"/>
          <w:right w:w="62" w:type="dxa"/>
        </w:tblCellMar>
        <w:tblLook w:val="0000"/>
      </w:tblPr>
      <w:tblGrid>
        <w:gridCol w:w="9497"/>
      </w:tblGrid>
      <w:tr w:rsidTr="00130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t>Not applicable.</w:t>
            </w:r>
          </w:p>
        </w:tc>
      </w:tr>
    </w:tbl>
    <w:p w:rsidR="00660693" w:rsidP="00130AD6">
      <w:pPr>
        <w:pStyle w:val="NoPaddingFontSize1"/>
      </w:pPr>
    </w:p>
    <w:p w:rsidR="00660693" w:rsidP="00130AD6">
      <w:pPr>
        <w:pStyle w:val="NoPaddingFontSize1"/>
      </w:pPr>
    </w:p>
    <w:p w:rsidR="00000000" w:rsidRPr="00130AD6" w:rsidP="00130AD6">
      <w:pPr>
        <w:pStyle w:val="Heading1"/>
      </w:pPr>
      <w:bookmarkStart w:id="6" w:name="O_1085729"/>
      <w:bookmarkEnd w:id="6"/>
      <w:r w:rsidRPr="00130AD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30A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PERFORMANCE CRITERIA</w:t>
            </w:r>
          </w:p>
        </w:tc>
      </w:tr>
      <w:tr w:rsidTr="00130A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Performance criteria describe the performance needed to demonstrate achievement of the element.</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rPr>
                <w:rStyle w:val="SpecialBold"/>
              </w:rPr>
              <w:t>Recognise characteristics of OSV cargo and OSVs to ensure the safe transfer and transport of cargo</w:t>
            </w: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Features of various offshore installation types, vessels rig types and operations are outlined</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Cargo operations of OSVs are identified</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Properties of cargo being transported are identified and their impact on safety, the environment and vessel operations is recognised</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Hazards associated with the transport of cargo are clarified according to emergency response documentation</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Ha</w:t>
            </w:r>
            <w:r w:rsidRPr="00130AD6">
              <w:t>zard controls associated with OSV cargo are employed according to organisational procedures</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rPr>
                <w:rStyle w:val="SpecialBold"/>
              </w:rPr>
              <w:t>Comply with legislative and organisational requirements for safe transfer and transport of OSV cargo</w:t>
            </w: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Safety data sheets (SDS)/material safety data sheets (MS</w:t>
            </w:r>
            <w:r w:rsidRPr="00130AD6">
              <w:t>DS)/International Maritime Dangerous Goods (IMDG) Code relevant to cargo are accessed and safety management procedures are identified</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SDS/MSDS/IMDG Code are interpreted to identify relevant cargo-related hazards to the vessel and to personnel</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Legislative, organisational and company-specific requirements are interpreted to identify appropriate actions for safe transfer and transport of cargo</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Transfer of cargo is undertaken under direction and within the limits of responsibility of an Integrated Rating</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rPr>
                <w:rStyle w:val="SpecialBold"/>
              </w:rPr>
              <w:t>Take precautions to prevent hazards</w:t>
            </w: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Organisational policies and procedures to minimise hazards are identified</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Type and severity of</w:t>
            </w:r>
            <w:r w:rsidRPr="00130AD6">
              <w:t xml:space="preserve"> hazards posed by OSV cargo is recognised</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Transfer and transport of cargo is monitored to prevent hazards</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Monitoring equipment, where installed, is regularly inspected and used according to organisational procedures</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rPr>
                <w:rStyle w:val="SpecialBold"/>
              </w:rPr>
              <w:t>Respond to hazardous situation</w:t>
            </w: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Source of hazard is identified according to organisational procedures</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Risk is assessed considering severity and likelihood of consequences</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Control measures to minimise risk are implemented to level of responsibility or referred to appropriate person for permission or further action</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Containment procedures are applied where appropriate</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Appropriate safety procedures are followed an</w:t>
            </w:r>
            <w:r w:rsidRPr="00130AD6">
              <w:t>d personal protective equipment (PPE) is used according to organisational procedures</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Risk is eliminated where possible</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rPr>
                <w:rStyle w:val="SpecialBold"/>
              </w:rPr>
              <w:t>Take precautions to prevent pollution of the environment from the release of liquid or dry bulk cargo</w:t>
            </w: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Procedures to prevent pollution are identified and observed at all times</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Measures to prevent pollution during normal and emergency situations are applied according to regulatory requirements and organisational procedures</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t>All relevant informat</w:t>
            </w:r>
            <w:r w:rsidRPr="00130AD6">
              <w:t>ion is immediately reported to appropriate persons when a spill is detected or a malfunction has occurred that poses a risk of a spill</w:t>
            </w:r>
          </w:p>
        </w:tc>
      </w:tr>
      <w:tr w:rsidTr="00130A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A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AD6">
            <w:pPr>
              <w:pStyle w:val="BodyText"/>
              <w:rPr>
                <w:lang w:val="en-NZ"/>
              </w:rPr>
            </w:pPr>
            <w:r w:rsidRPr="00130AD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t>All required spill containment procedures are correctly implemented according to regulatory requirements and organ</w:t>
            </w:r>
            <w:r w:rsidRPr="00130AD6">
              <w:t>isational procedures</w:t>
            </w:r>
          </w:p>
        </w:tc>
      </w:tr>
    </w:tbl>
    <w:p w:rsidR="00660693" w:rsidP="00130AD6">
      <w:pPr>
        <w:pStyle w:val="NoPaddingFontSize1"/>
      </w:pPr>
    </w:p>
    <w:p w:rsidR="00660693" w:rsidP="00130AD6">
      <w:pPr>
        <w:pStyle w:val="NoPaddingFontSize1"/>
      </w:pPr>
    </w:p>
    <w:p w:rsidR="00000000" w:rsidRPr="00130AD6" w:rsidP="00130AD6">
      <w:pPr>
        <w:pStyle w:val="Heading1"/>
      </w:pPr>
      <w:bookmarkStart w:id="7" w:name="O_1085730"/>
      <w:bookmarkEnd w:id="7"/>
      <w:r w:rsidRPr="00130AD6">
        <w:t>Foundation Skills</w:t>
      </w:r>
    </w:p>
    <w:tbl>
      <w:tblPr>
        <w:tblW w:w="9497" w:type="dxa"/>
        <w:tblLayout w:type="fixed"/>
        <w:tblCellMar>
          <w:left w:w="62" w:type="dxa"/>
          <w:right w:w="62" w:type="dxa"/>
        </w:tblCellMar>
        <w:tblLook w:val="0000"/>
      </w:tblPr>
      <w:tblGrid>
        <w:gridCol w:w="9497"/>
      </w:tblGrid>
      <w:tr w:rsidTr="00130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t>Foundation skills essential to performance are explicit in the performance criteria of this unit of competency.</w:t>
            </w:r>
          </w:p>
        </w:tc>
      </w:tr>
    </w:tbl>
    <w:p w:rsidR="00660693" w:rsidP="00130AD6">
      <w:pPr>
        <w:pStyle w:val="NoPaddingFontSize1"/>
      </w:pPr>
    </w:p>
    <w:p w:rsidR="00660693" w:rsidP="00130AD6">
      <w:pPr>
        <w:pStyle w:val="NoPaddingFontSize1"/>
      </w:pPr>
    </w:p>
    <w:p w:rsidR="00000000" w:rsidRPr="00130AD6" w:rsidP="00130AD6">
      <w:pPr>
        <w:pStyle w:val="Heading1"/>
      </w:pPr>
      <w:bookmarkStart w:id="8" w:name="O_1085731"/>
      <w:bookmarkEnd w:id="8"/>
      <w:r w:rsidRPr="00130AD6">
        <w:t>Range of Conditions</w:t>
      </w:r>
    </w:p>
    <w:tbl>
      <w:tblPr>
        <w:tblW w:w="9497" w:type="dxa"/>
        <w:tblLayout w:type="fixed"/>
        <w:tblCellMar>
          <w:left w:w="62" w:type="dxa"/>
          <w:right w:w="62" w:type="dxa"/>
        </w:tblCellMar>
        <w:tblLook w:val="0000"/>
      </w:tblPr>
      <w:tblGrid>
        <w:gridCol w:w="9497"/>
      </w:tblGrid>
      <w:tr w:rsidTr="00130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t>Range is restricted to essential operating conditions and any other variables essential to the work environment.</w:t>
            </w:r>
          </w:p>
        </w:tc>
      </w:tr>
    </w:tbl>
    <w:p w:rsidR="00660693" w:rsidP="00130AD6">
      <w:pPr>
        <w:pStyle w:val="NoPaddingFontSize1"/>
      </w:pPr>
    </w:p>
    <w:p w:rsidR="00660693" w:rsidP="00130AD6">
      <w:pPr>
        <w:pStyle w:val="NoPaddingFontSize1"/>
      </w:pPr>
    </w:p>
    <w:p w:rsidR="00000000" w:rsidRPr="00130AD6" w:rsidP="00130AD6">
      <w:pPr>
        <w:pStyle w:val="Heading1"/>
      </w:pPr>
      <w:bookmarkStart w:id="9" w:name="O_1085732"/>
      <w:bookmarkEnd w:id="9"/>
      <w:r w:rsidRPr="00130AD6">
        <w:t>Unit Mapping Information</w:t>
      </w:r>
    </w:p>
    <w:tbl>
      <w:tblPr>
        <w:tblW w:w="9497" w:type="dxa"/>
        <w:tblLayout w:type="fixed"/>
        <w:tblCellMar>
          <w:left w:w="62" w:type="dxa"/>
          <w:right w:w="62" w:type="dxa"/>
        </w:tblCellMar>
        <w:tblLook w:val="0000"/>
      </w:tblPr>
      <w:tblGrid>
        <w:gridCol w:w="9497"/>
      </w:tblGrid>
      <w:tr w:rsidTr="00130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AD6" w:rsidP="00130AD6">
            <w:pPr>
              <w:pStyle w:val="BodyText"/>
            </w:pPr>
            <w:r w:rsidRPr="00130AD6">
              <w:t xml:space="preserve">This unit replaces and is equivalent to MARA007 Contribute to safe cargo operations on offshore </w:t>
            </w:r>
            <w:r w:rsidRPr="00130AD6">
              <w:t>support vessels</w:t>
            </w:r>
          </w:p>
        </w:tc>
      </w:tr>
    </w:tbl>
    <w:p w:rsidR="00660693" w:rsidP="00130AD6">
      <w:pPr>
        <w:pStyle w:val="NoPaddingFontSize1"/>
      </w:pPr>
    </w:p>
    <w:p w:rsidR="00660693" w:rsidP="00130AD6">
      <w:pPr>
        <w:pStyle w:val="NoPaddingFontSize1"/>
      </w:pPr>
    </w:p>
    <w:p w:rsidR="00000000" w:rsidRPr="00130AD6" w:rsidP="00130AD6">
      <w:pPr>
        <w:pStyle w:val="Heading1"/>
      </w:pPr>
      <w:bookmarkStart w:id="10" w:name="O_1085739"/>
      <w:bookmarkEnd w:id="10"/>
      <w:r w:rsidRPr="00130AD6">
        <w:t>Links</w:t>
      </w:r>
    </w:p>
    <w:p w:rsidR="00000000" w:rsidRPr="00130AD6" w:rsidP="00660693">
      <w:pPr>
        <w:pStyle w:val="BodyText"/>
      </w:pPr>
      <w:r w:rsidRPr="00130AD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422A6">
        <w:rPr>
          <w:rStyle w:val="Hyperlink"/>
        </w:rPr>
        <w:t>https://vetnet.gov.au/Pages/TrainingDocs.aspx?q=772efb7b-4cce-47fe-9bbd-ee3b1d1eb4c2</w:t>
      </w:r>
      <w:r>
        <w:fldChar w:fldCharType="end"/>
      </w:r>
    </w:p>
    <w:p w:rsidR="00000000" w:rsidRPr="00130AD6" w:rsidP="00130AD6"/>
    <w:sectPr w:rsidSect="00130A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AD6" w:rsidRPr="00660693" w:rsidP="00660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93" w:rsidP="00130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0693" w:rsidP="00130AD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60693" w:rsidP="00130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AD6" w:rsidRPr="00660693" w:rsidP="006606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93" w:rsidRPr="002D2AF8" w:rsidP="00130AD6">
    <w:pPr>
      <w:pStyle w:val="Header"/>
      <w:framePr w:wrap="around"/>
    </w:pPr>
    <w:r>
      <w:fldChar w:fldCharType="begin"/>
    </w:r>
    <w:r>
      <w:instrText xml:space="preserve"> TITLE   \* MERGEFORMAT </w:instrText>
    </w:r>
    <w:r>
      <w:fldChar w:fldCharType="separate"/>
    </w:r>
    <w:r>
      <w:t>MARA016 Contribute to safe cargo operations on offshore support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60693" w:rsidP="00130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6A8D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0E6E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AD6"/>
    <w:pPr>
      <w:spacing w:before="360" w:after="60"/>
      <w:outlineLvl w:val="0"/>
    </w:pPr>
    <w:rPr>
      <w:sz w:val="32"/>
    </w:rPr>
  </w:style>
  <w:style w:type="paragraph" w:styleId="Heading2">
    <w:name w:val="heading 2"/>
    <w:basedOn w:val="HeadingBase"/>
    <w:next w:val="BodyText"/>
    <w:link w:val="Heading2Char"/>
    <w:qFormat/>
    <w:rsid w:val="00130AD6"/>
    <w:pPr>
      <w:keepLines/>
      <w:spacing w:before="240" w:after="120"/>
      <w:outlineLvl w:val="1"/>
    </w:pPr>
    <w:rPr>
      <w:sz w:val="28"/>
      <w:szCs w:val="40"/>
    </w:rPr>
  </w:style>
  <w:style w:type="paragraph" w:styleId="Heading3">
    <w:name w:val="heading 3"/>
    <w:basedOn w:val="HeadingBase"/>
    <w:next w:val="BodyText"/>
    <w:link w:val="Heading3Char"/>
    <w:qFormat/>
    <w:rsid w:val="00130AD6"/>
    <w:pPr>
      <w:spacing w:before="180" w:after="120"/>
      <w:outlineLvl w:val="2"/>
    </w:pPr>
    <w:rPr>
      <w:spacing w:val="-10"/>
      <w:kern w:val="32"/>
    </w:rPr>
  </w:style>
  <w:style w:type="paragraph" w:styleId="Heading4">
    <w:name w:val="heading 4"/>
    <w:basedOn w:val="HeadingBase"/>
    <w:next w:val="BodyText"/>
    <w:link w:val="Heading4Char"/>
    <w:qFormat/>
    <w:rsid w:val="00130AD6"/>
    <w:pPr>
      <w:spacing w:before="160" w:after="120"/>
      <w:outlineLvl w:val="3"/>
    </w:pPr>
    <w:rPr>
      <w:sz w:val="22"/>
    </w:rPr>
  </w:style>
  <w:style w:type="paragraph" w:styleId="Heading5">
    <w:name w:val="heading 5"/>
    <w:basedOn w:val="HeadingBase"/>
    <w:next w:val="Normal"/>
    <w:link w:val="Heading5Char"/>
    <w:qFormat/>
    <w:rsid w:val="00130AD6"/>
    <w:pPr>
      <w:spacing w:before="80"/>
      <w:outlineLvl w:val="4"/>
    </w:pPr>
    <w:rPr>
      <w:color w:val="918585"/>
      <w:sz w:val="20"/>
    </w:rPr>
  </w:style>
  <w:style w:type="paragraph" w:styleId="Heading6">
    <w:name w:val="heading 6"/>
    <w:basedOn w:val="HeadingBase"/>
    <w:next w:val="Normal"/>
    <w:link w:val="Heading6Char"/>
    <w:qFormat/>
    <w:rsid w:val="00130AD6"/>
    <w:pPr>
      <w:spacing w:before="60"/>
      <w:outlineLvl w:val="5"/>
    </w:pPr>
    <w:rPr>
      <w:color w:val="918585"/>
      <w:sz w:val="20"/>
    </w:rPr>
  </w:style>
  <w:style w:type="paragraph" w:styleId="Heading7">
    <w:name w:val="heading 7"/>
    <w:basedOn w:val="Normal"/>
    <w:next w:val="Normal"/>
    <w:link w:val="Heading7Char"/>
    <w:qFormat/>
    <w:rsid w:val="00130AD6"/>
    <w:pPr>
      <w:ind w:left="720"/>
      <w:outlineLvl w:val="6"/>
    </w:pPr>
    <w:rPr>
      <w:i/>
    </w:rPr>
  </w:style>
  <w:style w:type="paragraph" w:styleId="Heading8">
    <w:name w:val="heading 8"/>
    <w:basedOn w:val="Normal"/>
    <w:next w:val="Normal"/>
    <w:link w:val="Heading8Char"/>
    <w:qFormat/>
    <w:rsid w:val="00130AD6"/>
    <w:pPr>
      <w:ind w:left="720"/>
      <w:outlineLvl w:val="7"/>
    </w:pPr>
    <w:rPr>
      <w:i/>
    </w:rPr>
  </w:style>
  <w:style w:type="paragraph" w:styleId="Heading9">
    <w:name w:val="heading 9"/>
    <w:basedOn w:val="Normal"/>
    <w:next w:val="Normal"/>
    <w:link w:val="Heading9Char"/>
    <w:qFormat/>
    <w:rsid w:val="00130AD6"/>
    <w:pPr>
      <w:ind w:left="720"/>
      <w:outlineLvl w:val="8"/>
    </w:pPr>
    <w:rPr>
      <w:i/>
    </w:rPr>
  </w:style>
  <w:style w:type="character" w:default="1" w:styleId="DefaultParagraphFont">
    <w:name w:val="Default Paragraph Font"/>
    <w:uiPriority w:val="1"/>
    <w:unhideWhenUsed/>
    <w:rsid w:val="00130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AD6"/>
  </w:style>
  <w:style w:type="character" w:customStyle="1" w:styleId="Heading1Char">
    <w:name w:val="Heading 1 Char"/>
    <w:basedOn w:val="DefaultParagraphFont"/>
    <w:link w:val="Heading1"/>
    <w:rsid w:val="00130AD6"/>
    <w:rPr>
      <w:rFonts w:ascii="Times New Roman" w:eastAsia="Times New Roman" w:hAnsi="Times New Roman" w:cs="Times New Roman"/>
      <w:b/>
      <w:sz w:val="32"/>
      <w:szCs w:val="20"/>
      <w:lang w:eastAsia="en-US"/>
    </w:rPr>
  </w:style>
  <w:style w:type="paragraph" w:styleId="BodyText">
    <w:name w:val="Body Text"/>
    <w:basedOn w:val="Normal"/>
    <w:link w:val="BodyTextChar"/>
    <w:rsid w:val="00130A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AD6"/>
    <w:rPr>
      <w:rFonts w:ascii="Times New Roman" w:eastAsia="Times New Roman" w:hAnsi="Times New Roman" w:cs="Times New Roman"/>
      <w:sz w:val="24"/>
      <w:lang w:eastAsia="en-US"/>
    </w:rPr>
  </w:style>
  <w:style w:type="paragraph" w:styleId="ListBullet">
    <w:name w:val="List Bullet"/>
    <w:basedOn w:val="List"/>
    <w:rsid w:val="00130AD6"/>
    <w:pPr>
      <w:numPr>
        <w:numId w:val="11"/>
      </w:numPr>
      <w:tabs>
        <w:tab w:val="clear" w:pos="340"/>
      </w:tabs>
      <w:spacing w:before="40" w:after="40"/>
    </w:pPr>
  </w:style>
  <w:style w:type="character" w:customStyle="1" w:styleId="SpecialBold">
    <w:name w:val="Special Bold"/>
    <w:basedOn w:val="DefaultParagraphFont"/>
    <w:rsid w:val="00130AD6"/>
    <w:rPr>
      <w:b/>
      <w:spacing w:val="0"/>
    </w:rPr>
  </w:style>
  <w:style w:type="paragraph" w:customStyle="1" w:styleId="SuperHeading">
    <w:name w:val="SuperHeading"/>
    <w:basedOn w:val="Normal"/>
    <w:rsid w:val="00130AD6"/>
    <w:pPr>
      <w:spacing w:before="240" w:after="120"/>
      <w:outlineLvl w:val="0"/>
    </w:pPr>
    <w:rPr>
      <w:rFonts w:ascii="Times New Roman" w:hAnsi="Times New Roman"/>
      <w:b/>
      <w:sz w:val="32"/>
    </w:rPr>
  </w:style>
  <w:style w:type="paragraph" w:customStyle="1" w:styleId="AllowPageBreak">
    <w:name w:val="AllowPageBreak"/>
    <w:rsid w:val="00130A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0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AD6"/>
    <w:rPr>
      <w:rFonts w:ascii="Courier New" w:eastAsia="Times New Roman" w:hAnsi="Courier New" w:cs="Times New Roman"/>
      <w:i/>
      <w:szCs w:val="20"/>
      <w:lang w:eastAsia="en-US"/>
    </w:rPr>
  </w:style>
  <w:style w:type="paragraph" w:customStyle="1" w:styleId="HeadingBase">
    <w:name w:val="Heading Base"/>
    <w:rsid w:val="00130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AD6"/>
    <w:pPr>
      <w:tabs>
        <w:tab w:val="right" w:leader="dot" w:pos="9072"/>
      </w:tabs>
      <w:ind w:left="567"/>
    </w:pPr>
    <w:rPr>
      <w:szCs w:val="22"/>
    </w:rPr>
  </w:style>
  <w:style w:type="paragraph" w:customStyle="1" w:styleId="TOCBase">
    <w:name w:val="TOC Base"/>
    <w:rsid w:val="00130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AD6"/>
    <w:pPr>
      <w:tabs>
        <w:tab w:val="right" w:leader="dot" w:pos="9072"/>
      </w:tabs>
      <w:spacing w:before="40" w:after="40"/>
      <w:ind w:left="284"/>
    </w:pPr>
    <w:rPr>
      <w:rFonts w:ascii="Times New Roman" w:hAnsi="Times New Roman"/>
    </w:rPr>
  </w:style>
  <w:style w:type="paragraph" w:styleId="TOC1">
    <w:name w:val="toc 1"/>
    <w:basedOn w:val="TOCBase"/>
    <w:next w:val="Normal"/>
    <w:rsid w:val="00130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AD6"/>
    <w:rPr>
      <w:rFonts w:ascii="Times New Roman" w:eastAsia="Times New Roman" w:hAnsi="Times New Roman" w:cs="Times New Roman"/>
      <w:sz w:val="16"/>
      <w:lang w:eastAsia="en-US"/>
    </w:rPr>
  </w:style>
  <w:style w:type="paragraph" w:styleId="Title">
    <w:name w:val="Title"/>
    <w:basedOn w:val="HeadingBase"/>
    <w:link w:val="TitleChar"/>
    <w:qFormat/>
    <w:rsid w:val="00130AD6"/>
    <w:pPr>
      <w:spacing w:before="5040"/>
      <w:jc w:val="center"/>
    </w:pPr>
    <w:rPr>
      <w:sz w:val="48"/>
      <w:szCs w:val="72"/>
      <w:lang w:val="en-US"/>
    </w:rPr>
  </w:style>
  <w:style w:type="character" w:customStyle="1" w:styleId="TitleChar">
    <w:name w:val="Title Char"/>
    <w:basedOn w:val="DefaultParagraphFont"/>
    <w:link w:val="Title"/>
    <w:rsid w:val="00130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AD6"/>
    <w:pPr>
      <w:tabs>
        <w:tab w:val="left" w:pos="3600"/>
        <w:tab w:val="left" w:pos="3958"/>
      </w:tabs>
    </w:pPr>
  </w:style>
  <w:style w:type="paragraph" w:styleId="List">
    <w:name w:val="List"/>
    <w:basedOn w:val="BodyText"/>
    <w:next w:val="BodyText"/>
    <w:rsid w:val="00130AD6"/>
    <w:pPr>
      <w:tabs>
        <w:tab w:val="left" w:pos="340"/>
      </w:tabs>
      <w:spacing w:before="60" w:after="60"/>
      <w:ind w:left="340" w:hanging="340"/>
    </w:pPr>
  </w:style>
  <w:style w:type="paragraph" w:customStyle="1" w:styleId="Note">
    <w:name w:val="Note"/>
    <w:basedOn w:val="BodyText"/>
    <w:rsid w:val="00130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AD6"/>
    <w:pPr>
      <w:framePr w:wrap="auto" w:hAnchor="text" w:y="6049"/>
    </w:pPr>
    <w:rPr>
      <w:color w:val="000000"/>
      <w:sz w:val="40"/>
    </w:rPr>
  </w:style>
  <w:style w:type="paragraph" w:customStyle="1" w:styleId="TOCTitle">
    <w:name w:val="TOCTitle"/>
    <w:basedOn w:val="Heading1"/>
    <w:rsid w:val="00130AD6"/>
    <w:pPr>
      <w:spacing w:after="240"/>
      <w:jc w:val="center"/>
      <w:outlineLvl w:val="9"/>
    </w:pPr>
    <w:rPr>
      <w:caps/>
    </w:rPr>
  </w:style>
  <w:style w:type="paragraph" w:customStyle="1" w:styleId="Version">
    <w:name w:val="Version"/>
    <w:rsid w:val="00130A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AD6"/>
    <w:pPr>
      <w:numPr>
        <w:numId w:val="12"/>
      </w:numPr>
      <w:tabs>
        <w:tab w:val="clear" w:pos="680"/>
      </w:tabs>
    </w:pPr>
  </w:style>
  <w:style w:type="paragraph" w:styleId="Index1">
    <w:name w:val="index 1"/>
    <w:basedOn w:val="Normal"/>
    <w:next w:val="Normal"/>
    <w:semiHidden/>
    <w:rsid w:val="00130AD6"/>
    <w:pPr>
      <w:keepNext w:val="0"/>
      <w:tabs>
        <w:tab w:val="right" w:pos="4176"/>
      </w:tabs>
      <w:ind w:left="198" w:hanging="198"/>
    </w:pPr>
    <w:rPr>
      <w:rFonts w:ascii="Garamond" w:hAnsi="Garamond"/>
    </w:rPr>
  </w:style>
  <w:style w:type="paragraph" w:styleId="IndexHeading">
    <w:name w:val="index heading"/>
    <w:basedOn w:val="Normal"/>
    <w:next w:val="Index1"/>
    <w:semiHidden/>
    <w:rsid w:val="00130AD6"/>
    <w:pPr>
      <w:spacing w:before="120" w:after="120"/>
    </w:pPr>
    <w:rPr>
      <w:rFonts w:ascii="Arial" w:hAnsi="Arial"/>
      <w:b/>
      <w:color w:val="918585"/>
      <w:sz w:val="24"/>
    </w:rPr>
  </w:style>
  <w:style w:type="paragraph" w:styleId="Header">
    <w:name w:val="header"/>
    <w:basedOn w:val="Normal"/>
    <w:link w:val="HeaderChar"/>
    <w:rsid w:val="00130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AD6"/>
    <w:rPr>
      <w:rFonts w:ascii="Times New Roman" w:eastAsia="Times New Roman" w:hAnsi="Times New Roman" w:cs="Times New Roman"/>
      <w:sz w:val="16"/>
      <w:szCs w:val="20"/>
      <w:lang w:val="en-GB" w:eastAsia="en-US"/>
    </w:rPr>
  </w:style>
  <w:style w:type="paragraph" w:customStyle="1" w:styleId="Chapter">
    <w:name w:val="Chapter"/>
    <w:basedOn w:val="Normal"/>
    <w:rsid w:val="00130AD6"/>
    <w:pPr>
      <w:spacing w:before="240"/>
    </w:pPr>
    <w:rPr>
      <w:rFonts w:ascii="Times New Roman" w:hAnsi="Times New Roman"/>
      <w:smallCaps/>
      <w:spacing w:val="80"/>
      <w:sz w:val="28"/>
    </w:rPr>
  </w:style>
  <w:style w:type="paragraph" w:customStyle="1" w:styleId="InChapter">
    <w:name w:val="InChapter"/>
    <w:basedOn w:val="Heading3"/>
    <w:rsid w:val="00130AD6"/>
    <w:pPr>
      <w:spacing w:after="240"/>
      <w:outlineLvl w:val="9"/>
    </w:pPr>
    <w:rPr>
      <w:noProof/>
    </w:rPr>
  </w:style>
  <w:style w:type="paragraph" w:styleId="Index2">
    <w:name w:val="index 2"/>
    <w:basedOn w:val="Normal"/>
    <w:next w:val="Normal"/>
    <w:semiHidden/>
    <w:rsid w:val="00130AD6"/>
    <w:pPr>
      <w:tabs>
        <w:tab w:val="right" w:pos="4176"/>
      </w:tabs>
      <w:ind w:left="568" w:hanging="284"/>
    </w:pPr>
    <w:rPr>
      <w:rFonts w:ascii="Garamond" w:hAnsi="Garamond"/>
    </w:rPr>
  </w:style>
  <w:style w:type="paragraph" w:customStyle="1" w:styleId="Byline">
    <w:name w:val="Byline"/>
    <w:rsid w:val="00130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AD6"/>
    <w:pPr>
      <w:tabs>
        <w:tab w:val="clear" w:pos="3600"/>
        <w:tab w:val="clear" w:pos="3958"/>
      </w:tabs>
      <w:jc w:val="right"/>
    </w:pPr>
  </w:style>
  <w:style w:type="character" w:styleId="Emphasis">
    <w:name w:val="Emphasis"/>
    <w:basedOn w:val="DefaultParagraphFont"/>
    <w:qFormat/>
    <w:rsid w:val="00130AD6"/>
    <w:rPr>
      <w:i/>
    </w:rPr>
  </w:style>
  <w:style w:type="paragraph" w:styleId="Caption">
    <w:name w:val="caption"/>
    <w:basedOn w:val="BodyText"/>
    <w:next w:val="Normal"/>
    <w:qFormat/>
    <w:rsid w:val="00130AD6"/>
    <w:pPr>
      <w:framePr w:w="2268" w:hSpace="181" w:vSpace="181" w:wrap="around" w:vAnchor="text" w:hAnchor="page" w:x="1135" w:y="285" w:anchorLock="1"/>
    </w:pPr>
    <w:rPr>
      <w:i/>
    </w:rPr>
  </w:style>
  <w:style w:type="paragraph" w:customStyle="1" w:styleId="MiniTOCTitle">
    <w:name w:val="MiniTOCTitle"/>
    <w:basedOn w:val="Heading4"/>
    <w:rsid w:val="00130AD6"/>
    <w:pPr>
      <w:spacing w:before="240"/>
      <w:outlineLvl w:val="9"/>
    </w:pPr>
    <w:rPr>
      <w:noProof/>
      <w:sz w:val="24"/>
    </w:rPr>
  </w:style>
  <w:style w:type="paragraph" w:customStyle="1" w:styleId="MiniTOCItem">
    <w:name w:val="MiniTOCItem"/>
    <w:basedOn w:val="ListBullet"/>
    <w:rsid w:val="00130AD6"/>
    <w:pPr>
      <w:numPr>
        <w:numId w:val="0"/>
      </w:numPr>
      <w:tabs>
        <w:tab w:val="right" w:leader="dot" w:pos="6521"/>
      </w:tabs>
      <w:spacing w:before="0" w:after="0"/>
    </w:pPr>
  </w:style>
  <w:style w:type="paragraph" w:customStyle="1" w:styleId="TOFTitle">
    <w:name w:val="TOFTitle"/>
    <w:basedOn w:val="TOCTitle"/>
    <w:rsid w:val="00130AD6"/>
  </w:style>
  <w:style w:type="paragraph" w:styleId="TableofFigures">
    <w:name w:val="table of figures"/>
    <w:basedOn w:val="Normal"/>
    <w:next w:val="Normal"/>
    <w:semiHidden/>
    <w:rsid w:val="00130AD6"/>
    <w:pPr>
      <w:tabs>
        <w:tab w:val="right" w:leader="dot" w:pos="9072"/>
      </w:tabs>
      <w:ind w:left="970" w:hanging="403"/>
    </w:pPr>
    <w:rPr>
      <w:rFonts w:ascii="Times New Roman" w:hAnsi="Times New Roman"/>
      <w:b/>
    </w:rPr>
  </w:style>
  <w:style w:type="paragraph" w:styleId="ListNumber">
    <w:name w:val="List Number"/>
    <w:basedOn w:val="List"/>
    <w:rsid w:val="00130AD6"/>
    <w:pPr>
      <w:numPr>
        <w:numId w:val="14"/>
      </w:numPr>
      <w:tabs>
        <w:tab w:val="clear" w:pos="340"/>
      </w:tabs>
    </w:pPr>
  </w:style>
  <w:style w:type="character" w:customStyle="1" w:styleId="WingdingSymbols">
    <w:name w:val="Wingding Symbols"/>
    <w:rsid w:val="00130AD6"/>
    <w:rPr>
      <w:rFonts w:ascii="Wingdings" w:hAnsi="Wingdings"/>
    </w:rPr>
  </w:style>
  <w:style w:type="paragraph" w:customStyle="1" w:styleId="TableHeading">
    <w:name w:val="Table Heading"/>
    <w:basedOn w:val="HeadingBase"/>
    <w:rsid w:val="00130AD6"/>
    <w:pPr>
      <w:keepLines/>
      <w:pBdr>
        <w:bottom w:val="single" w:sz="6" w:space="1" w:color="918585"/>
      </w:pBdr>
      <w:spacing w:before="240"/>
    </w:pPr>
  </w:style>
  <w:style w:type="character" w:customStyle="1" w:styleId="HotSpot">
    <w:name w:val="HotSpot"/>
    <w:rsid w:val="00130AD6"/>
    <w:rPr>
      <w:color w:val="0033CC"/>
      <w:u w:val="none"/>
    </w:rPr>
  </w:style>
  <w:style w:type="paragraph" w:customStyle="1" w:styleId="BodyTextRight">
    <w:name w:val="Body Text Right"/>
    <w:basedOn w:val="BodyText"/>
    <w:rsid w:val="00130AD6"/>
    <w:pPr>
      <w:spacing w:before="0" w:after="0"/>
      <w:jc w:val="right"/>
    </w:pPr>
  </w:style>
  <w:style w:type="paragraph" w:styleId="Index3">
    <w:name w:val="index 3"/>
    <w:basedOn w:val="ListNumber2"/>
    <w:next w:val="Normal"/>
    <w:semiHidden/>
    <w:rsid w:val="00130AD6"/>
    <w:pPr>
      <w:numPr>
        <w:numId w:val="0"/>
      </w:numPr>
      <w:tabs>
        <w:tab w:val="right" w:leader="dot" w:pos="4176"/>
      </w:tabs>
    </w:pPr>
  </w:style>
  <w:style w:type="paragraph" w:styleId="ListNumber2">
    <w:name w:val="List Number 2"/>
    <w:basedOn w:val="List2"/>
    <w:rsid w:val="00130AD6"/>
    <w:pPr>
      <w:numPr>
        <w:numId w:val="9"/>
      </w:numPr>
      <w:tabs>
        <w:tab w:val="clear" w:pos="1060"/>
      </w:tabs>
    </w:pPr>
  </w:style>
  <w:style w:type="paragraph" w:customStyle="1" w:styleId="MarginNote">
    <w:name w:val="Margin Note"/>
    <w:basedOn w:val="BodyText"/>
    <w:rsid w:val="00130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AD6"/>
    <w:rPr>
      <w:sz w:val="32"/>
    </w:rPr>
  </w:style>
  <w:style w:type="paragraph" w:customStyle="1" w:styleId="HeadingProcedure">
    <w:name w:val="Heading Procedure"/>
    <w:basedOn w:val="HeadingBase"/>
    <w:next w:val="Normal"/>
    <w:rsid w:val="00130AD6"/>
    <w:pPr>
      <w:tabs>
        <w:tab w:val="left" w:pos="0"/>
      </w:tabs>
      <w:spacing w:before="120" w:after="60"/>
    </w:pPr>
    <w:rPr>
      <w:i/>
      <w:color w:val="918585"/>
      <w:sz w:val="22"/>
    </w:rPr>
  </w:style>
  <w:style w:type="paragraph" w:customStyle="1" w:styleId="TableBodyText">
    <w:name w:val="Table Body Text"/>
    <w:basedOn w:val="BodyText"/>
    <w:rsid w:val="00130AD6"/>
    <w:pPr>
      <w:spacing w:before="60" w:after="60"/>
    </w:pPr>
  </w:style>
  <w:style w:type="paragraph" w:styleId="ListContinue">
    <w:name w:val="List Continue"/>
    <w:basedOn w:val="List"/>
    <w:rsid w:val="00130AD6"/>
    <w:pPr>
      <w:ind w:firstLine="0"/>
    </w:pPr>
  </w:style>
  <w:style w:type="paragraph" w:customStyle="1" w:styleId="ListNote">
    <w:name w:val="List Note"/>
    <w:basedOn w:val="List"/>
    <w:rsid w:val="00130AD6"/>
    <w:pPr>
      <w:pBdr>
        <w:top w:val="single" w:sz="6" w:space="2" w:color="918585"/>
        <w:bottom w:val="single" w:sz="6" w:space="2" w:color="918585"/>
      </w:pBdr>
      <w:tabs>
        <w:tab w:val="left" w:pos="1021"/>
      </w:tabs>
      <w:ind w:firstLine="0"/>
    </w:pPr>
  </w:style>
  <w:style w:type="paragraph" w:customStyle="1" w:styleId="Warning">
    <w:name w:val="Warning"/>
    <w:basedOn w:val="BodyText"/>
    <w:rsid w:val="00130AD6"/>
    <w:pPr>
      <w:shd w:val="clear" w:color="auto" w:fill="D9D9D9"/>
      <w:tabs>
        <w:tab w:val="left" w:pos="992"/>
      </w:tabs>
      <w:ind w:left="119" w:right="119"/>
    </w:pPr>
    <w:rPr>
      <w:sz w:val="20"/>
    </w:rPr>
  </w:style>
  <w:style w:type="paragraph" w:customStyle="1" w:styleId="MarginIcons">
    <w:name w:val="Margin Icons"/>
    <w:basedOn w:val="BodyText"/>
    <w:rsid w:val="00130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AD6"/>
    <w:rPr>
      <w:rFonts w:ascii="Courier New" w:hAnsi="Courier New"/>
    </w:rPr>
  </w:style>
  <w:style w:type="paragraph" w:customStyle="1" w:styleId="NoteBullet">
    <w:name w:val="Note Bullet"/>
    <w:basedOn w:val="Note"/>
    <w:rsid w:val="00130AD6"/>
    <w:pPr>
      <w:tabs>
        <w:tab w:val="clear" w:pos="680"/>
      </w:tabs>
      <w:spacing w:before="60" w:after="60"/>
    </w:pPr>
  </w:style>
  <w:style w:type="paragraph" w:customStyle="1" w:styleId="SubHeading2">
    <w:name w:val="SubHeading2"/>
    <w:basedOn w:val="HeadingBase"/>
    <w:rsid w:val="00130AD6"/>
    <w:pPr>
      <w:spacing w:before="240" w:after="60"/>
    </w:pPr>
    <w:rPr>
      <w:sz w:val="20"/>
    </w:rPr>
  </w:style>
  <w:style w:type="paragraph" w:customStyle="1" w:styleId="SubHeading1">
    <w:name w:val="SubHeading1"/>
    <w:basedOn w:val="HeadingBase"/>
    <w:rsid w:val="00130AD6"/>
    <w:pPr>
      <w:spacing w:before="240" w:after="60"/>
    </w:pPr>
    <w:rPr>
      <w:color w:val="918585"/>
      <w:sz w:val="22"/>
    </w:rPr>
  </w:style>
  <w:style w:type="paragraph" w:customStyle="1" w:styleId="SideHeading">
    <w:name w:val="Side Heading"/>
    <w:basedOn w:val="HeadingBase"/>
    <w:rsid w:val="00130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AD6"/>
    <w:pPr>
      <w:numPr>
        <w:numId w:val="10"/>
      </w:numPr>
    </w:pPr>
  </w:style>
  <w:style w:type="paragraph" w:styleId="PlainText">
    <w:name w:val="Plain Text"/>
    <w:basedOn w:val="Normal"/>
    <w:link w:val="PlainTextChar"/>
    <w:rsid w:val="00130AD6"/>
    <w:rPr>
      <w:sz w:val="20"/>
    </w:rPr>
  </w:style>
  <w:style w:type="character" w:customStyle="1" w:styleId="PlainTextChar">
    <w:name w:val="Plain Text Char"/>
    <w:basedOn w:val="DefaultParagraphFont"/>
    <w:link w:val="PlainText"/>
    <w:rsid w:val="00130AD6"/>
    <w:rPr>
      <w:rFonts w:ascii="Courier New" w:eastAsia="Times New Roman" w:hAnsi="Courier New" w:cs="Times New Roman"/>
      <w:sz w:val="20"/>
      <w:szCs w:val="20"/>
      <w:lang w:eastAsia="en-US"/>
    </w:rPr>
  </w:style>
  <w:style w:type="character" w:customStyle="1" w:styleId="MenuOption">
    <w:name w:val="Menu Option"/>
    <w:basedOn w:val="DefaultParagraphFont"/>
    <w:rsid w:val="00130AD6"/>
    <w:rPr>
      <w:b/>
      <w:smallCaps/>
    </w:rPr>
  </w:style>
  <w:style w:type="paragraph" w:customStyle="1" w:styleId="TableListNumber">
    <w:name w:val="Table List Number"/>
    <w:basedOn w:val="ListNumber"/>
    <w:rsid w:val="00130AD6"/>
    <w:pPr>
      <w:numPr>
        <w:numId w:val="0"/>
      </w:numPr>
    </w:pPr>
  </w:style>
  <w:style w:type="paragraph" w:styleId="TOC4">
    <w:name w:val="toc 4"/>
    <w:basedOn w:val="TOCBase"/>
    <w:next w:val="Normal"/>
    <w:semiHidden/>
    <w:rsid w:val="00130AD6"/>
    <w:pPr>
      <w:tabs>
        <w:tab w:val="right" w:leader="dot" w:pos="9071"/>
      </w:tabs>
      <w:ind w:left="1701"/>
    </w:pPr>
  </w:style>
  <w:style w:type="paragraph" w:customStyle="1" w:styleId="ListAlpha">
    <w:name w:val="List Alpha"/>
    <w:basedOn w:val="List"/>
    <w:rsid w:val="00130AD6"/>
    <w:pPr>
      <w:numPr>
        <w:numId w:val="8"/>
      </w:numPr>
    </w:pPr>
  </w:style>
  <w:style w:type="paragraph" w:customStyle="1" w:styleId="ListAlpha2">
    <w:name w:val="List Alpha 2"/>
    <w:basedOn w:val="List2"/>
    <w:rsid w:val="00130AD6"/>
    <w:pPr>
      <w:numPr>
        <w:numId w:val="7"/>
      </w:numPr>
    </w:pPr>
  </w:style>
  <w:style w:type="paragraph" w:styleId="List2">
    <w:name w:val="List 2"/>
    <w:basedOn w:val="BodyText"/>
    <w:rsid w:val="00130AD6"/>
    <w:pPr>
      <w:tabs>
        <w:tab w:val="left" w:pos="680"/>
      </w:tabs>
      <w:spacing w:before="60" w:after="60"/>
      <w:ind w:left="680" w:hanging="340"/>
    </w:pPr>
  </w:style>
  <w:style w:type="paragraph" w:styleId="List3">
    <w:name w:val="List 3"/>
    <w:basedOn w:val="BodyText"/>
    <w:rsid w:val="00130AD6"/>
    <w:pPr>
      <w:tabs>
        <w:tab w:val="left" w:pos="1021"/>
      </w:tabs>
      <w:spacing w:before="60" w:after="60"/>
      <w:ind w:left="1020" w:hanging="340"/>
    </w:pPr>
  </w:style>
  <w:style w:type="paragraph" w:styleId="List4">
    <w:name w:val="List 4"/>
    <w:basedOn w:val="BodyText"/>
    <w:rsid w:val="00130AD6"/>
    <w:pPr>
      <w:tabs>
        <w:tab w:val="left" w:pos="1361"/>
      </w:tabs>
      <w:spacing w:before="60" w:after="60"/>
      <w:ind w:left="1361" w:hanging="340"/>
    </w:pPr>
  </w:style>
  <w:style w:type="paragraph" w:styleId="List5">
    <w:name w:val="List 5"/>
    <w:basedOn w:val="BodyText"/>
    <w:rsid w:val="00130AD6"/>
    <w:pPr>
      <w:tabs>
        <w:tab w:val="left" w:pos="1701"/>
      </w:tabs>
      <w:spacing w:before="60" w:after="60"/>
      <w:ind w:left="1701" w:hanging="340"/>
    </w:pPr>
  </w:style>
  <w:style w:type="paragraph" w:styleId="ListBullet3">
    <w:name w:val="List Bullet 3"/>
    <w:basedOn w:val="List3"/>
    <w:rsid w:val="00130AD6"/>
    <w:pPr>
      <w:numPr>
        <w:numId w:val="13"/>
      </w:numPr>
      <w:tabs>
        <w:tab w:val="clear" w:pos="1021"/>
      </w:tabs>
      <w:ind w:left="1037" w:hanging="357"/>
    </w:pPr>
  </w:style>
  <w:style w:type="paragraph" w:styleId="ListBullet4">
    <w:name w:val="List Bullet 4"/>
    <w:basedOn w:val="List4"/>
    <w:rsid w:val="00130AD6"/>
    <w:pPr>
      <w:numPr>
        <w:numId w:val="2"/>
      </w:numPr>
      <w:tabs>
        <w:tab w:val="clear" w:pos="1361"/>
      </w:tabs>
    </w:pPr>
  </w:style>
  <w:style w:type="paragraph" w:styleId="ListBullet5">
    <w:name w:val="List Bullet 5"/>
    <w:basedOn w:val="List5"/>
    <w:rsid w:val="00130AD6"/>
    <w:pPr>
      <w:numPr>
        <w:numId w:val="3"/>
      </w:numPr>
    </w:pPr>
  </w:style>
  <w:style w:type="paragraph" w:styleId="ListContinue2">
    <w:name w:val="List Continue 2"/>
    <w:basedOn w:val="List2"/>
    <w:rsid w:val="00130AD6"/>
    <w:pPr>
      <w:ind w:firstLine="0"/>
    </w:pPr>
  </w:style>
  <w:style w:type="paragraph" w:styleId="ListContinue3">
    <w:name w:val="List Continue 3"/>
    <w:basedOn w:val="List3"/>
    <w:rsid w:val="00130AD6"/>
    <w:pPr>
      <w:ind w:left="1021" w:firstLine="0"/>
    </w:pPr>
  </w:style>
  <w:style w:type="paragraph" w:styleId="ListContinue4">
    <w:name w:val="List Continue 4"/>
    <w:basedOn w:val="List4"/>
    <w:rsid w:val="00130AD6"/>
    <w:pPr>
      <w:ind w:firstLine="0"/>
    </w:pPr>
  </w:style>
  <w:style w:type="paragraph" w:styleId="ListContinue5">
    <w:name w:val="List Continue 5"/>
    <w:basedOn w:val="List5"/>
    <w:rsid w:val="00130AD6"/>
    <w:pPr>
      <w:ind w:firstLine="0"/>
    </w:pPr>
  </w:style>
  <w:style w:type="paragraph" w:styleId="ListNumber3">
    <w:name w:val="List Number 3"/>
    <w:basedOn w:val="List3"/>
    <w:rsid w:val="00130AD6"/>
    <w:pPr>
      <w:numPr>
        <w:numId w:val="4"/>
      </w:numPr>
    </w:pPr>
  </w:style>
  <w:style w:type="paragraph" w:styleId="ListNumber4">
    <w:name w:val="List Number 4"/>
    <w:basedOn w:val="List4"/>
    <w:rsid w:val="00130AD6"/>
    <w:pPr>
      <w:numPr>
        <w:numId w:val="5"/>
      </w:numPr>
    </w:pPr>
  </w:style>
  <w:style w:type="paragraph" w:styleId="ListNumber5">
    <w:name w:val="List Number 5"/>
    <w:basedOn w:val="List5"/>
    <w:rsid w:val="00130AD6"/>
    <w:pPr>
      <w:numPr>
        <w:numId w:val="6"/>
      </w:numPr>
    </w:pPr>
  </w:style>
  <w:style w:type="paragraph" w:styleId="BlockText">
    <w:name w:val="Block Text"/>
    <w:basedOn w:val="Normal"/>
    <w:rsid w:val="00130AD6"/>
    <w:pPr>
      <w:spacing w:after="120"/>
      <w:ind w:left="1440" w:right="1440"/>
    </w:pPr>
  </w:style>
  <w:style w:type="character" w:customStyle="1" w:styleId="Subscript">
    <w:name w:val="Subscript"/>
    <w:basedOn w:val="DefaultParagraphFont"/>
    <w:rsid w:val="00130AD6"/>
    <w:rPr>
      <w:sz w:val="16"/>
      <w:vertAlign w:val="subscript"/>
    </w:rPr>
  </w:style>
  <w:style w:type="character" w:customStyle="1" w:styleId="Superscript">
    <w:name w:val="Superscript"/>
    <w:basedOn w:val="DefaultParagraphFont"/>
    <w:rsid w:val="00130AD6"/>
    <w:rPr>
      <w:sz w:val="16"/>
      <w:vertAlign w:val="superscript"/>
    </w:rPr>
  </w:style>
  <w:style w:type="character" w:customStyle="1" w:styleId="Symbols">
    <w:name w:val="Symbols"/>
    <w:basedOn w:val="DefaultParagraphFont"/>
    <w:rsid w:val="00130AD6"/>
    <w:rPr>
      <w:rFonts w:ascii="Symbol" w:hAnsi="Symbol"/>
    </w:rPr>
  </w:style>
  <w:style w:type="character" w:customStyle="1" w:styleId="MenuOptions">
    <w:name w:val="Menu Options"/>
    <w:basedOn w:val="DefaultParagraphFont"/>
    <w:rsid w:val="00130AD6"/>
    <w:rPr>
      <w:rFonts w:ascii="Arial Narrow" w:hAnsi="Arial Narrow"/>
      <w:smallCaps/>
    </w:rPr>
  </w:style>
  <w:style w:type="character" w:customStyle="1" w:styleId="Buttons">
    <w:name w:val="Buttons"/>
    <w:basedOn w:val="DefaultParagraphFont"/>
    <w:rsid w:val="00130AD6"/>
    <w:rPr>
      <w:b/>
    </w:rPr>
  </w:style>
  <w:style w:type="character" w:customStyle="1" w:styleId="Underlined">
    <w:name w:val="Underlined"/>
    <w:basedOn w:val="DefaultParagraphFont"/>
    <w:rsid w:val="00130AD6"/>
    <w:rPr>
      <w:u w:val="single"/>
    </w:rPr>
  </w:style>
  <w:style w:type="paragraph" w:customStyle="1" w:styleId="TableBodyTextRight">
    <w:name w:val="Table Body Text Right"/>
    <w:basedOn w:val="TableBodyText"/>
    <w:rsid w:val="00130AD6"/>
    <w:pPr>
      <w:widowControl w:val="0"/>
      <w:autoSpaceDE w:val="0"/>
      <w:autoSpaceDN w:val="0"/>
      <w:adjustRightInd w:val="0"/>
      <w:jc w:val="right"/>
    </w:pPr>
    <w:rPr>
      <w:rFonts w:cs="Arial"/>
      <w:szCs w:val="18"/>
    </w:rPr>
  </w:style>
  <w:style w:type="paragraph" w:customStyle="1" w:styleId="CopyrightText">
    <w:name w:val="Copyright Text"/>
    <w:basedOn w:val="BodyText"/>
    <w:rsid w:val="00130AD6"/>
    <w:rPr>
      <w:sz w:val="18"/>
    </w:rPr>
  </w:style>
  <w:style w:type="paragraph" w:customStyle="1" w:styleId="BodySmallRight">
    <w:name w:val="Body Small Right"/>
    <w:basedOn w:val="BodyTextRight"/>
    <w:rsid w:val="00130AD6"/>
    <w:rPr>
      <w:sz w:val="18"/>
      <w:szCs w:val="18"/>
    </w:rPr>
  </w:style>
  <w:style w:type="paragraph" w:customStyle="1" w:styleId="MarginEdition">
    <w:name w:val="Margin Edition"/>
    <w:basedOn w:val="MarginNote"/>
    <w:rsid w:val="00130AD6"/>
    <w:pPr>
      <w:spacing w:before="0" w:after="0"/>
    </w:pPr>
    <w:rPr>
      <w:rFonts w:ascii="Times New Roman" w:hAnsi="Times New Roman"/>
      <w:color w:val="999999"/>
    </w:rPr>
  </w:style>
  <w:style w:type="paragraph" w:customStyle="1" w:styleId="Spacer">
    <w:name w:val="Spacer"/>
    <w:basedOn w:val="Normal"/>
    <w:rsid w:val="00130AD6"/>
    <w:rPr>
      <w:sz w:val="2"/>
      <w:szCs w:val="2"/>
    </w:rPr>
  </w:style>
  <w:style w:type="character" w:customStyle="1" w:styleId="Small">
    <w:name w:val="Small"/>
    <w:basedOn w:val="DefaultParagraphFont"/>
    <w:rsid w:val="00130AD6"/>
    <w:rPr>
      <w:sz w:val="16"/>
    </w:rPr>
  </w:style>
  <w:style w:type="paragraph" w:customStyle="1" w:styleId="WideTable">
    <w:name w:val="Wide Table"/>
    <w:basedOn w:val="Normal"/>
    <w:rsid w:val="00130AD6"/>
    <w:pPr>
      <w:ind w:left="-1418"/>
    </w:pPr>
    <w:rPr>
      <w:sz w:val="2"/>
      <w:szCs w:val="2"/>
    </w:rPr>
  </w:style>
  <w:style w:type="character" w:styleId="PageNumber">
    <w:name w:val="page number"/>
    <w:basedOn w:val="DefaultParagraphFont"/>
    <w:rsid w:val="00130AD6"/>
  </w:style>
  <w:style w:type="paragraph" w:styleId="Quote">
    <w:name w:val="Quote"/>
    <w:basedOn w:val="Heading1"/>
    <w:link w:val="QuoteChar"/>
    <w:qFormat/>
    <w:rsid w:val="00130AD6"/>
    <w:rPr>
      <w:b w:val="0"/>
      <w:sz w:val="72"/>
      <w:szCs w:val="72"/>
      <w:lang w:val="en-NZ"/>
    </w:rPr>
  </w:style>
  <w:style w:type="character" w:customStyle="1" w:styleId="QuoteChar">
    <w:name w:val="Quote Char"/>
    <w:basedOn w:val="DefaultParagraphFont"/>
    <w:link w:val="Quote"/>
    <w:rsid w:val="00130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AD6"/>
    <w:pPr>
      <w:pageBreakBefore/>
    </w:pPr>
  </w:style>
  <w:style w:type="paragraph" w:customStyle="1" w:styleId="Border">
    <w:name w:val="Border"/>
    <w:basedOn w:val="Normal"/>
    <w:qFormat/>
    <w:rsid w:val="00130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AD6"/>
    <w:rPr>
      <w:b/>
      <w:bCs/>
      <w:i/>
      <w:iCs/>
      <w:color w:val="auto"/>
    </w:rPr>
  </w:style>
  <w:style w:type="paragraph" w:styleId="IntenseQuote">
    <w:name w:val="Intense Quote"/>
    <w:basedOn w:val="Normal"/>
    <w:next w:val="Normal"/>
    <w:link w:val="IntenseQuoteChar"/>
    <w:uiPriority w:val="30"/>
    <w:qFormat/>
    <w:rsid w:val="00130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AD6"/>
    <w:rPr>
      <w:smallCaps/>
      <w:color w:val="auto"/>
      <w:u w:val="single"/>
    </w:rPr>
  </w:style>
  <w:style w:type="character" w:styleId="IntenseReference">
    <w:name w:val="Intense Reference"/>
    <w:basedOn w:val="DefaultParagraphFont"/>
    <w:uiPriority w:val="32"/>
    <w:qFormat/>
    <w:rsid w:val="00130AD6"/>
    <w:rPr>
      <w:b/>
      <w:bCs/>
      <w:smallCaps/>
      <w:color w:val="auto"/>
      <w:spacing w:val="5"/>
      <w:u w:val="single"/>
    </w:rPr>
  </w:style>
  <w:style w:type="paragraph" w:customStyle="1" w:styleId="2ColumnHeading">
    <w:name w:val="2Column Heading"/>
    <w:basedOn w:val="BodyText"/>
    <w:qFormat/>
    <w:rsid w:val="00130AD6"/>
    <w:pPr>
      <w:spacing w:after="60"/>
      <w:ind w:left="-2268"/>
    </w:pPr>
    <w:rPr>
      <w:b/>
    </w:rPr>
  </w:style>
  <w:style w:type="paragraph" w:customStyle="1" w:styleId="Heading1TOC">
    <w:name w:val="Heading1 TOC"/>
    <w:basedOn w:val="Normal"/>
    <w:qFormat/>
    <w:rsid w:val="00130AD6"/>
    <w:pPr>
      <w:spacing w:before="240" w:after="120"/>
    </w:pPr>
    <w:rPr>
      <w:rFonts w:ascii="Times New Roman" w:hAnsi="Times New Roman"/>
      <w:b/>
      <w:sz w:val="32"/>
    </w:rPr>
  </w:style>
  <w:style w:type="paragraph" w:customStyle="1" w:styleId="Heading2TOC">
    <w:name w:val="Heading2 TOC"/>
    <w:basedOn w:val="Normal"/>
    <w:qFormat/>
    <w:rsid w:val="00130AD6"/>
    <w:pPr>
      <w:spacing w:before="240" w:after="60"/>
    </w:pPr>
    <w:rPr>
      <w:rFonts w:ascii="Times New Roman" w:hAnsi="Times New Roman"/>
      <w:b/>
      <w:sz w:val="28"/>
    </w:rPr>
  </w:style>
  <w:style w:type="character" w:customStyle="1" w:styleId="Underline">
    <w:name w:val="Underline"/>
    <w:basedOn w:val="DefaultParagraphFont"/>
    <w:qFormat/>
    <w:rsid w:val="00130AD6"/>
    <w:rPr>
      <w:u w:val="single"/>
    </w:rPr>
  </w:style>
  <w:style w:type="character" w:customStyle="1" w:styleId="BoldandItalics">
    <w:name w:val="Bold and Italics"/>
    <w:qFormat/>
    <w:rsid w:val="00130AD6"/>
    <w:rPr>
      <w:b/>
      <w:i/>
      <w:u w:val="none"/>
    </w:rPr>
  </w:style>
  <w:style w:type="paragraph" w:styleId="BalloonText">
    <w:name w:val="Balloon Text"/>
    <w:basedOn w:val="Normal"/>
    <w:link w:val="BalloonTextChar"/>
    <w:rsid w:val="00130AD6"/>
    <w:rPr>
      <w:rFonts w:ascii="Tahoma" w:hAnsi="Tahoma" w:cs="Tahoma"/>
      <w:sz w:val="16"/>
      <w:szCs w:val="16"/>
    </w:rPr>
  </w:style>
  <w:style w:type="character" w:customStyle="1" w:styleId="BalloonTextChar">
    <w:name w:val="Balloon Text Char"/>
    <w:basedOn w:val="DefaultParagraphFont"/>
    <w:link w:val="BalloonText"/>
    <w:rsid w:val="00130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A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AD6"/>
    <w:rPr>
      <w:b/>
      <w:color w:val="660033"/>
      <w:spacing w:val="0"/>
    </w:rPr>
  </w:style>
  <w:style w:type="paragraph" w:customStyle="1" w:styleId="Nameditemlist">
    <w:name w:val="Named item list"/>
    <w:basedOn w:val="BodyText"/>
    <w:qFormat/>
    <w:rsid w:val="00130AD6"/>
    <w:pPr>
      <w:tabs>
        <w:tab w:val="left" w:pos="2835"/>
      </w:tabs>
      <w:ind w:left="2835" w:hanging="2835"/>
    </w:pPr>
  </w:style>
  <w:style w:type="paragraph" w:customStyle="1" w:styleId="BodyTextnopadding">
    <w:name w:val="Body Text no padding"/>
    <w:basedOn w:val="BodyText"/>
    <w:qFormat/>
    <w:rsid w:val="00130AD6"/>
    <w:pPr>
      <w:spacing w:before="0" w:after="0"/>
    </w:pPr>
  </w:style>
  <w:style w:type="paragraph" w:customStyle="1" w:styleId="BodyTextBold">
    <w:name w:val="Body Text Bold"/>
    <w:basedOn w:val="BodyText"/>
    <w:qFormat/>
    <w:rsid w:val="00130AD6"/>
    <w:rPr>
      <w:b/>
    </w:rPr>
  </w:style>
  <w:style w:type="character" w:styleId="Hyperlink">
    <w:name w:val="Hyperlink"/>
    <w:basedOn w:val="DefaultParagraphFont"/>
    <w:uiPriority w:val="99"/>
    <w:unhideWhenUsed/>
    <w:rsid w:val="006606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4940</Characters>
  <Application>Microsoft Office Word</Application>
  <DocSecurity>0</DocSecurity>
  <Lines>224</Lines>
  <Paragraphs>108</Paragraphs>
  <ScaleCrop>false</ScaleCrop>
  <Company>Author-it Software Corporation Ltd.</Company>
  <LinksUpToDate>false</LinksUpToDate>
  <CharactersWithSpaces>5630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MARA016 Contribute to safe cargo operations on offshore support vessels</dc:title>
  <dc:subject>Approved</dc:subject>
  <dc:creator>Industry Skills Australia</dc:creator>
  <cp:keywords>Release: 1</cp:keywords>
  <dc:description>Review Date: 12 April 2008</dc:description>
  <cp:lastModifiedBy>HSD_TPCMSd.prod</cp:lastModifiedBy>
  <cp:revision>3</cp:revision>
  <dcterms:created xsi:type="dcterms:W3CDTF">2024-11-22T08:05:00Z</dcterms:created>
  <dcterms:modified xsi:type="dcterms:W3CDTF">2024-11-22T08:05:00Z</dcterms:modified>
</cp:coreProperties>
</file>