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7474" w:rsidP="00D97474">
      <w:pPr>
        <w:pStyle w:val="Title"/>
      </w:pPr>
      <w:r>
        <w:fldChar w:fldCharType="begin"/>
      </w:r>
      <w:r>
        <w:instrText xml:space="preserve"> TITLE   \* MERGEFORMAT </w:instrText>
      </w:r>
      <w:r>
        <w:fldChar w:fldCharType="separate"/>
      </w:r>
      <w:r>
        <w:t>Assessment Requirements for MARA016 Contribute to safe cargo operations on offshore support vessels</w:t>
      </w:r>
      <w:r>
        <w:fldChar w:fldCharType="end"/>
      </w:r>
    </w:p>
    <w:p w:rsidR="00D97474" w:rsidP="00D97474">
      <w:pPr>
        <w:pStyle w:val="Version"/>
        <w:sectPr w:rsidSect="00C162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6280" w:rsidP="00C16280">
      <w:pPr>
        <w:pStyle w:val="SuperHeading"/>
      </w:pPr>
      <w:r w:rsidRPr="00C16280">
        <w:t>Assessment Requirements for MARA016 Contribute to safe cargo operations on offshore support vessels</w:t>
      </w:r>
    </w:p>
    <w:p w:rsidR="00000000" w:rsidRPr="00C16280" w:rsidP="00C16280">
      <w:pPr>
        <w:pStyle w:val="Heading1"/>
      </w:pPr>
      <w:bookmarkStart w:id="1" w:name="O_1085734"/>
      <w:bookmarkEnd w:id="1"/>
      <w:r w:rsidRPr="00C16280">
        <w:t>Modification History</w:t>
      </w:r>
    </w:p>
    <w:tbl>
      <w:tblPr>
        <w:tblW w:w="9497" w:type="dxa"/>
        <w:tblLayout w:type="fixed"/>
        <w:tblCellMar>
          <w:left w:w="62" w:type="dxa"/>
          <w:right w:w="62" w:type="dxa"/>
        </w:tblCellMar>
        <w:tblLook w:val="0000"/>
      </w:tblPr>
      <w:tblGrid>
        <w:gridCol w:w="9497"/>
      </w:tblGrid>
      <w:tr w:rsidTr="00C162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280" w:rsidP="00C16280">
            <w:pPr>
              <w:pStyle w:val="BodyText"/>
            </w:pPr>
            <w:r w:rsidRPr="00C16280">
              <w:t>Release 1. This is the first release of this unit of competency in the MAR Maritime Training Package.</w:t>
            </w:r>
          </w:p>
        </w:tc>
      </w:tr>
    </w:tbl>
    <w:p w:rsidR="00D97474" w:rsidP="00C16280">
      <w:pPr>
        <w:pStyle w:val="NoPaddingFontSize1"/>
      </w:pPr>
    </w:p>
    <w:p w:rsidR="00D97474" w:rsidP="00C16280">
      <w:pPr>
        <w:pStyle w:val="NoPaddingFontSize1"/>
      </w:pPr>
    </w:p>
    <w:p w:rsidR="00000000" w:rsidRPr="00C16280" w:rsidP="00C16280">
      <w:pPr>
        <w:pStyle w:val="Heading1"/>
      </w:pPr>
      <w:bookmarkStart w:id="2" w:name="O_1085735"/>
      <w:bookmarkEnd w:id="2"/>
      <w:r w:rsidRPr="00C16280">
        <w:t>Performance Evidence</w:t>
      </w:r>
    </w:p>
    <w:tbl>
      <w:tblPr>
        <w:tblW w:w="9497" w:type="dxa"/>
        <w:tblLayout w:type="fixed"/>
        <w:tblCellMar>
          <w:left w:w="62" w:type="dxa"/>
          <w:right w:w="62" w:type="dxa"/>
        </w:tblCellMar>
        <w:tblLook w:val="0000"/>
      </w:tblPr>
      <w:tblGrid>
        <w:gridCol w:w="9497"/>
      </w:tblGrid>
      <w:tr w:rsidTr="00C162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280" w:rsidP="00C16280">
            <w:pPr>
              <w:pStyle w:val="BodyText"/>
            </w:pPr>
            <w:r w:rsidRPr="00C16280">
              <w:t>Evidence required to demonstrate competence in this unit must be relevant to and satisfy all of the requirements of the elements and performance criteria on at least one occasion and include:</w:t>
            </w:r>
          </w:p>
          <w:p w:rsidR="00000000" w:rsidRPr="00C16280" w:rsidP="00C16280">
            <w:pPr>
              <w:pStyle w:val="ListBullet"/>
            </w:pPr>
            <w:r w:rsidRPr="00C16280">
              <w:t>assisting in implementing shipboa</w:t>
            </w:r>
            <w:r w:rsidRPr="00C16280">
              <w:t>rd cargo securing arrangements</w:t>
            </w:r>
          </w:p>
          <w:p w:rsidR="00000000" w:rsidRPr="00C16280" w:rsidP="00C16280">
            <w:pPr>
              <w:pStyle w:val="ListBullet"/>
            </w:pPr>
            <w:r w:rsidRPr="00C16280">
              <w:t>carrying out cargo operations safely and according to accepted policies and procedures, including:</w:t>
            </w:r>
          </w:p>
          <w:p w:rsidR="00000000" w:rsidRPr="00C16280" w:rsidP="00C16280">
            <w:pPr>
              <w:pStyle w:val="ListBullet2"/>
            </w:pPr>
            <w:r w:rsidRPr="00C16280">
              <w:t>loading and unloading dry bulk cargo</w:t>
            </w:r>
          </w:p>
          <w:p w:rsidR="00000000" w:rsidRPr="00C16280" w:rsidP="00C16280">
            <w:pPr>
              <w:pStyle w:val="ListBullet2"/>
            </w:pPr>
            <w:r w:rsidRPr="00C16280">
              <w:t>loading and unloading of liquid cargo</w:t>
            </w:r>
          </w:p>
          <w:p w:rsidR="00000000" w:rsidRPr="00C16280" w:rsidP="00C16280">
            <w:pPr>
              <w:pStyle w:val="ListBullet2"/>
            </w:pPr>
            <w:r w:rsidRPr="00C16280">
              <w:t>loading, unloading and care in transit of deck cargo</w:t>
            </w:r>
          </w:p>
          <w:p w:rsidR="00000000" w:rsidRPr="00C16280" w:rsidP="00C16280">
            <w:pPr>
              <w:pStyle w:val="ListBullet2"/>
            </w:pPr>
            <w:r w:rsidRPr="00C16280">
              <w:t>piping systems and deck valve arrangements</w:t>
            </w:r>
          </w:p>
          <w:p w:rsidR="00000000" w:rsidRPr="00C16280" w:rsidP="00C16280">
            <w:pPr>
              <w:pStyle w:val="ListBullet2"/>
            </w:pPr>
            <w:r w:rsidRPr="00C16280">
              <w:t>tubular cargo securing arrangements</w:t>
            </w:r>
          </w:p>
          <w:p w:rsidR="00000000" w:rsidRPr="00C16280" w:rsidP="00C16280">
            <w:pPr>
              <w:pStyle w:val="ListBullet"/>
            </w:pPr>
            <w:r w:rsidRPr="00C16280">
              <w:t>ensuring safe stowage or lashing of deck cargo</w:t>
            </w:r>
          </w:p>
          <w:p w:rsidR="00000000" w:rsidRPr="00C16280" w:rsidP="00C16280">
            <w:pPr>
              <w:pStyle w:val="ListBullet"/>
            </w:pPr>
            <w:r w:rsidRPr="00C16280">
              <w:t>identifying and developing awareness of hazardous situations</w:t>
            </w:r>
          </w:p>
          <w:p w:rsidR="00000000" w:rsidRPr="00C16280" w:rsidP="00C16280">
            <w:pPr>
              <w:pStyle w:val="ListBullet"/>
            </w:pPr>
            <w:r w:rsidRPr="00C16280">
              <w:t>identifying saf</w:t>
            </w:r>
            <w:r w:rsidRPr="00C16280">
              <w:t>ety data sheets (SDS)/material safety data sheets (MSDS) and/or International Maritime Dangerous Goods (IMDG) Code, relevant cargo-related hazards to vessel and to personnel, and taking appropriate action for safe transfer and stowage of cargo</w:t>
            </w:r>
          </w:p>
          <w:p w:rsidR="00000000" w:rsidRPr="00C16280" w:rsidP="00C16280">
            <w:pPr>
              <w:pStyle w:val="ListBullet"/>
            </w:pPr>
            <w:r w:rsidRPr="00C16280">
              <w:t>interpreting</w:t>
            </w:r>
            <w:r w:rsidRPr="00C16280">
              <w:t xml:space="preserve"> and applying offshore support vessel (OSV) layouts, OSV cargo features, characteristics and hazards, and related hazard prevention strategies to duties on various types of OSVs</w:t>
            </w:r>
          </w:p>
          <w:p w:rsidR="00000000" w:rsidRPr="00C16280" w:rsidP="00C16280">
            <w:pPr>
              <w:pStyle w:val="ListBullet"/>
            </w:pPr>
            <w:r w:rsidRPr="00C16280">
              <w:t>reading and interpreting SDS/MSDS and/or IMDG Code</w:t>
            </w:r>
          </w:p>
          <w:p w:rsidR="00000000" w:rsidRPr="00C16280" w:rsidP="00C16280">
            <w:pPr>
              <w:pStyle w:val="ListBullet"/>
            </w:pPr>
            <w:r w:rsidRPr="00C16280">
              <w:t>recognising hazards and oth</w:t>
            </w:r>
            <w:r w:rsidRPr="00C16280">
              <w:t>er problems that can arise when managing safety on an OSV, taking appropriate remedial action and initiating appropriate solutions</w:t>
            </w:r>
          </w:p>
          <w:p w:rsidR="00000000" w:rsidRPr="00C16280" w:rsidP="00C16280">
            <w:pPr>
              <w:pStyle w:val="ListBullet"/>
            </w:pPr>
            <w:r w:rsidRPr="00C16280">
              <w:t>reporting relevant information to the responsible person</w:t>
            </w:r>
          </w:p>
          <w:p w:rsidR="00000000" w:rsidRPr="00C16280" w:rsidP="00C16280">
            <w:pPr>
              <w:pStyle w:val="ListBullet"/>
            </w:pPr>
            <w:r w:rsidRPr="00C16280">
              <w:t>using verbal and non-verbal means of communication in a clear and ap</w:t>
            </w:r>
            <w:r w:rsidRPr="00C16280">
              <w:t>propriate manner to effectively communicate with other crew members.</w:t>
            </w:r>
          </w:p>
        </w:tc>
      </w:tr>
    </w:tbl>
    <w:p w:rsidR="00D97474" w:rsidP="00C16280">
      <w:pPr>
        <w:pStyle w:val="NoPaddingFontSize1"/>
      </w:pPr>
    </w:p>
    <w:p w:rsidR="00D97474" w:rsidP="00C16280">
      <w:pPr>
        <w:pStyle w:val="NoPaddingFontSize1"/>
      </w:pPr>
    </w:p>
    <w:p w:rsidR="00000000" w:rsidRPr="00C16280" w:rsidP="00C16280">
      <w:pPr>
        <w:pStyle w:val="Heading1"/>
      </w:pPr>
      <w:bookmarkStart w:id="3" w:name="O_1085736"/>
      <w:bookmarkEnd w:id="3"/>
      <w:r w:rsidRPr="00C16280">
        <w:t>Knowledge Evidence</w:t>
      </w:r>
    </w:p>
    <w:tbl>
      <w:tblPr>
        <w:tblW w:w="9497" w:type="dxa"/>
        <w:tblLayout w:type="fixed"/>
        <w:tblCellMar>
          <w:left w:w="62" w:type="dxa"/>
          <w:right w:w="62" w:type="dxa"/>
        </w:tblCellMar>
        <w:tblLook w:val="0000"/>
      </w:tblPr>
      <w:tblGrid>
        <w:gridCol w:w="9497"/>
      </w:tblGrid>
      <w:tr w:rsidTr="00C16280">
        <w:tblPrEx>
          <w:tblW w:w="9497" w:type="dxa"/>
          <w:tblLayout w:type="fixed"/>
          <w:tblCellMar>
            <w:left w:w="62" w:type="dxa"/>
            <w:right w:w="62" w:type="dxa"/>
          </w:tblCellMar>
          <w:tblLook w:val="0000"/>
        </w:tblPrEx>
        <w:trPr>
          <w:trHeight w:val="13737"/>
        </w:trPr>
        <w:tc>
          <w:tcPr>
            <w:tcW w:w="9497" w:type="dxa"/>
            <w:tcBorders>
              <w:top w:val="nil"/>
              <w:left w:val="nil"/>
              <w:bottom w:val="nil"/>
              <w:right w:val="nil"/>
            </w:tcBorders>
            <w:tcMar>
              <w:top w:w="0" w:type="dxa"/>
              <w:left w:w="62" w:type="dxa"/>
              <w:bottom w:w="0" w:type="dxa"/>
              <w:right w:w="62" w:type="dxa"/>
            </w:tcMar>
          </w:tcPr>
          <w:p w:rsidR="00000000" w:rsidRPr="00C16280" w:rsidP="00C16280">
            <w:pPr>
              <w:pStyle w:val="BodyText"/>
            </w:pPr>
            <w:r w:rsidRPr="00C16280">
              <w:t>Evidence required to demonstrate competence in this unit must be relevant to and satisfy all of the requirements of the elements, performance criteria and range of conditions and include knowledge of:</w:t>
            </w:r>
          </w:p>
          <w:p w:rsidR="00000000" w:rsidRPr="00C16280" w:rsidP="00C16280">
            <w:pPr>
              <w:pStyle w:val="ListBullet"/>
            </w:pPr>
            <w:r w:rsidRPr="00C16280">
              <w:t>actions and measures to be taken in the event of spill</w:t>
            </w:r>
            <w:r w:rsidRPr="00C16280">
              <w:t>age</w:t>
            </w:r>
          </w:p>
          <w:p w:rsidR="00000000" w:rsidRPr="00C16280" w:rsidP="00C16280">
            <w:pPr>
              <w:pStyle w:val="ListBullet"/>
            </w:pPr>
            <w:r w:rsidRPr="00C16280">
              <w:t>cargo operation procedures, including loading and unloading cargo</w:t>
            </w:r>
          </w:p>
          <w:p w:rsidR="00000000" w:rsidRPr="00C16280" w:rsidP="00C16280">
            <w:pPr>
              <w:pStyle w:val="ListBullet"/>
            </w:pPr>
            <w:r w:rsidRPr="00C16280">
              <w:t>features and characteristics of various types of OSVs, including:</w:t>
            </w:r>
          </w:p>
          <w:p w:rsidR="00000000" w:rsidRPr="00C16280" w:rsidP="00C16280">
            <w:pPr>
              <w:pStyle w:val="ListBullet2"/>
            </w:pPr>
            <w:r w:rsidRPr="00C16280">
              <w:t>general arrangement and construction</w:t>
            </w:r>
          </w:p>
          <w:p w:rsidR="00000000" w:rsidRPr="00C16280" w:rsidP="00C16280">
            <w:pPr>
              <w:pStyle w:val="ListBullet2"/>
            </w:pPr>
            <w:r w:rsidRPr="00C16280">
              <w:t>types of offshore installations, rigs and platforms</w:t>
            </w:r>
          </w:p>
          <w:p w:rsidR="00000000" w:rsidRPr="00C16280" w:rsidP="00C16280">
            <w:pPr>
              <w:pStyle w:val="ListBullet2"/>
            </w:pPr>
            <w:r w:rsidRPr="00C16280">
              <w:t>types of OSVs</w:t>
            </w:r>
          </w:p>
          <w:p w:rsidR="00000000" w:rsidRPr="00C16280" w:rsidP="00C16280">
            <w:pPr>
              <w:pStyle w:val="ListBullet"/>
            </w:pPr>
            <w:r w:rsidRPr="00C16280">
              <w:t>general arrangement and construction of OSVs</w:t>
            </w:r>
          </w:p>
          <w:p w:rsidR="00000000" w:rsidRPr="00C16280" w:rsidP="00C16280">
            <w:pPr>
              <w:pStyle w:val="ListBullet"/>
            </w:pPr>
            <w:r w:rsidRPr="00C16280">
              <w:t>hazards including:</w:t>
            </w:r>
          </w:p>
          <w:p w:rsidR="00000000" w:rsidRPr="00C16280" w:rsidP="00C16280">
            <w:pPr>
              <w:pStyle w:val="ListBullet2"/>
            </w:pPr>
            <w:r w:rsidRPr="00C16280">
              <w:t>electrostatic hazards</w:t>
            </w:r>
          </w:p>
          <w:p w:rsidR="00000000" w:rsidRPr="00C16280" w:rsidP="00C16280">
            <w:pPr>
              <w:pStyle w:val="ListBullet2"/>
            </w:pPr>
            <w:r w:rsidRPr="00C16280">
              <w:t>environmental hazards, including the effects of oil and chemical pollution on human and marine life</w:t>
            </w:r>
          </w:p>
          <w:p w:rsidR="00000000" w:rsidRPr="00C16280" w:rsidP="00C16280">
            <w:pPr>
              <w:pStyle w:val="ListBullet2"/>
            </w:pPr>
            <w:r w:rsidRPr="00C16280">
              <w:t>explosion and flammability hazards</w:t>
            </w:r>
          </w:p>
          <w:p w:rsidR="00000000" w:rsidRPr="00C16280" w:rsidP="00C16280">
            <w:pPr>
              <w:pStyle w:val="ListBullet2"/>
            </w:pPr>
            <w:r w:rsidRPr="00C16280">
              <w:t>hazards associated with:</w:t>
            </w:r>
          </w:p>
          <w:p w:rsidR="00000000" w:rsidRPr="00C16280" w:rsidP="00C16280">
            <w:pPr>
              <w:pStyle w:val="ListBullet3"/>
            </w:pPr>
            <w:r w:rsidRPr="00C16280">
              <w:t>below de</w:t>
            </w:r>
            <w:r w:rsidRPr="00C16280">
              <w:t>ck cargo operations</w:t>
            </w:r>
          </w:p>
          <w:p w:rsidR="00000000" w:rsidRPr="00C16280" w:rsidP="00C16280">
            <w:pPr>
              <w:pStyle w:val="ListBullet3"/>
            </w:pPr>
            <w:r w:rsidRPr="00C16280">
              <w:t>OSV bulk and liquid</w:t>
            </w:r>
          </w:p>
          <w:p w:rsidR="00000000" w:rsidRPr="00C16280" w:rsidP="00C16280">
            <w:pPr>
              <w:pStyle w:val="ListBullet3"/>
            </w:pPr>
            <w:r w:rsidRPr="00C16280">
              <w:t>OSV deck cargo operations</w:t>
            </w:r>
          </w:p>
          <w:p w:rsidR="00000000" w:rsidRPr="00C16280" w:rsidP="00C16280">
            <w:pPr>
              <w:pStyle w:val="ListBullet2"/>
            </w:pPr>
            <w:r w:rsidRPr="00C16280">
              <w:t>health hazards</w:t>
            </w:r>
          </w:p>
          <w:p w:rsidR="00000000" w:rsidRPr="00C16280" w:rsidP="00C16280">
            <w:pPr>
              <w:pStyle w:val="ListBullet2"/>
            </w:pPr>
            <w:r w:rsidRPr="00C16280">
              <w:t>pressure hazards</w:t>
            </w:r>
          </w:p>
          <w:p w:rsidR="00000000" w:rsidRPr="00C16280" w:rsidP="00C16280">
            <w:pPr>
              <w:pStyle w:val="ListBullet2"/>
            </w:pPr>
            <w:r w:rsidRPr="00C16280">
              <w:t>sources of ignition</w:t>
            </w:r>
          </w:p>
          <w:p w:rsidR="00000000" w:rsidRPr="00C16280" w:rsidP="00C16280">
            <w:pPr>
              <w:pStyle w:val="ListBullet2"/>
            </w:pPr>
            <w:r w:rsidRPr="00C16280">
              <w:t>toxicity hazards</w:t>
            </w:r>
          </w:p>
          <w:p w:rsidR="00000000" w:rsidRPr="00C16280" w:rsidP="00C16280">
            <w:pPr>
              <w:pStyle w:val="ListBullet"/>
            </w:pPr>
            <w:r w:rsidRPr="00C16280">
              <w:t>hazard control procedures on OSVs</w:t>
            </w:r>
          </w:p>
          <w:p w:rsidR="00000000" w:rsidRPr="00C16280" w:rsidP="00C16280">
            <w:pPr>
              <w:pStyle w:val="ListBullet"/>
            </w:pPr>
            <w:r w:rsidRPr="00C16280">
              <w:t>hazard risk control measures, including:</w:t>
            </w:r>
          </w:p>
          <w:p w:rsidR="00000000" w:rsidRPr="00C16280" w:rsidP="00C16280">
            <w:pPr>
              <w:pStyle w:val="ListBullet2"/>
            </w:pPr>
            <w:r w:rsidRPr="00C16280">
              <w:t>atmospheric control</w:t>
            </w:r>
          </w:p>
          <w:p w:rsidR="00000000" w:rsidRPr="00C16280" w:rsidP="00C16280">
            <w:pPr>
              <w:pStyle w:val="ListBullet2"/>
            </w:pPr>
            <w:r w:rsidRPr="00C16280">
              <w:t>cargo securing arrangements, including ensuring safe stowage or lashing of deck cargo</w:t>
            </w:r>
          </w:p>
          <w:p w:rsidR="00000000" w:rsidRPr="00C16280" w:rsidP="00C16280">
            <w:pPr>
              <w:pStyle w:val="ListBullet2"/>
            </w:pPr>
            <w:r w:rsidRPr="00C16280">
              <w:t>cargo segregation</w:t>
            </w:r>
          </w:p>
          <w:p w:rsidR="00000000" w:rsidRPr="00C16280" w:rsidP="00C16280">
            <w:pPr>
              <w:pStyle w:val="ListBullet2"/>
            </w:pPr>
            <w:r w:rsidRPr="00C16280">
              <w:t>equipment colour coding</w:t>
            </w:r>
          </w:p>
          <w:p w:rsidR="00000000" w:rsidRPr="00C16280" w:rsidP="00C16280">
            <w:pPr>
              <w:pStyle w:val="ListBullet2"/>
            </w:pPr>
            <w:r w:rsidRPr="00C16280">
              <w:t>personal protective equipment (PPE)</w:t>
            </w:r>
          </w:p>
          <w:p w:rsidR="00000000" w:rsidRPr="00C16280" w:rsidP="00C16280">
            <w:pPr>
              <w:pStyle w:val="ListBullet"/>
            </w:pPr>
            <w:r w:rsidRPr="00C16280">
              <w:t>information on SDS/MSDS and/or IMDG Code</w:t>
            </w:r>
          </w:p>
          <w:p w:rsidR="00000000" w:rsidRPr="00C16280" w:rsidP="00C16280">
            <w:pPr>
              <w:pStyle w:val="ListBullet"/>
            </w:pPr>
            <w:r w:rsidRPr="00C16280">
              <w:t>OSV safety culture and safety management systems (</w:t>
            </w:r>
            <w:r w:rsidRPr="00C16280">
              <w:t>SMS)</w:t>
            </w:r>
          </w:p>
          <w:p w:rsidR="00000000" w:rsidRPr="00C16280" w:rsidP="00C16280">
            <w:pPr>
              <w:pStyle w:val="ListBullet"/>
            </w:pPr>
            <w:r w:rsidRPr="00C16280">
              <w:t>piping systems, hoses and valves</w:t>
            </w:r>
          </w:p>
          <w:p w:rsidR="00000000" w:rsidRPr="00C16280" w:rsidP="00C16280">
            <w:pPr>
              <w:pStyle w:val="ListBullet"/>
            </w:pPr>
            <w:r w:rsidRPr="00C16280">
              <w:t>procedures for the safe use of PPE</w:t>
            </w:r>
          </w:p>
          <w:p w:rsidR="00000000" w:rsidRPr="00C16280" w:rsidP="00C16280">
            <w:pPr>
              <w:pStyle w:val="ListBullet"/>
            </w:pPr>
            <w:r w:rsidRPr="00C16280">
              <w:t>properties of cargo being transported, including:</w:t>
            </w:r>
          </w:p>
          <w:p w:rsidR="00000000" w:rsidRPr="00C16280" w:rsidP="00C16280">
            <w:pPr>
              <w:pStyle w:val="ListBullet2"/>
            </w:pPr>
            <w:r w:rsidRPr="00C16280">
              <w:t>deck cargo types and characteristics</w:t>
            </w:r>
          </w:p>
          <w:p w:rsidR="00000000" w:rsidRPr="00C16280" w:rsidP="00C16280">
            <w:pPr>
              <w:pStyle w:val="ListBullet2"/>
            </w:pPr>
            <w:r w:rsidRPr="00C16280">
              <w:t>hazards of noxious liquid substances (NLS) cargo</w:t>
            </w:r>
          </w:p>
          <w:p w:rsidR="00000000" w:rsidRPr="00C16280" w:rsidP="00C16280">
            <w:pPr>
              <w:pStyle w:val="ListBullet2"/>
            </w:pPr>
            <w:r w:rsidRPr="00C16280">
              <w:t>hazards of offshore cargo operations</w:t>
            </w:r>
          </w:p>
          <w:p w:rsidR="00000000" w:rsidRPr="00C16280" w:rsidP="00C16280">
            <w:pPr>
              <w:pStyle w:val="ListBullet2"/>
            </w:pPr>
            <w:r w:rsidRPr="00C16280">
              <w:t>hazards of oil cargoes</w:t>
            </w:r>
          </w:p>
          <w:p w:rsidR="00000000" w:rsidRPr="00C16280" w:rsidP="00C16280">
            <w:pPr>
              <w:pStyle w:val="ListBullet2"/>
            </w:pPr>
            <w:r w:rsidRPr="00C16280">
              <w:t>tubular cargo stability and securing</w:t>
            </w:r>
          </w:p>
          <w:p w:rsidR="00000000" w:rsidRPr="00C16280" w:rsidP="00C16280">
            <w:pPr>
              <w:pStyle w:val="ListBullet"/>
            </w:pPr>
            <w:r w:rsidRPr="00C16280">
              <w:t>shipboard procedures to reflect current International Convention for the Prevention of Pollution from Ships (MARPOL) regulations to prevent pollution</w:t>
            </w:r>
          </w:p>
          <w:p w:rsidR="00000000" w:rsidRPr="00C16280" w:rsidP="00C16280">
            <w:pPr>
              <w:pStyle w:val="ListBullet"/>
            </w:pPr>
            <w:r w:rsidRPr="00C16280">
              <w:t>terminology relating to the structure and ope</w:t>
            </w:r>
            <w:r w:rsidRPr="00C16280">
              <w:t>rations of various types of OSVs</w:t>
            </w:r>
          </w:p>
          <w:p w:rsidR="00000000" w:rsidRPr="00C16280" w:rsidP="00C16280">
            <w:pPr>
              <w:pStyle w:val="ListBullet"/>
            </w:pPr>
            <w:r w:rsidRPr="00C16280">
              <w:t>work health and safety (WHS)/occupational health and safety (OHS) requirements and work practices.</w:t>
            </w:r>
          </w:p>
        </w:tc>
      </w:tr>
    </w:tbl>
    <w:p w:rsidR="00D97474" w:rsidP="00C16280">
      <w:pPr>
        <w:pStyle w:val="NoPaddingFontSize1"/>
      </w:pPr>
    </w:p>
    <w:p w:rsidR="00D97474" w:rsidP="00C16280">
      <w:pPr>
        <w:pStyle w:val="NoPaddingFontSize1"/>
      </w:pPr>
    </w:p>
    <w:p w:rsidR="00000000" w:rsidRPr="00C16280" w:rsidP="00C16280">
      <w:pPr>
        <w:pStyle w:val="Heading1"/>
      </w:pPr>
      <w:bookmarkStart w:id="4" w:name="O_1085737"/>
      <w:bookmarkEnd w:id="4"/>
      <w:r w:rsidRPr="00C16280">
        <w:t>Assessment Conditions</w:t>
      </w:r>
    </w:p>
    <w:tbl>
      <w:tblPr>
        <w:tblW w:w="9497" w:type="dxa"/>
        <w:tblLayout w:type="fixed"/>
        <w:tblCellMar>
          <w:left w:w="62" w:type="dxa"/>
          <w:right w:w="62" w:type="dxa"/>
        </w:tblCellMar>
        <w:tblLook w:val="0000"/>
      </w:tblPr>
      <w:tblGrid>
        <w:gridCol w:w="9497"/>
      </w:tblGrid>
      <w:tr w:rsidTr="00C16280">
        <w:tblPrEx>
          <w:tblW w:w="9497" w:type="dxa"/>
          <w:tblLayout w:type="fixed"/>
          <w:tblCellMar>
            <w:left w:w="62" w:type="dxa"/>
            <w:right w:w="62" w:type="dxa"/>
          </w:tblCellMar>
          <w:tblLook w:val="0000"/>
        </w:tblPrEx>
        <w:trPr>
          <w:trHeight w:val="11565"/>
        </w:trPr>
        <w:tc>
          <w:tcPr>
            <w:tcW w:w="9497" w:type="dxa"/>
            <w:tcBorders>
              <w:top w:val="nil"/>
              <w:left w:val="nil"/>
              <w:bottom w:val="nil"/>
              <w:right w:val="nil"/>
            </w:tcBorders>
            <w:tcMar>
              <w:top w:w="0" w:type="dxa"/>
              <w:left w:w="62" w:type="dxa"/>
              <w:bottom w:w="0" w:type="dxa"/>
              <w:right w:w="62" w:type="dxa"/>
            </w:tcMar>
          </w:tcPr>
          <w:p w:rsidR="00000000" w:rsidRPr="00C16280" w:rsidP="00C16280">
            <w:pPr>
              <w:pStyle w:val="BodyText"/>
            </w:pPr>
            <w:r w:rsidRPr="00C16280">
              <w:t xml:space="preserve">Assessors must hold credentials specified within the Standards for Registered Training Organisations current at the time of assessment. </w:t>
            </w:r>
          </w:p>
          <w:p w:rsidR="00000000" w:rsidRPr="00C16280" w:rsidP="00C16280">
            <w:pPr>
              <w:pStyle w:val="BodyText"/>
            </w:pPr>
            <w:r w:rsidRPr="00C16280">
              <w:t>Assessment must satisfy the Principles of Assessment and Rules of Evidence and all regulatory requirements included wit</w:t>
            </w:r>
            <w:r w:rsidRPr="00C16280">
              <w:t>hin the Standards for Registered Training Organisations current at the time of assessment.</w:t>
            </w:r>
          </w:p>
          <w:p w:rsidR="00000000" w:rsidRPr="00C16280" w:rsidP="00C16280">
            <w:pPr>
              <w:pStyle w:val="BodyText"/>
            </w:pPr>
            <w:r w:rsidRPr="00C16280">
              <w:t>Assessment processes and techniques must be appropriate to the language, literacy and numeracy requirements of the work being performed and the needs of the candidat</w:t>
            </w:r>
            <w:r w:rsidRPr="00C16280">
              <w:t>e.</w:t>
            </w:r>
          </w:p>
          <w:p w:rsidR="00000000" w:rsidRPr="00C16280" w:rsidP="00C16280">
            <w:pPr>
              <w:pStyle w:val="BodyText"/>
            </w:pPr>
            <w:r w:rsidRPr="00C16280">
              <w:t xml:space="preserve">Practical assessment must occur onboard an OSV workplace, or realistic simulated workplace, under the normal range of workplace conditions. </w:t>
            </w:r>
          </w:p>
          <w:p w:rsidR="00000000" w:rsidRPr="00C16280" w:rsidP="00C16280">
            <w:pPr>
              <w:pStyle w:val="BodyText"/>
            </w:pPr>
            <w:r w:rsidRPr="00C16280">
              <w:t>Simulations and scenarios may be used where situations cannot be provided in the workplace or may occur only rar</w:t>
            </w:r>
            <w:r w:rsidRPr="00C16280">
              <w:t>ely, in particular for situations relating to emergency procedures and adverse weather conditions where assessment would be unsafe, impractical or may lead to environmental damage.</w:t>
            </w:r>
          </w:p>
          <w:p w:rsidR="00000000" w:rsidRPr="00C16280" w:rsidP="00C16280">
            <w:pPr>
              <w:pStyle w:val="BodyText"/>
            </w:pPr>
            <w:r w:rsidRPr="00C16280">
              <w:t>Resources for assessment must include access to:</w:t>
            </w:r>
          </w:p>
          <w:p w:rsidR="00000000" w:rsidRPr="00C16280" w:rsidP="00C16280">
            <w:pPr>
              <w:pStyle w:val="ListBullet"/>
            </w:pPr>
            <w:r w:rsidRPr="00C16280">
              <w:t>applicable documentation,</w:t>
            </w:r>
            <w:r w:rsidRPr="00C16280">
              <w:t xml:space="preserve"> such as legislation, regulations, codes of practice, workplace procedures and operational manuals</w:t>
            </w:r>
          </w:p>
          <w:p w:rsidR="00000000" w:rsidRPr="00C16280" w:rsidP="00C16280">
            <w:pPr>
              <w:pStyle w:val="ListBullet"/>
            </w:pPr>
            <w:r w:rsidRPr="00C16280">
              <w:t>cargo, including:</w:t>
            </w:r>
          </w:p>
          <w:p w:rsidR="00000000" w:rsidRPr="00C16280" w:rsidP="00C16280">
            <w:pPr>
              <w:pStyle w:val="ListBullet2"/>
            </w:pPr>
            <w:r w:rsidRPr="00C16280">
              <w:t>containerised deck cargo</w:t>
            </w:r>
          </w:p>
          <w:p w:rsidR="00000000" w:rsidRPr="00C16280" w:rsidP="00C16280">
            <w:pPr>
              <w:pStyle w:val="ListBullet2"/>
            </w:pPr>
            <w:r w:rsidRPr="00C16280">
              <w:t>drilling brines</w:t>
            </w:r>
          </w:p>
          <w:p w:rsidR="00000000" w:rsidRPr="00C16280" w:rsidP="00C16280">
            <w:pPr>
              <w:pStyle w:val="ListBullet2"/>
            </w:pPr>
            <w:r w:rsidRPr="00C16280">
              <w:t>drilling muds</w:t>
            </w:r>
          </w:p>
          <w:p w:rsidR="00000000" w:rsidRPr="00C16280" w:rsidP="00C16280">
            <w:pPr>
              <w:pStyle w:val="ListBullet2"/>
            </w:pPr>
            <w:r w:rsidRPr="00C16280">
              <w:t>dry bulk cargo</w:t>
            </w:r>
          </w:p>
          <w:p w:rsidR="00000000" w:rsidRPr="00C16280" w:rsidP="00C16280">
            <w:pPr>
              <w:pStyle w:val="ListBullet2"/>
            </w:pPr>
            <w:r w:rsidRPr="00C16280">
              <w:t>heavy lifts and unusual lifts</w:t>
            </w:r>
          </w:p>
          <w:p w:rsidR="00000000" w:rsidRPr="00C16280" w:rsidP="00C16280">
            <w:pPr>
              <w:pStyle w:val="ListBullet2"/>
            </w:pPr>
            <w:r w:rsidRPr="00C16280">
              <w:t>NLS</w:t>
            </w:r>
          </w:p>
          <w:p w:rsidR="00000000" w:rsidRPr="00C16280" w:rsidP="00C16280">
            <w:pPr>
              <w:pStyle w:val="ListBullet2"/>
            </w:pPr>
            <w:r w:rsidRPr="00C16280">
              <w:t>oil</w:t>
            </w:r>
          </w:p>
          <w:p w:rsidR="00000000" w:rsidRPr="00C16280" w:rsidP="00C16280">
            <w:pPr>
              <w:pStyle w:val="ListBullet2"/>
            </w:pPr>
            <w:r w:rsidRPr="00C16280">
              <w:t>tubular deck cargo</w:t>
            </w:r>
          </w:p>
          <w:p w:rsidR="00000000" w:rsidRPr="00C16280" w:rsidP="00C16280">
            <w:pPr>
              <w:pStyle w:val="ListBullet"/>
            </w:pPr>
            <w:r w:rsidRPr="00C16280">
              <w:t>cargo securing equipment, including:</w:t>
            </w:r>
          </w:p>
          <w:p w:rsidR="00000000" w:rsidRPr="00C16280" w:rsidP="00C16280">
            <w:pPr>
              <w:pStyle w:val="ListBullet2"/>
            </w:pPr>
            <w:r w:rsidRPr="00C16280">
              <w:t>capstan winches and wires</w:t>
            </w:r>
          </w:p>
          <w:p w:rsidR="00000000" w:rsidRPr="00C16280" w:rsidP="00C16280">
            <w:pPr>
              <w:pStyle w:val="ListBullet2"/>
            </w:pPr>
            <w:r w:rsidRPr="00C16280">
              <w:t>cargo securing manual</w:t>
            </w:r>
          </w:p>
          <w:p w:rsidR="00000000" w:rsidRPr="00C16280" w:rsidP="00C16280">
            <w:pPr>
              <w:pStyle w:val="ListBullet2"/>
            </w:pPr>
            <w:r w:rsidRPr="00C16280">
              <w:t>cargo securing pins</w:t>
            </w:r>
          </w:p>
          <w:p w:rsidR="00000000" w:rsidRPr="00C16280" w:rsidP="00C16280">
            <w:pPr>
              <w:pStyle w:val="ListBullet2"/>
            </w:pPr>
            <w:r w:rsidRPr="00C16280">
              <w:t>chocks</w:t>
            </w:r>
          </w:p>
          <w:p w:rsidR="00000000" w:rsidRPr="00C16280" w:rsidP="00C16280">
            <w:pPr>
              <w:pStyle w:val="ListBullet2"/>
            </w:pPr>
            <w:r w:rsidRPr="00C16280">
              <w:t>dollies</w:t>
            </w:r>
          </w:p>
          <w:p w:rsidR="00000000" w:rsidRPr="00C16280" w:rsidP="00C16280">
            <w:pPr>
              <w:pStyle w:val="ListBullet2"/>
            </w:pPr>
            <w:r w:rsidRPr="00C16280">
              <w:t>tugger winches and wires</w:t>
            </w:r>
          </w:p>
          <w:p w:rsidR="00000000" w:rsidRPr="00C16280" w:rsidP="00C16280">
            <w:pPr>
              <w:pStyle w:val="ListBullet"/>
            </w:pPr>
            <w:r w:rsidRPr="00C16280">
              <w:t>range of relevant practical and written exercises, case studies and simulations that reflect typical conditio</w:t>
            </w:r>
            <w:r w:rsidRPr="00C16280">
              <w:t>ns found in the workplace</w:t>
            </w:r>
          </w:p>
          <w:p w:rsidR="00000000" w:rsidRPr="00C16280" w:rsidP="00C16280">
            <w:pPr>
              <w:pStyle w:val="ListBullet"/>
            </w:pPr>
            <w:r w:rsidRPr="00C16280">
              <w:t>tools, equipment, machinery, materials and PPE currently used in industry</w:t>
            </w:r>
          </w:p>
          <w:p w:rsidR="00000000" w:rsidRPr="00C16280" w:rsidP="00C16280">
            <w:pPr>
              <w:pStyle w:val="BodyText"/>
            </w:pPr>
          </w:p>
        </w:tc>
      </w:tr>
    </w:tbl>
    <w:p w:rsidR="00D97474" w:rsidP="00C16280">
      <w:pPr>
        <w:pStyle w:val="BodyText"/>
      </w:pPr>
    </w:p>
    <w:p w:rsidR="00D97474" w:rsidP="00C16280">
      <w:pPr>
        <w:pStyle w:val="BodyText"/>
      </w:pPr>
    </w:p>
    <w:p w:rsidR="00000000" w:rsidRPr="00C16280" w:rsidP="00C16280">
      <w:pPr>
        <w:pStyle w:val="Heading1"/>
      </w:pPr>
      <w:bookmarkStart w:id="5" w:name="O_1085740"/>
      <w:bookmarkEnd w:id="5"/>
      <w:r w:rsidRPr="00C16280">
        <w:t>Links</w:t>
      </w:r>
    </w:p>
    <w:p w:rsidR="00000000" w:rsidRPr="00C16280" w:rsidP="00D97474">
      <w:pPr>
        <w:pStyle w:val="BodyText"/>
      </w:pPr>
      <w:r w:rsidRPr="00C16280">
        <w:t>Companion Volume implemen</w:t>
      </w:r>
      <w:r w:rsidRPr="00C16280">
        <w:t xml:space="preserve">tation guide can be found in VetNet - </w:t>
      </w:r>
      <w:r>
        <w:fldChar w:fldCharType="begin"/>
      </w:r>
      <w:r>
        <w:instrText xml:space="preserve"> HYPERLINK "https://vetnet.gov.au/Pages/TrainingDocs.aspx?q=772efb7b-4cce-47fe-9bbd-ee3b1d1eb4c2" </w:instrText>
      </w:r>
      <w:r>
        <w:fldChar w:fldCharType="separate"/>
      </w:r>
      <w:r w:rsidRPr="00B62CA1">
        <w:rPr>
          <w:rStyle w:val="Hyperlink"/>
        </w:rPr>
        <w:t>https://vetnet.gov.au/Pages/TrainingDocs.aspx?q=772efb7b-4cce-47fe-9bbd-ee3b1d1eb4c2</w:t>
      </w:r>
      <w:r>
        <w:fldChar w:fldCharType="end"/>
      </w:r>
    </w:p>
    <w:p w:rsidR="00000000" w:rsidRPr="00C16280" w:rsidP="00C16280"/>
    <w:sectPr w:rsidSect="00C162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2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280" w:rsidRPr="00D97474" w:rsidP="00D974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2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474" w:rsidP="00C162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7474" w:rsidP="00C1628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D97474" w:rsidP="00C162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2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4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6280" w:rsidRPr="00D97474" w:rsidP="00D974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2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474" w:rsidRPr="002D2AF8" w:rsidP="00C16280">
    <w:pPr>
      <w:pStyle w:val="Header"/>
      <w:framePr w:wrap="around"/>
    </w:pPr>
    <w:r>
      <w:fldChar w:fldCharType="begin"/>
    </w:r>
    <w:r>
      <w:instrText xml:space="preserve"> TITLE   \* MERGEFORMAT </w:instrText>
    </w:r>
    <w:r>
      <w:fldChar w:fldCharType="separate"/>
    </w:r>
    <w:r>
      <w:t>Assessment Requirements for MARA016 Contribute to safe cargo operations on offshore support vessels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D97474" w:rsidP="00C162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6E93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FA02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4AD2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2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6280"/>
    <w:pPr>
      <w:spacing w:before="360" w:after="60"/>
      <w:outlineLvl w:val="0"/>
    </w:pPr>
    <w:rPr>
      <w:sz w:val="32"/>
    </w:rPr>
  </w:style>
  <w:style w:type="paragraph" w:styleId="Heading2">
    <w:name w:val="heading 2"/>
    <w:basedOn w:val="HeadingBase"/>
    <w:next w:val="BodyText"/>
    <w:link w:val="Heading2Char"/>
    <w:qFormat/>
    <w:rsid w:val="00C16280"/>
    <w:pPr>
      <w:keepLines/>
      <w:spacing w:before="240" w:after="120"/>
      <w:outlineLvl w:val="1"/>
    </w:pPr>
    <w:rPr>
      <w:sz w:val="28"/>
      <w:szCs w:val="40"/>
    </w:rPr>
  </w:style>
  <w:style w:type="paragraph" w:styleId="Heading3">
    <w:name w:val="heading 3"/>
    <w:basedOn w:val="HeadingBase"/>
    <w:next w:val="BodyText"/>
    <w:link w:val="Heading3Char"/>
    <w:qFormat/>
    <w:rsid w:val="00C16280"/>
    <w:pPr>
      <w:spacing w:before="180" w:after="120"/>
      <w:outlineLvl w:val="2"/>
    </w:pPr>
    <w:rPr>
      <w:spacing w:val="-10"/>
      <w:kern w:val="32"/>
    </w:rPr>
  </w:style>
  <w:style w:type="paragraph" w:styleId="Heading4">
    <w:name w:val="heading 4"/>
    <w:basedOn w:val="HeadingBase"/>
    <w:next w:val="BodyText"/>
    <w:link w:val="Heading4Char"/>
    <w:qFormat/>
    <w:rsid w:val="00C16280"/>
    <w:pPr>
      <w:spacing w:before="160" w:after="120"/>
      <w:outlineLvl w:val="3"/>
    </w:pPr>
    <w:rPr>
      <w:sz w:val="22"/>
    </w:rPr>
  </w:style>
  <w:style w:type="paragraph" w:styleId="Heading5">
    <w:name w:val="heading 5"/>
    <w:basedOn w:val="HeadingBase"/>
    <w:next w:val="Normal"/>
    <w:link w:val="Heading5Char"/>
    <w:qFormat/>
    <w:rsid w:val="00C16280"/>
    <w:pPr>
      <w:spacing w:before="80"/>
      <w:outlineLvl w:val="4"/>
    </w:pPr>
    <w:rPr>
      <w:color w:val="918585"/>
      <w:sz w:val="20"/>
    </w:rPr>
  </w:style>
  <w:style w:type="paragraph" w:styleId="Heading6">
    <w:name w:val="heading 6"/>
    <w:basedOn w:val="HeadingBase"/>
    <w:next w:val="Normal"/>
    <w:link w:val="Heading6Char"/>
    <w:qFormat/>
    <w:rsid w:val="00C16280"/>
    <w:pPr>
      <w:spacing w:before="60"/>
      <w:outlineLvl w:val="5"/>
    </w:pPr>
    <w:rPr>
      <w:color w:val="918585"/>
      <w:sz w:val="20"/>
    </w:rPr>
  </w:style>
  <w:style w:type="paragraph" w:styleId="Heading7">
    <w:name w:val="heading 7"/>
    <w:basedOn w:val="Normal"/>
    <w:next w:val="Normal"/>
    <w:link w:val="Heading7Char"/>
    <w:qFormat/>
    <w:rsid w:val="00C16280"/>
    <w:pPr>
      <w:ind w:left="720"/>
      <w:outlineLvl w:val="6"/>
    </w:pPr>
    <w:rPr>
      <w:i/>
    </w:rPr>
  </w:style>
  <w:style w:type="paragraph" w:styleId="Heading8">
    <w:name w:val="heading 8"/>
    <w:basedOn w:val="Normal"/>
    <w:next w:val="Normal"/>
    <w:link w:val="Heading8Char"/>
    <w:qFormat/>
    <w:rsid w:val="00C16280"/>
    <w:pPr>
      <w:ind w:left="720"/>
      <w:outlineLvl w:val="7"/>
    </w:pPr>
    <w:rPr>
      <w:i/>
    </w:rPr>
  </w:style>
  <w:style w:type="paragraph" w:styleId="Heading9">
    <w:name w:val="heading 9"/>
    <w:basedOn w:val="Normal"/>
    <w:next w:val="Normal"/>
    <w:link w:val="Heading9Char"/>
    <w:qFormat/>
    <w:rsid w:val="00C16280"/>
    <w:pPr>
      <w:ind w:left="720"/>
      <w:outlineLvl w:val="8"/>
    </w:pPr>
    <w:rPr>
      <w:i/>
    </w:rPr>
  </w:style>
  <w:style w:type="character" w:default="1" w:styleId="DefaultParagraphFont">
    <w:name w:val="Default Paragraph Font"/>
    <w:uiPriority w:val="1"/>
    <w:unhideWhenUsed/>
    <w:rsid w:val="00C162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6280"/>
  </w:style>
  <w:style w:type="character" w:customStyle="1" w:styleId="Heading1Char">
    <w:name w:val="Heading 1 Char"/>
    <w:basedOn w:val="DefaultParagraphFont"/>
    <w:link w:val="Heading1"/>
    <w:rsid w:val="00C16280"/>
    <w:rPr>
      <w:rFonts w:ascii="Times New Roman" w:eastAsia="Times New Roman" w:hAnsi="Times New Roman" w:cs="Times New Roman"/>
      <w:b/>
      <w:sz w:val="32"/>
      <w:szCs w:val="20"/>
      <w:lang w:eastAsia="en-US"/>
    </w:rPr>
  </w:style>
  <w:style w:type="paragraph" w:styleId="BodyText">
    <w:name w:val="Body Text"/>
    <w:basedOn w:val="Normal"/>
    <w:link w:val="BodyTextChar"/>
    <w:rsid w:val="00C162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6280"/>
    <w:rPr>
      <w:rFonts w:ascii="Times New Roman" w:eastAsia="Times New Roman" w:hAnsi="Times New Roman" w:cs="Times New Roman"/>
      <w:sz w:val="24"/>
      <w:lang w:eastAsia="en-US"/>
    </w:rPr>
  </w:style>
  <w:style w:type="paragraph" w:styleId="ListBullet">
    <w:name w:val="List Bullet"/>
    <w:basedOn w:val="List"/>
    <w:rsid w:val="00C16280"/>
    <w:pPr>
      <w:numPr>
        <w:numId w:val="13"/>
      </w:numPr>
      <w:tabs>
        <w:tab w:val="clear" w:pos="340"/>
      </w:tabs>
      <w:spacing w:before="40" w:after="40"/>
    </w:pPr>
  </w:style>
  <w:style w:type="paragraph" w:styleId="ListBullet2">
    <w:name w:val="List Bullet 2"/>
    <w:basedOn w:val="List2"/>
    <w:rsid w:val="00C16280"/>
    <w:pPr>
      <w:numPr>
        <w:numId w:val="14"/>
      </w:numPr>
      <w:tabs>
        <w:tab w:val="clear" w:pos="680"/>
      </w:tabs>
    </w:pPr>
  </w:style>
  <w:style w:type="paragraph" w:customStyle="1" w:styleId="SuperHeading">
    <w:name w:val="SuperHeading"/>
    <w:basedOn w:val="Normal"/>
    <w:rsid w:val="00C16280"/>
    <w:pPr>
      <w:spacing w:before="240" w:after="120"/>
      <w:outlineLvl w:val="0"/>
    </w:pPr>
    <w:rPr>
      <w:rFonts w:ascii="Times New Roman" w:hAnsi="Times New Roman"/>
      <w:b/>
      <w:sz w:val="32"/>
    </w:rPr>
  </w:style>
  <w:style w:type="paragraph" w:customStyle="1" w:styleId="AllowPageBreak">
    <w:name w:val="AllowPageBreak"/>
    <w:rsid w:val="00C1628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1628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162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62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62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62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62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62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62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6280"/>
    <w:rPr>
      <w:rFonts w:ascii="Courier New" w:eastAsia="Times New Roman" w:hAnsi="Courier New" w:cs="Times New Roman"/>
      <w:i/>
      <w:szCs w:val="20"/>
      <w:lang w:eastAsia="en-US"/>
    </w:rPr>
  </w:style>
  <w:style w:type="paragraph" w:customStyle="1" w:styleId="HeadingBase">
    <w:name w:val="Heading Base"/>
    <w:rsid w:val="00C162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6280"/>
    <w:pPr>
      <w:tabs>
        <w:tab w:val="right" w:leader="dot" w:pos="9072"/>
      </w:tabs>
      <w:ind w:left="567"/>
    </w:pPr>
    <w:rPr>
      <w:szCs w:val="22"/>
    </w:rPr>
  </w:style>
  <w:style w:type="paragraph" w:customStyle="1" w:styleId="TOCBase">
    <w:name w:val="TOC Base"/>
    <w:rsid w:val="00C162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6280"/>
    <w:pPr>
      <w:tabs>
        <w:tab w:val="right" w:leader="dot" w:pos="9072"/>
      </w:tabs>
      <w:spacing w:before="40" w:after="40"/>
      <w:ind w:left="284"/>
    </w:pPr>
    <w:rPr>
      <w:rFonts w:ascii="Times New Roman" w:hAnsi="Times New Roman"/>
    </w:rPr>
  </w:style>
  <w:style w:type="paragraph" w:styleId="TOC1">
    <w:name w:val="toc 1"/>
    <w:basedOn w:val="TOCBase"/>
    <w:next w:val="Normal"/>
    <w:rsid w:val="00C162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62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6280"/>
    <w:rPr>
      <w:rFonts w:ascii="Times New Roman" w:eastAsia="Times New Roman" w:hAnsi="Times New Roman" w:cs="Times New Roman"/>
      <w:sz w:val="16"/>
      <w:lang w:eastAsia="en-US"/>
    </w:rPr>
  </w:style>
  <w:style w:type="paragraph" w:styleId="Title">
    <w:name w:val="Title"/>
    <w:basedOn w:val="HeadingBase"/>
    <w:link w:val="TitleChar"/>
    <w:qFormat/>
    <w:rsid w:val="00C16280"/>
    <w:pPr>
      <w:spacing w:before="5040"/>
      <w:jc w:val="center"/>
    </w:pPr>
    <w:rPr>
      <w:sz w:val="48"/>
      <w:szCs w:val="72"/>
      <w:lang w:val="en-US"/>
    </w:rPr>
  </w:style>
  <w:style w:type="character" w:customStyle="1" w:styleId="TitleChar">
    <w:name w:val="Title Char"/>
    <w:basedOn w:val="DefaultParagraphFont"/>
    <w:link w:val="Title"/>
    <w:rsid w:val="00C162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6280"/>
    <w:pPr>
      <w:tabs>
        <w:tab w:val="left" w:pos="3600"/>
        <w:tab w:val="left" w:pos="3958"/>
      </w:tabs>
    </w:pPr>
  </w:style>
  <w:style w:type="paragraph" w:styleId="List">
    <w:name w:val="List"/>
    <w:basedOn w:val="BodyText"/>
    <w:next w:val="BodyText"/>
    <w:rsid w:val="00C16280"/>
    <w:pPr>
      <w:tabs>
        <w:tab w:val="left" w:pos="340"/>
      </w:tabs>
      <w:spacing w:before="60" w:after="60"/>
      <w:ind w:left="340" w:hanging="340"/>
    </w:pPr>
  </w:style>
  <w:style w:type="paragraph" w:customStyle="1" w:styleId="Note">
    <w:name w:val="Note"/>
    <w:basedOn w:val="BodyText"/>
    <w:rsid w:val="00C162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16280"/>
    <w:rPr>
      <w:b/>
      <w:spacing w:val="0"/>
    </w:rPr>
  </w:style>
  <w:style w:type="paragraph" w:customStyle="1" w:styleId="SuperTitle">
    <w:name w:val="SuperTitle"/>
    <w:basedOn w:val="Title"/>
    <w:rsid w:val="00C16280"/>
    <w:pPr>
      <w:framePr w:wrap="auto" w:hAnchor="text" w:y="6049"/>
    </w:pPr>
    <w:rPr>
      <w:color w:val="000000"/>
      <w:sz w:val="40"/>
    </w:rPr>
  </w:style>
  <w:style w:type="paragraph" w:customStyle="1" w:styleId="TOCTitle">
    <w:name w:val="TOCTitle"/>
    <w:basedOn w:val="Heading1"/>
    <w:rsid w:val="00C16280"/>
    <w:pPr>
      <w:spacing w:after="240"/>
      <w:jc w:val="center"/>
      <w:outlineLvl w:val="9"/>
    </w:pPr>
    <w:rPr>
      <w:caps/>
    </w:rPr>
  </w:style>
  <w:style w:type="paragraph" w:customStyle="1" w:styleId="Version">
    <w:name w:val="Version"/>
    <w:rsid w:val="00C162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6280"/>
    <w:pPr>
      <w:keepNext w:val="0"/>
      <w:tabs>
        <w:tab w:val="right" w:pos="4176"/>
      </w:tabs>
      <w:ind w:left="198" w:hanging="198"/>
    </w:pPr>
    <w:rPr>
      <w:rFonts w:ascii="Garamond" w:hAnsi="Garamond"/>
    </w:rPr>
  </w:style>
  <w:style w:type="paragraph" w:styleId="IndexHeading">
    <w:name w:val="index heading"/>
    <w:basedOn w:val="Normal"/>
    <w:next w:val="Index1"/>
    <w:semiHidden/>
    <w:rsid w:val="00C16280"/>
    <w:pPr>
      <w:spacing w:before="120" w:after="120"/>
    </w:pPr>
    <w:rPr>
      <w:rFonts w:ascii="Arial" w:hAnsi="Arial"/>
      <w:b/>
      <w:color w:val="918585"/>
      <w:sz w:val="24"/>
    </w:rPr>
  </w:style>
  <w:style w:type="paragraph" w:styleId="Header">
    <w:name w:val="header"/>
    <w:basedOn w:val="Normal"/>
    <w:link w:val="HeaderChar"/>
    <w:rsid w:val="00C162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6280"/>
    <w:rPr>
      <w:rFonts w:ascii="Times New Roman" w:eastAsia="Times New Roman" w:hAnsi="Times New Roman" w:cs="Times New Roman"/>
      <w:sz w:val="16"/>
      <w:szCs w:val="20"/>
      <w:lang w:val="en-GB" w:eastAsia="en-US"/>
    </w:rPr>
  </w:style>
  <w:style w:type="paragraph" w:customStyle="1" w:styleId="Chapter">
    <w:name w:val="Chapter"/>
    <w:basedOn w:val="Normal"/>
    <w:rsid w:val="00C16280"/>
    <w:pPr>
      <w:spacing w:before="240"/>
    </w:pPr>
    <w:rPr>
      <w:rFonts w:ascii="Times New Roman" w:hAnsi="Times New Roman"/>
      <w:smallCaps/>
      <w:spacing w:val="80"/>
      <w:sz w:val="28"/>
    </w:rPr>
  </w:style>
  <w:style w:type="paragraph" w:customStyle="1" w:styleId="InChapter">
    <w:name w:val="InChapter"/>
    <w:basedOn w:val="Heading3"/>
    <w:rsid w:val="00C16280"/>
    <w:pPr>
      <w:spacing w:after="240"/>
      <w:outlineLvl w:val="9"/>
    </w:pPr>
    <w:rPr>
      <w:noProof/>
    </w:rPr>
  </w:style>
  <w:style w:type="paragraph" w:styleId="Index2">
    <w:name w:val="index 2"/>
    <w:basedOn w:val="Normal"/>
    <w:next w:val="Normal"/>
    <w:semiHidden/>
    <w:rsid w:val="00C16280"/>
    <w:pPr>
      <w:tabs>
        <w:tab w:val="right" w:pos="4176"/>
      </w:tabs>
      <w:ind w:left="568" w:hanging="284"/>
    </w:pPr>
    <w:rPr>
      <w:rFonts w:ascii="Garamond" w:hAnsi="Garamond"/>
    </w:rPr>
  </w:style>
  <w:style w:type="paragraph" w:customStyle="1" w:styleId="Byline">
    <w:name w:val="Byline"/>
    <w:rsid w:val="00C162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6280"/>
    <w:pPr>
      <w:tabs>
        <w:tab w:val="clear" w:pos="3600"/>
        <w:tab w:val="clear" w:pos="3958"/>
      </w:tabs>
      <w:jc w:val="right"/>
    </w:pPr>
  </w:style>
  <w:style w:type="character" w:styleId="Emphasis">
    <w:name w:val="Emphasis"/>
    <w:basedOn w:val="DefaultParagraphFont"/>
    <w:qFormat/>
    <w:rsid w:val="00C16280"/>
    <w:rPr>
      <w:i/>
    </w:rPr>
  </w:style>
  <w:style w:type="paragraph" w:styleId="Caption">
    <w:name w:val="caption"/>
    <w:basedOn w:val="BodyText"/>
    <w:next w:val="Normal"/>
    <w:qFormat/>
    <w:rsid w:val="00C16280"/>
    <w:pPr>
      <w:framePr w:w="2268" w:hSpace="181" w:vSpace="181" w:wrap="around" w:vAnchor="text" w:hAnchor="page" w:x="1135" w:y="285" w:anchorLock="1"/>
    </w:pPr>
    <w:rPr>
      <w:i/>
    </w:rPr>
  </w:style>
  <w:style w:type="paragraph" w:customStyle="1" w:styleId="MiniTOCTitle">
    <w:name w:val="MiniTOCTitle"/>
    <w:basedOn w:val="Heading4"/>
    <w:rsid w:val="00C16280"/>
    <w:pPr>
      <w:spacing w:before="240"/>
      <w:outlineLvl w:val="9"/>
    </w:pPr>
    <w:rPr>
      <w:noProof/>
      <w:sz w:val="24"/>
    </w:rPr>
  </w:style>
  <w:style w:type="paragraph" w:customStyle="1" w:styleId="MiniTOCItem">
    <w:name w:val="MiniTOCItem"/>
    <w:basedOn w:val="ListBullet"/>
    <w:rsid w:val="00C16280"/>
    <w:pPr>
      <w:numPr>
        <w:numId w:val="0"/>
      </w:numPr>
      <w:tabs>
        <w:tab w:val="right" w:leader="dot" w:pos="6521"/>
      </w:tabs>
      <w:spacing w:before="0" w:after="0"/>
    </w:pPr>
  </w:style>
  <w:style w:type="paragraph" w:customStyle="1" w:styleId="TOFTitle">
    <w:name w:val="TOFTitle"/>
    <w:basedOn w:val="TOCTitle"/>
    <w:rsid w:val="00C16280"/>
  </w:style>
  <w:style w:type="paragraph" w:styleId="TableofFigures">
    <w:name w:val="table of figures"/>
    <w:basedOn w:val="Normal"/>
    <w:next w:val="Normal"/>
    <w:semiHidden/>
    <w:rsid w:val="00C16280"/>
    <w:pPr>
      <w:tabs>
        <w:tab w:val="right" w:leader="dot" w:pos="9072"/>
      </w:tabs>
      <w:ind w:left="970" w:hanging="403"/>
    </w:pPr>
    <w:rPr>
      <w:rFonts w:ascii="Times New Roman" w:hAnsi="Times New Roman"/>
      <w:b/>
    </w:rPr>
  </w:style>
  <w:style w:type="paragraph" w:styleId="ListNumber">
    <w:name w:val="List Number"/>
    <w:basedOn w:val="List"/>
    <w:rsid w:val="00C16280"/>
    <w:pPr>
      <w:numPr>
        <w:numId w:val="16"/>
      </w:numPr>
      <w:tabs>
        <w:tab w:val="clear" w:pos="340"/>
      </w:tabs>
    </w:pPr>
  </w:style>
  <w:style w:type="character" w:customStyle="1" w:styleId="WingdingSymbols">
    <w:name w:val="Wingding Symbols"/>
    <w:rsid w:val="00C16280"/>
    <w:rPr>
      <w:rFonts w:ascii="Wingdings" w:hAnsi="Wingdings"/>
    </w:rPr>
  </w:style>
  <w:style w:type="paragraph" w:customStyle="1" w:styleId="TableHeading">
    <w:name w:val="Table Heading"/>
    <w:basedOn w:val="HeadingBase"/>
    <w:rsid w:val="00C16280"/>
    <w:pPr>
      <w:keepLines/>
      <w:pBdr>
        <w:bottom w:val="single" w:sz="6" w:space="1" w:color="918585"/>
      </w:pBdr>
      <w:spacing w:before="240"/>
    </w:pPr>
  </w:style>
  <w:style w:type="character" w:customStyle="1" w:styleId="HotSpot">
    <w:name w:val="HotSpot"/>
    <w:rsid w:val="00C16280"/>
    <w:rPr>
      <w:color w:val="0033CC"/>
      <w:u w:val="none"/>
    </w:rPr>
  </w:style>
  <w:style w:type="paragraph" w:customStyle="1" w:styleId="BodyTextRight">
    <w:name w:val="Body Text Right"/>
    <w:basedOn w:val="BodyText"/>
    <w:rsid w:val="00C16280"/>
    <w:pPr>
      <w:spacing w:before="0" w:after="0"/>
      <w:jc w:val="right"/>
    </w:pPr>
  </w:style>
  <w:style w:type="paragraph" w:styleId="Index3">
    <w:name w:val="index 3"/>
    <w:basedOn w:val="ListNumber2"/>
    <w:next w:val="Normal"/>
    <w:semiHidden/>
    <w:rsid w:val="00C16280"/>
    <w:pPr>
      <w:numPr>
        <w:numId w:val="0"/>
      </w:numPr>
      <w:tabs>
        <w:tab w:val="right" w:leader="dot" w:pos="4176"/>
      </w:tabs>
    </w:pPr>
  </w:style>
  <w:style w:type="paragraph" w:styleId="ListNumber2">
    <w:name w:val="List Number 2"/>
    <w:basedOn w:val="List2"/>
    <w:rsid w:val="00C16280"/>
    <w:pPr>
      <w:numPr>
        <w:numId w:val="11"/>
      </w:numPr>
      <w:tabs>
        <w:tab w:val="clear" w:pos="1060"/>
      </w:tabs>
    </w:pPr>
  </w:style>
  <w:style w:type="paragraph" w:customStyle="1" w:styleId="MarginNote">
    <w:name w:val="Margin Note"/>
    <w:basedOn w:val="BodyText"/>
    <w:rsid w:val="00C162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62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62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6280"/>
    <w:rPr>
      <w:sz w:val="32"/>
    </w:rPr>
  </w:style>
  <w:style w:type="paragraph" w:customStyle="1" w:styleId="HeadingProcedure">
    <w:name w:val="Heading Procedure"/>
    <w:basedOn w:val="HeadingBase"/>
    <w:next w:val="Normal"/>
    <w:rsid w:val="00C16280"/>
    <w:pPr>
      <w:tabs>
        <w:tab w:val="left" w:pos="0"/>
      </w:tabs>
      <w:spacing w:before="120" w:after="60"/>
    </w:pPr>
    <w:rPr>
      <w:i/>
      <w:color w:val="918585"/>
      <w:sz w:val="22"/>
    </w:rPr>
  </w:style>
  <w:style w:type="paragraph" w:customStyle="1" w:styleId="TableBodyText">
    <w:name w:val="Table Body Text"/>
    <w:basedOn w:val="BodyText"/>
    <w:rsid w:val="00C16280"/>
    <w:pPr>
      <w:spacing w:before="60" w:after="60"/>
    </w:pPr>
  </w:style>
  <w:style w:type="paragraph" w:styleId="ListContinue">
    <w:name w:val="List Continue"/>
    <w:basedOn w:val="List"/>
    <w:rsid w:val="00C16280"/>
    <w:pPr>
      <w:ind w:firstLine="0"/>
    </w:pPr>
  </w:style>
  <w:style w:type="paragraph" w:customStyle="1" w:styleId="ListNote">
    <w:name w:val="List Note"/>
    <w:basedOn w:val="List"/>
    <w:rsid w:val="00C16280"/>
    <w:pPr>
      <w:pBdr>
        <w:top w:val="single" w:sz="6" w:space="2" w:color="918585"/>
        <w:bottom w:val="single" w:sz="6" w:space="2" w:color="918585"/>
      </w:pBdr>
      <w:tabs>
        <w:tab w:val="left" w:pos="1021"/>
      </w:tabs>
      <w:ind w:firstLine="0"/>
    </w:pPr>
  </w:style>
  <w:style w:type="paragraph" w:customStyle="1" w:styleId="Warning">
    <w:name w:val="Warning"/>
    <w:basedOn w:val="BodyText"/>
    <w:rsid w:val="00C16280"/>
    <w:pPr>
      <w:shd w:val="clear" w:color="auto" w:fill="D9D9D9"/>
      <w:tabs>
        <w:tab w:val="left" w:pos="992"/>
      </w:tabs>
      <w:ind w:left="119" w:right="119"/>
    </w:pPr>
    <w:rPr>
      <w:sz w:val="20"/>
    </w:rPr>
  </w:style>
  <w:style w:type="paragraph" w:customStyle="1" w:styleId="MarginIcons">
    <w:name w:val="Margin Icons"/>
    <w:basedOn w:val="BodyText"/>
    <w:rsid w:val="00C162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6280"/>
    <w:rPr>
      <w:rFonts w:ascii="Courier New" w:hAnsi="Courier New"/>
    </w:rPr>
  </w:style>
  <w:style w:type="paragraph" w:customStyle="1" w:styleId="NoteBullet">
    <w:name w:val="Note Bullet"/>
    <w:basedOn w:val="Note"/>
    <w:rsid w:val="00C16280"/>
    <w:pPr>
      <w:tabs>
        <w:tab w:val="clear" w:pos="680"/>
      </w:tabs>
      <w:spacing w:before="60" w:after="60"/>
    </w:pPr>
  </w:style>
  <w:style w:type="paragraph" w:customStyle="1" w:styleId="SubHeading2">
    <w:name w:val="SubHeading2"/>
    <w:basedOn w:val="HeadingBase"/>
    <w:rsid w:val="00C16280"/>
    <w:pPr>
      <w:spacing w:before="240" w:after="60"/>
    </w:pPr>
    <w:rPr>
      <w:sz w:val="20"/>
    </w:rPr>
  </w:style>
  <w:style w:type="paragraph" w:customStyle="1" w:styleId="SubHeading1">
    <w:name w:val="SubHeading1"/>
    <w:basedOn w:val="HeadingBase"/>
    <w:rsid w:val="00C16280"/>
    <w:pPr>
      <w:spacing w:before="240" w:after="60"/>
    </w:pPr>
    <w:rPr>
      <w:color w:val="918585"/>
      <w:sz w:val="22"/>
    </w:rPr>
  </w:style>
  <w:style w:type="paragraph" w:customStyle="1" w:styleId="SideHeading">
    <w:name w:val="Side Heading"/>
    <w:basedOn w:val="HeadingBase"/>
    <w:rsid w:val="00C162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6280"/>
    <w:pPr>
      <w:numPr>
        <w:numId w:val="12"/>
      </w:numPr>
    </w:pPr>
  </w:style>
  <w:style w:type="paragraph" w:styleId="PlainText">
    <w:name w:val="Plain Text"/>
    <w:basedOn w:val="Normal"/>
    <w:link w:val="PlainTextChar"/>
    <w:rsid w:val="00C16280"/>
    <w:rPr>
      <w:sz w:val="20"/>
    </w:rPr>
  </w:style>
  <w:style w:type="character" w:customStyle="1" w:styleId="PlainTextChar">
    <w:name w:val="Plain Text Char"/>
    <w:basedOn w:val="DefaultParagraphFont"/>
    <w:link w:val="PlainText"/>
    <w:rsid w:val="00C16280"/>
    <w:rPr>
      <w:rFonts w:ascii="Courier New" w:eastAsia="Times New Roman" w:hAnsi="Courier New" w:cs="Times New Roman"/>
      <w:sz w:val="20"/>
      <w:szCs w:val="20"/>
      <w:lang w:eastAsia="en-US"/>
    </w:rPr>
  </w:style>
  <w:style w:type="character" w:customStyle="1" w:styleId="MenuOption">
    <w:name w:val="Menu Option"/>
    <w:basedOn w:val="DefaultParagraphFont"/>
    <w:rsid w:val="00C16280"/>
    <w:rPr>
      <w:b/>
      <w:smallCaps/>
    </w:rPr>
  </w:style>
  <w:style w:type="paragraph" w:customStyle="1" w:styleId="TableListNumber">
    <w:name w:val="Table List Number"/>
    <w:basedOn w:val="ListNumber"/>
    <w:rsid w:val="00C16280"/>
    <w:pPr>
      <w:numPr>
        <w:numId w:val="0"/>
      </w:numPr>
    </w:pPr>
  </w:style>
  <w:style w:type="paragraph" w:styleId="TOC4">
    <w:name w:val="toc 4"/>
    <w:basedOn w:val="TOCBase"/>
    <w:next w:val="Normal"/>
    <w:semiHidden/>
    <w:rsid w:val="00C16280"/>
    <w:pPr>
      <w:tabs>
        <w:tab w:val="right" w:leader="dot" w:pos="9071"/>
      </w:tabs>
      <w:ind w:left="1701"/>
    </w:pPr>
  </w:style>
  <w:style w:type="paragraph" w:customStyle="1" w:styleId="ListAlpha">
    <w:name w:val="List Alpha"/>
    <w:basedOn w:val="List"/>
    <w:rsid w:val="00C16280"/>
    <w:pPr>
      <w:numPr>
        <w:numId w:val="10"/>
      </w:numPr>
    </w:pPr>
  </w:style>
  <w:style w:type="paragraph" w:customStyle="1" w:styleId="ListAlpha2">
    <w:name w:val="List Alpha 2"/>
    <w:basedOn w:val="List2"/>
    <w:rsid w:val="00C16280"/>
    <w:pPr>
      <w:numPr>
        <w:numId w:val="9"/>
      </w:numPr>
    </w:pPr>
  </w:style>
  <w:style w:type="paragraph" w:styleId="List2">
    <w:name w:val="List 2"/>
    <w:basedOn w:val="BodyText"/>
    <w:rsid w:val="00C16280"/>
    <w:pPr>
      <w:tabs>
        <w:tab w:val="left" w:pos="680"/>
      </w:tabs>
      <w:spacing w:before="60" w:after="60"/>
      <w:ind w:left="680" w:hanging="340"/>
    </w:pPr>
  </w:style>
  <w:style w:type="paragraph" w:styleId="List3">
    <w:name w:val="List 3"/>
    <w:basedOn w:val="BodyText"/>
    <w:rsid w:val="00C16280"/>
    <w:pPr>
      <w:tabs>
        <w:tab w:val="left" w:pos="1021"/>
      </w:tabs>
      <w:spacing w:before="60" w:after="60"/>
      <w:ind w:left="1020" w:hanging="340"/>
    </w:pPr>
  </w:style>
  <w:style w:type="paragraph" w:styleId="List4">
    <w:name w:val="List 4"/>
    <w:basedOn w:val="BodyText"/>
    <w:rsid w:val="00C16280"/>
    <w:pPr>
      <w:tabs>
        <w:tab w:val="left" w:pos="1361"/>
      </w:tabs>
      <w:spacing w:before="60" w:after="60"/>
      <w:ind w:left="1361" w:hanging="340"/>
    </w:pPr>
  </w:style>
  <w:style w:type="paragraph" w:styleId="List5">
    <w:name w:val="List 5"/>
    <w:basedOn w:val="BodyText"/>
    <w:rsid w:val="00C16280"/>
    <w:pPr>
      <w:tabs>
        <w:tab w:val="left" w:pos="1701"/>
      </w:tabs>
      <w:spacing w:before="60" w:after="60"/>
      <w:ind w:left="1701" w:hanging="340"/>
    </w:pPr>
  </w:style>
  <w:style w:type="paragraph" w:styleId="ListBullet4">
    <w:name w:val="List Bullet 4"/>
    <w:basedOn w:val="List4"/>
    <w:rsid w:val="00C16280"/>
    <w:pPr>
      <w:numPr>
        <w:numId w:val="4"/>
      </w:numPr>
      <w:tabs>
        <w:tab w:val="clear" w:pos="1361"/>
      </w:tabs>
    </w:pPr>
  </w:style>
  <w:style w:type="paragraph" w:styleId="ListBullet5">
    <w:name w:val="List Bullet 5"/>
    <w:basedOn w:val="List5"/>
    <w:rsid w:val="00C16280"/>
    <w:pPr>
      <w:numPr>
        <w:numId w:val="5"/>
      </w:numPr>
    </w:pPr>
  </w:style>
  <w:style w:type="paragraph" w:styleId="ListContinue2">
    <w:name w:val="List Continue 2"/>
    <w:basedOn w:val="List2"/>
    <w:rsid w:val="00C16280"/>
    <w:pPr>
      <w:ind w:firstLine="0"/>
    </w:pPr>
  </w:style>
  <w:style w:type="paragraph" w:styleId="ListContinue3">
    <w:name w:val="List Continue 3"/>
    <w:basedOn w:val="List3"/>
    <w:rsid w:val="00C16280"/>
    <w:pPr>
      <w:ind w:left="1021" w:firstLine="0"/>
    </w:pPr>
  </w:style>
  <w:style w:type="paragraph" w:styleId="ListContinue4">
    <w:name w:val="List Continue 4"/>
    <w:basedOn w:val="List4"/>
    <w:rsid w:val="00C16280"/>
    <w:pPr>
      <w:ind w:firstLine="0"/>
    </w:pPr>
  </w:style>
  <w:style w:type="paragraph" w:styleId="ListContinue5">
    <w:name w:val="List Continue 5"/>
    <w:basedOn w:val="List5"/>
    <w:rsid w:val="00C16280"/>
    <w:pPr>
      <w:ind w:firstLine="0"/>
    </w:pPr>
  </w:style>
  <w:style w:type="paragraph" w:styleId="ListNumber3">
    <w:name w:val="List Number 3"/>
    <w:basedOn w:val="List3"/>
    <w:rsid w:val="00C16280"/>
    <w:pPr>
      <w:numPr>
        <w:numId w:val="6"/>
      </w:numPr>
    </w:pPr>
  </w:style>
  <w:style w:type="paragraph" w:styleId="ListNumber4">
    <w:name w:val="List Number 4"/>
    <w:basedOn w:val="List4"/>
    <w:rsid w:val="00C16280"/>
    <w:pPr>
      <w:numPr>
        <w:numId w:val="7"/>
      </w:numPr>
    </w:pPr>
  </w:style>
  <w:style w:type="paragraph" w:styleId="ListNumber5">
    <w:name w:val="List Number 5"/>
    <w:basedOn w:val="List5"/>
    <w:rsid w:val="00C16280"/>
    <w:pPr>
      <w:numPr>
        <w:numId w:val="8"/>
      </w:numPr>
    </w:pPr>
  </w:style>
  <w:style w:type="paragraph" w:styleId="BlockText">
    <w:name w:val="Block Text"/>
    <w:basedOn w:val="Normal"/>
    <w:rsid w:val="00C16280"/>
    <w:pPr>
      <w:spacing w:after="120"/>
      <w:ind w:left="1440" w:right="1440"/>
    </w:pPr>
  </w:style>
  <w:style w:type="character" w:customStyle="1" w:styleId="Subscript">
    <w:name w:val="Subscript"/>
    <w:basedOn w:val="DefaultParagraphFont"/>
    <w:rsid w:val="00C16280"/>
    <w:rPr>
      <w:sz w:val="16"/>
      <w:vertAlign w:val="subscript"/>
    </w:rPr>
  </w:style>
  <w:style w:type="character" w:customStyle="1" w:styleId="Superscript">
    <w:name w:val="Superscript"/>
    <w:basedOn w:val="DefaultParagraphFont"/>
    <w:rsid w:val="00C16280"/>
    <w:rPr>
      <w:sz w:val="16"/>
      <w:vertAlign w:val="superscript"/>
    </w:rPr>
  </w:style>
  <w:style w:type="character" w:customStyle="1" w:styleId="Symbols">
    <w:name w:val="Symbols"/>
    <w:basedOn w:val="DefaultParagraphFont"/>
    <w:rsid w:val="00C16280"/>
    <w:rPr>
      <w:rFonts w:ascii="Symbol" w:hAnsi="Symbol"/>
    </w:rPr>
  </w:style>
  <w:style w:type="character" w:customStyle="1" w:styleId="MenuOptions">
    <w:name w:val="Menu Options"/>
    <w:basedOn w:val="DefaultParagraphFont"/>
    <w:rsid w:val="00C16280"/>
    <w:rPr>
      <w:rFonts w:ascii="Arial Narrow" w:hAnsi="Arial Narrow"/>
      <w:smallCaps/>
    </w:rPr>
  </w:style>
  <w:style w:type="character" w:customStyle="1" w:styleId="Buttons">
    <w:name w:val="Buttons"/>
    <w:basedOn w:val="DefaultParagraphFont"/>
    <w:rsid w:val="00C16280"/>
    <w:rPr>
      <w:b/>
    </w:rPr>
  </w:style>
  <w:style w:type="character" w:customStyle="1" w:styleId="Underlined">
    <w:name w:val="Underlined"/>
    <w:basedOn w:val="DefaultParagraphFont"/>
    <w:rsid w:val="00C16280"/>
    <w:rPr>
      <w:u w:val="single"/>
    </w:rPr>
  </w:style>
  <w:style w:type="paragraph" w:customStyle="1" w:styleId="TableBodyTextRight">
    <w:name w:val="Table Body Text Right"/>
    <w:basedOn w:val="TableBodyText"/>
    <w:rsid w:val="00C16280"/>
    <w:pPr>
      <w:widowControl w:val="0"/>
      <w:autoSpaceDE w:val="0"/>
      <w:autoSpaceDN w:val="0"/>
      <w:adjustRightInd w:val="0"/>
      <w:jc w:val="right"/>
    </w:pPr>
    <w:rPr>
      <w:rFonts w:cs="Arial"/>
      <w:szCs w:val="18"/>
    </w:rPr>
  </w:style>
  <w:style w:type="paragraph" w:customStyle="1" w:styleId="CopyrightText">
    <w:name w:val="Copyright Text"/>
    <w:basedOn w:val="BodyText"/>
    <w:rsid w:val="00C16280"/>
    <w:rPr>
      <w:sz w:val="18"/>
    </w:rPr>
  </w:style>
  <w:style w:type="paragraph" w:customStyle="1" w:styleId="BodySmallRight">
    <w:name w:val="Body Small Right"/>
    <w:basedOn w:val="BodyTextRight"/>
    <w:rsid w:val="00C16280"/>
    <w:rPr>
      <w:sz w:val="18"/>
      <w:szCs w:val="18"/>
    </w:rPr>
  </w:style>
  <w:style w:type="paragraph" w:customStyle="1" w:styleId="MarginEdition">
    <w:name w:val="Margin Edition"/>
    <w:basedOn w:val="MarginNote"/>
    <w:rsid w:val="00C16280"/>
    <w:pPr>
      <w:spacing w:before="0" w:after="0"/>
    </w:pPr>
    <w:rPr>
      <w:rFonts w:ascii="Times New Roman" w:hAnsi="Times New Roman"/>
      <w:color w:val="999999"/>
    </w:rPr>
  </w:style>
  <w:style w:type="paragraph" w:customStyle="1" w:styleId="Spacer">
    <w:name w:val="Spacer"/>
    <w:basedOn w:val="Normal"/>
    <w:rsid w:val="00C16280"/>
    <w:rPr>
      <w:sz w:val="2"/>
      <w:szCs w:val="2"/>
    </w:rPr>
  </w:style>
  <w:style w:type="character" w:customStyle="1" w:styleId="Small">
    <w:name w:val="Small"/>
    <w:basedOn w:val="DefaultParagraphFont"/>
    <w:rsid w:val="00C16280"/>
    <w:rPr>
      <w:sz w:val="16"/>
    </w:rPr>
  </w:style>
  <w:style w:type="paragraph" w:customStyle="1" w:styleId="WideTable">
    <w:name w:val="Wide Table"/>
    <w:basedOn w:val="Normal"/>
    <w:rsid w:val="00C16280"/>
    <w:pPr>
      <w:ind w:left="-1418"/>
    </w:pPr>
    <w:rPr>
      <w:sz w:val="2"/>
      <w:szCs w:val="2"/>
    </w:rPr>
  </w:style>
  <w:style w:type="character" w:styleId="PageNumber">
    <w:name w:val="page number"/>
    <w:basedOn w:val="DefaultParagraphFont"/>
    <w:rsid w:val="00C16280"/>
  </w:style>
  <w:style w:type="paragraph" w:styleId="Quote">
    <w:name w:val="Quote"/>
    <w:basedOn w:val="Heading1"/>
    <w:link w:val="QuoteChar"/>
    <w:qFormat/>
    <w:rsid w:val="00C16280"/>
    <w:rPr>
      <w:b w:val="0"/>
      <w:sz w:val="72"/>
      <w:szCs w:val="72"/>
      <w:lang w:val="en-NZ"/>
    </w:rPr>
  </w:style>
  <w:style w:type="character" w:customStyle="1" w:styleId="QuoteChar">
    <w:name w:val="Quote Char"/>
    <w:basedOn w:val="DefaultParagraphFont"/>
    <w:link w:val="Quote"/>
    <w:rsid w:val="00C162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6280"/>
    <w:pPr>
      <w:pageBreakBefore/>
    </w:pPr>
  </w:style>
  <w:style w:type="paragraph" w:customStyle="1" w:styleId="Border">
    <w:name w:val="Border"/>
    <w:basedOn w:val="Normal"/>
    <w:qFormat/>
    <w:rsid w:val="00C162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6280"/>
    <w:rPr>
      <w:b/>
      <w:bCs/>
      <w:i/>
      <w:iCs/>
      <w:color w:val="auto"/>
    </w:rPr>
  </w:style>
  <w:style w:type="paragraph" w:styleId="IntenseQuote">
    <w:name w:val="Intense Quote"/>
    <w:basedOn w:val="Normal"/>
    <w:next w:val="Normal"/>
    <w:link w:val="IntenseQuoteChar"/>
    <w:uiPriority w:val="30"/>
    <w:qFormat/>
    <w:rsid w:val="00C162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62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6280"/>
    <w:rPr>
      <w:smallCaps/>
      <w:color w:val="auto"/>
      <w:u w:val="single"/>
    </w:rPr>
  </w:style>
  <w:style w:type="character" w:styleId="IntenseReference">
    <w:name w:val="Intense Reference"/>
    <w:basedOn w:val="DefaultParagraphFont"/>
    <w:uiPriority w:val="32"/>
    <w:qFormat/>
    <w:rsid w:val="00C16280"/>
    <w:rPr>
      <w:b/>
      <w:bCs/>
      <w:smallCaps/>
      <w:color w:val="auto"/>
      <w:spacing w:val="5"/>
      <w:u w:val="single"/>
    </w:rPr>
  </w:style>
  <w:style w:type="paragraph" w:customStyle="1" w:styleId="2ColumnHeading">
    <w:name w:val="2Column Heading"/>
    <w:basedOn w:val="BodyText"/>
    <w:qFormat/>
    <w:rsid w:val="00C16280"/>
    <w:pPr>
      <w:spacing w:after="60"/>
      <w:ind w:left="-2268"/>
    </w:pPr>
    <w:rPr>
      <w:b/>
    </w:rPr>
  </w:style>
  <w:style w:type="paragraph" w:customStyle="1" w:styleId="Heading1TOC">
    <w:name w:val="Heading1 TOC"/>
    <w:basedOn w:val="Normal"/>
    <w:qFormat/>
    <w:rsid w:val="00C16280"/>
    <w:pPr>
      <w:spacing w:before="240" w:after="120"/>
    </w:pPr>
    <w:rPr>
      <w:rFonts w:ascii="Times New Roman" w:hAnsi="Times New Roman"/>
      <w:b/>
      <w:sz w:val="32"/>
    </w:rPr>
  </w:style>
  <w:style w:type="paragraph" w:customStyle="1" w:styleId="Heading2TOC">
    <w:name w:val="Heading2 TOC"/>
    <w:basedOn w:val="Normal"/>
    <w:qFormat/>
    <w:rsid w:val="00C16280"/>
    <w:pPr>
      <w:spacing w:before="240" w:after="60"/>
    </w:pPr>
    <w:rPr>
      <w:rFonts w:ascii="Times New Roman" w:hAnsi="Times New Roman"/>
      <w:b/>
      <w:sz w:val="28"/>
    </w:rPr>
  </w:style>
  <w:style w:type="character" w:customStyle="1" w:styleId="Underline">
    <w:name w:val="Underline"/>
    <w:basedOn w:val="DefaultParagraphFont"/>
    <w:qFormat/>
    <w:rsid w:val="00C16280"/>
    <w:rPr>
      <w:u w:val="single"/>
    </w:rPr>
  </w:style>
  <w:style w:type="character" w:customStyle="1" w:styleId="BoldandItalics">
    <w:name w:val="Bold and Italics"/>
    <w:qFormat/>
    <w:rsid w:val="00C16280"/>
    <w:rPr>
      <w:b/>
      <w:i/>
      <w:u w:val="none"/>
    </w:rPr>
  </w:style>
  <w:style w:type="paragraph" w:styleId="BalloonText">
    <w:name w:val="Balloon Text"/>
    <w:basedOn w:val="Normal"/>
    <w:link w:val="BalloonTextChar"/>
    <w:rsid w:val="00C16280"/>
    <w:rPr>
      <w:rFonts w:ascii="Tahoma" w:hAnsi="Tahoma" w:cs="Tahoma"/>
      <w:sz w:val="16"/>
      <w:szCs w:val="16"/>
    </w:rPr>
  </w:style>
  <w:style w:type="character" w:customStyle="1" w:styleId="BalloonTextChar">
    <w:name w:val="Balloon Text Char"/>
    <w:basedOn w:val="DefaultParagraphFont"/>
    <w:link w:val="BalloonText"/>
    <w:rsid w:val="00C162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62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62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6280"/>
    <w:rPr>
      <w:b/>
      <w:color w:val="660033"/>
      <w:spacing w:val="0"/>
    </w:rPr>
  </w:style>
  <w:style w:type="paragraph" w:customStyle="1" w:styleId="Nameditemlist">
    <w:name w:val="Named item list"/>
    <w:basedOn w:val="BodyText"/>
    <w:qFormat/>
    <w:rsid w:val="00C16280"/>
    <w:pPr>
      <w:tabs>
        <w:tab w:val="left" w:pos="2835"/>
      </w:tabs>
      <w:ind w:left="2835" w:hanging="2835"/>
    </w:pPr>
  </w:style>
  <w:style w:type="paragraph" w:customStyle="1" w:styleId="BodyTextnopadding">
    <w:name w:val="Body Text no padding"/>
    <w:basedOn w:val="BodyText"/>
    <w:qFormat/>
    <w:rsid w:val="00C16280"/>
    <w:pPr>
      <w:spacing w:before="0" w:after="0"/>
    </w:pPr>
  </w:style>
  <w:style w:type="paragraph" w:customStyle="1" w:styleId="BodyTextBold">
    <w:name w:val="Body Text Bold"/>
    <w:basedOn w:val="BodyText"/>
    <w:qFormat/>
    <w:rsid w:val="00C16280"/>
    <w:rPr>
      <w:b/>
    </w:rPr>
  </w:style>
  <w:style w:type="character" w:styleId="Hyperlink">
    <w:name w:val="Hyperlink"/>
    <w:basedOn w:val="DefaultParagraphFont"/>
    <w:uiPriority w:val="99"/>
    <w:unhideWhenUsed/>
    <w:rsid w:val="00D974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782</Words>
  <Characters>4961</Characters>
  <Application>Microsoft Office Word</Application>
  <DocSecurity>0</DocSecurity>
  <Lines>134</Lines>
  <Paragraphs>106</Paragraphs>
  <ScaleCrop>false</ScaleCrop>
  <Company>Author-it Software Corporation Ltd.</Company>
  <LinksUpToDate>false</LinksUpToDate>
  <CharactersWithSpaces>5637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MARA016 Contribute to safe cargo operations on offshore support vessels</dc:title>
  <dc:subject>Approved</dc:subject>
  <dc:creator>Industry Skills Australia</dc:creator>
  <cp:keywords>Release: 1</cp:keywords>
  <dc:description>Review Date: 12 April 2008</dc:description>
  <cp:lastModifiedBy>HSD_TPCMSd.prod</cp:lastModifiedBy>
  <cp:revision>3</cp:revision>
  <dcterms:created xsi:type="dcterms:W3CDTF">2024-11-22T08:04:00Z</dcterms:created>
  <dcterms:modified xsi:type="dcterms:W3CDTF">2024-11-22T08:04:00Z</dcterms:modified>
</cp:coreProperties>
</file>