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01F" w:rsidP="00FC601F">
      <w:pPr>
        <w:pStyle w:val="Title"/>
      </w:pPr>
      <w:r>
        <w:fldChar w:fldCharType="begin"/>
      </w:r>
      <w:r>
        <w:instrText xml:space="preserve"> TITLE   \* MERGEFORMAT </w:instrText>
      </w:r>
      <w:r>
        <w:fldChar w:fldCharType="separate"/>
      </w:r>
      <w:r>
        <w:t>Assessment Requirements for MARA015 Contribute to safe anchor handling and towing operations</w:t>
      </w:r>
      <w:r>
        <w:fldChar w:fldCharType="end"/>
      </w:r>
    </w:p>
    <w:p w:rsidR="00FC601F" w:rsidP="00FC601F">
      <w:pPr>
        <w:pStyle w:val="Version"/>
        <w:sectPr w:rsidSect="005120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056" w:rsidP="00512056">
      <w:pPr>
        <w:pStyle w:val="SuperHeading"/>
      </w:pPr>
      <w:r w:rsidRPr="00512056">
        <w:t>Assessment Requirements for MARA015 Contribute to safe anchor handling and towing operations</w:t>
      </w:r>
    </w:p>
    <w:p w:rsidR="00000000" w:rsidRPr="00512056" w:rsidP="00512056">
      <w:pPr>
        <w:pStyle w:val="Heading1"/>
      </w:pPr>
      <w:bookmarkStart w:id="1" w:name="O_1085715"/>
      <w:bookmarkEnd w:id="1"/>
      <w:r w:rsidRPr="00512056">
        <w:t>Modification History</w:t>
      </w:r>
    </w:p>
    <w:tbl>
      <w:tblPr>
        <w:tblW w:w="9497" w:type="dxa"/>
        <w:tblLayout w:type="fixed"/>
        <w:tblCellMar>
          <w:left w:w="62" w:type="dxa"/>
          <w:right w:w="62" w:type="dxa"/>
        </w:tblCellMar>
        <w:tblLook w:val="0000"/>
      </w:tblPr>
      <w:tblGrid>
        <w:gridCol w:w="9497"/>
      </w:tblGrid>
      <w:tr w:rsidTr="005120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056" w:rsidP="00512056">
            <w:pPr>
              <w:pStyle w:val="BodyText"/>
            </w:pPr>
            <w:r w:rsidRPr="00512056">
              <w:t>Release 1. This is the first release of this unit of competency in the MAR Maritime Training Package.</w:t>
            </w:r>
          </w:p>
        </w:tc>
      </w:tr>
    </w:tbl>
    <w:p w:rsidR="00FC601F" w:rsidP="00512056">
      <w:pPr>
        <w:pStyle w:val="NoPaddingFontSize1"/>
      </w:pPr>
    </w:p>
    <w:p w:rsidR="00FC601F" w:rsidP="00512056">
      <w:pPr>
        <w:pStyle w:val="NoPaddingFontSize1"/>
      </w:pPr>
    </w:p>
    <w:p w:rsidR="00000000" w:rsidRPr="00512056" w:rsidP="00512056">
      <w:pPr>
        <w:pStyle w:val="Heading1"/>
      </w:pPr>
      <w:bookmarkStart w:id="2" w:name="O_1085716"/>
      <w:bookmarkEnd w:id="2"/>
      <w:r w:rsidRPr="00512056">
        <w:t>Performance Evidence</w:t>
      </w:r>
    </w:p>
    <w:tbl>
      <w:tblPr>
        <w:tblW w:w="9497" w:type="dxa"/>
        <w:tblLayout w:type="fixed"/>
        <w:tblCellMar>
          <w:left w:w="62" w:type="dxa"/>
          <w:right w:w="62" w:type="dxa"/>
        </w:tblCellMar>
        <w:tblLook w:val="0000"/>
      </w:tblPr>
      <w:tblGrid>
        <w:gridCol w:w="9497"/>
      </w:tblGrid>
      <w:tr w:rsidTr="00512056">
        <w:tblPrEx>
          <w:tblW w:w="9497" w:type="dxa"/>
          <w:tblLayout w:type="fixed"/>
          <w:tblCellMar>
            <w:left w:w="62" w:type="dxa"/>
            <w:right w:w="62" w:type="dxa"/>
          </w:tblCellMar>
          <w:tblLook w:val="0000"/>
        </w:tblPrEx>
        <w:trPr>
          <w:trHeight w:val="4689"/>
        </w:trPr>
        <w:tc>
          <w:tcPr>
            <w:tcW w:w="9497" w:type="dxa"/>
            <w:tcBorders>
              <w:top w:val="nil"/>
              <w:left w:val="nil"/>
              <w:bottom w:val="nil"/>
              <w:right w:val="nil"/>
            </w:tcBorders>
            <w:tcMar>
              <w:top w:w="0" w:type="dxa"/>
              <w:left w:w="62" w:type="dxa"/>
              <w:bottom w:w="0" w:type="dxa"/>
              <w:right w:w="62" w:type="dxa"/>
            </w:tcMar>
          </w:tcPr>
          <w:p w:rsidR="00000000" w:rsidRPr="00512056" w:rsidP="00512056">
            <w:pPr>
              <w:pStyle w:val="BodyText"/>
            </w:pPr>
            <w:r w:rsidRPr="00512056">
              <w:t>Evidence required to demonstrate competence in this unit must be relevant to and satisfy all of the requirements of the elements and performance criteria on at least one occasion and include:</w:t>
            </w:r>
          </w:p>
          <w:p w:rsidR="00000000" w:rsidRPr="00512056" w:rsidP="00512056">
            <w:pPr>
              <w:pStyle w:val="ListBullet"/>
            </w:pPr>
            <w:r w:rsidRPr="00512056">
              <w:t>following manufacturer recommenda</w:t>
            </w:r>
            <w:r w:rsidRPr="00512056">
              <w:t>tions, regulations and vessel operating procedures</w:t>
            </w:r>
          </w:p>
          <w:p w:rsidR="00000000" w:rsidRPr="00512056" w:rsidP="00512056">
            <w:pPr>
              <w:pStyle w:val="ListBullet"/>
            </w:pPr>
            <w:r w:rsidRPr="00512056">
              <w:t>identifying and taking appropriate action to rectify an operational fault</w:t>
            </w:r>
          </w:p>
          <w:p w:rsidR="00000000" w:rsidRPr="00512056" w:rsidP="00512056">
            <w:pPr>
              <w:pStyle w:val="ListBullet"/>
            </w:pPr>
            <w:r w:rsidRPr="00512056">
              <w:t>implementing and working in a safe and controlled manner</w:t>
            </w:r>
          </w:p>
          <w:p w:rsidR="00000000" w:rsidRPr="00512056" w:rsidP="00512056">
            <w:pPr>
              <w:pStyle w:val="ListBullet"/>
            </w:pPr>
            <w:r w:rsidRPr="00512056">
              <w:t>maintaining safe workloads within ships specifications</w:t>
            </w:r>
          </w:p>
          <w:p w:rsidR="00000000" w:rsidRPr="00512056" w:rsidP="00512056">
            <w:pPr>
              <w:pStyle w:val="ListBullet"/>
            </w:pPr>
            <w:r w:rsidRPr="00512056">
              <w:t>selecting and using</w:t>
            </w:r>
            <w:r w:rsidRPr="00512056">
              <w:t xml:space="preserve"> appropriate machinery and equipment</w:t>
            </w:r>
          </w:p>
          <w:p w:rsidR="00000000" w:rsidRPr="00512056" w:rsidP="00512056">
            <w:pPr>
              <w:pStyle w:val="ListBullet"/>
            </w:pPr>
            <w:r w:rsidRPr="00512056">
              <w:t>undertaking pre-operational checks</w:t>
            </w:r>
          </w:p>
          <w:p w:rsidR="00000000" w:rsidRPr="00512056" w:rsidP="00512056">
            <w:pPr>
              <w:pStyle w:val="ListBullet"/>
            </w:pPr>
            <w:r w:rsidRPr="00512056">
              <w:t>using anchor handling, towing and deck equipment</w:t>
            </w:r>
          </w:p>
          <w:p w:rsidR="00000000" w:rsidRPr="00512056" w:rsidP="00512056">
            <w:pPr>
              <w:pStyle w:val="ListBullet"/>
            </w:pPr>
            <w:r w:rsidRPr="00512056">
              <w:t>using deck machinery</w:t>
            </w:r>
          </w:p>
          <w:p w:rsidR="00000000" w:rsidRPr="00512056" w:rsidP="00512056">
            <w:pPr>
              <w:pStyle w:val="ListBullet"/>
            </w:pPr>
            <w:r w:rsidRPr="00512056">
              <w:t>using deck tools</w:t>
            </w:r>
          </w:p>
          <w:p w:rsidR="00000000" w:rsidRPr="00512056" w:rsidP="00512056">
            <w:pPr>
              <w:pStyle w:val="ListBullet"/>
            </w:pPr>
            <w:r w:rsidRPr="00512056">
              <w:t>using operational techniques for specific location, operation and weather conditions</w:t>
            </w:r>
          </w:p>
          <w:p w:rsidR="00000000" w:rsidRPr="00512056" w:rsidP="00512056">
            <w:pPr>
              <w:pStyle w:val="ListBullet"/>
            </w:pPr>
            <w:r w:rsidRPr="00512056">
              <w:t>using verbal and non-verbal means of communication in a clear and appropriate manner to effectively communicate with other crew members.</w:t>
            </w:r>
          </w:p>
        </w:tc>
      </w:tr>
    </w:tbl>
    <w:p w:rsidR="00000000" w:rsidRPr="00512056" w:rsidP="00512056">
      <w:pPr>
        <w:pStyle w:val="NoPaddingFontSize1"/>
      </w:pPr>
    </w:p>
    <w:p w:rsidR="00000000" w:rsidRPr="00512056" w:rsidP="00512056">
      <w:pPr>
        <w:pStyle w:val="AllowPageBreak"/>
      </w:pPr>
    </w:p>
    <w:p w:rsidR="00000000" w:rsidRPr="00512056" w:rsidP="00512056">
      <w:pPr>
        <w:pStyle w:val="Heading1"/>
      </w:pPr>
      <w:bookmarkStart w:id="3" w:name="O_1085717"/>
      <w:bookmarkEnd w:id="3"/>
      <w:r w:rsidRPr="00512056">
        <w:t>Knowledge Evidence</w:t>
      </w:r>
    </w:p>
    <w:tbl>
      <w:tblPr>
        <w:tblW w:w="9497" w:type="dxa"/>
        <w:tblLayout w:type="fixed"/>
        <w:tblCellMar>
          <w:left w:w="62" w:type="dxa"/>
          <w:right w:w="62" w:type="dxa"/>
        </w:tblCellMar>
        <w:tblLook w:val="0000"/>
      </w:tblPr>
      <w:tblGrid>
        <w:gridCol w:w="9497"/>
      </w:tblGrid>
      <w:tr w:rsidTr="00512056">
        <w:tblPrEx>
          <w:tblW w:w="9497" w:type="dxa"/>
          <w:tblLayout w:type="fixed"/>
          <w:tblCellMar>
            <w:left w:w="62" w:type="dxa"/>
            <w:right w:w="62" w:type="dxa"/>
          </w:tblCellMar>
          <w:tblLook w:val="0000"/>
        </w:tblPrEx>
        <w:trPr>
          <w:trHeight w:val="16596"/>
        </w:trPr>
        <w:tc>
          <w:tcPr>
            <w:tcW w:w="9497" w:type="dxa"/>
            <w:tcBorders>
              <w:top w:val="nil"/>
              <w:left w:val="nil"/>
              <w:bottom w:val="nil"/>
              <w:right w:val="nil"/>
            </w:tcBorders>
            <w:tcMar>
              <w:top w:w="0" w:type="dxa"/>
              <w:left w:w="62" w:type="dxa"/>
              <w:bottom w:w="0" w:type="dxa"/>
              <w:right w:w="62" w:type="dxa"/>
            </w:tcMar>
          </w:tcPr>
          <w:p w:rsidR="00000000" w:rsidRPr="00512056" w:rsidP="00512056">
            <w:pPr>
              <w:pStyle w:val="BodyText"/>
            </w:pPr>
            <w:r w:rsidRPr="00512056">
              <w:t>Evidence required to demonstrate competence in this unit must be relevant to an</w:t>
            </w:r>
            <w:r w:rsidRPr="00512056">
              <w:t>d satisfy all of the requirements of the elements and performance criteria and include knowledge of:</w:t>
            </w:r>
          </w:p>
          <w:p w:rsidR="00000000" w:rsidRPr="00512056" w:rsidP="00512056">
            <w:pPr>
              <w:pStyle w:val="ListBullet"/>
            </w:pPr>
            <w:r w:rsidRPr="00512056">
              <w:t>anchor handling and towing equipment, including:</w:t>
            </w:r>
          </w:p>
          <w:p w:rsidR="00000000" w:rsidRPr="00512056" w:rsidP="00512056">
            <w:pPr>
              <w:pStyle w:val="ListBullet2"/>
            </w:pPr>
            <w:r w:rsidRPr="00512056">
              <w:t>capstan winches</w:t>
            </w:r>
          </w:p>
          <w:p w:rsidR="00000000" w:rsidRPr="00512056" w:rsidP="00512056">
            <w:pPr>
              <w:pStyle w:val="ListBullet2"/>
            </w:pPr>
            <w:r w:rsidRPr="00512056">
              <w:t>towing pins</w:t>
            </w:r>
          </w:p>
          <w:p w:rsidR="00000000" w:rsidRPr="00512056" w:rsidP="00512056">
            <w:pPr>
              <w:pStyle w:val="ListBullet2"/>
            </w:pPr>
            <w:r w:rsidRPr="00512056">
              <w:t>towing winches</w:t>
            </w:r>
          </w:p>
          <w:p w:rsidR="00000000" w:rsidRPr="00512056" w:rsidP="00512056">
            <w:pPr>
              <w:pStyle w:val="ListBullet2"/>
            </w:pPr>
            <w:r w:rsidRPr="00512056">
              <w:t>tugger winches</w:t>
            </w:r>
          </w:p>
          <w:p w:rsidR="00000000" w:rsidRPr="00512056" w:rsidP="00512056">
            <w:pPr>
              <w:pStyle w:val="ListBullet2"/>
            </w:pPr>
            <w:r w:rsidRPr="00512056">
              <w:t>wire stoppers/shark jaws</w:t>
            </w:r>
          </w:p>
          <w:p w:rsidR="00000000" w:rsidRPr="00512056" w:rsidP="00512056">
            <w:pPr>
              <w:pStyle w:val="ListBullet2"/>
            </w:pPr>
            <w:r w:rsidRPr="00512056">
              <w:t>working winches</w:t>
            </w:r>
          </w:p>
          <w:p w:rsidR="00000000" w:rsidRPr="00512056" w:rsidP="00512056">
            <w:pPr>
              <w:pStyle w:val="ListBullet"/>
            </w:pPr>
            <w:r w:rsidRPr="00512056">
              <w:t>anchor handling and towing tools, including:</w:t>
            </w:r>
          </w:p>
          <w:p w:rsidR="00000000" w:rsidRPr="00512056" w:rsidP="00512056">
            <w:pPr>
              <w:pStyle w:val="ListBullet2"/>
            </w:pPr>
            <w:r w:rsidRPr="00512056">
              <w:t>anchors</w:t>
            </w:r>
          </w:p>
          <w:p w:rsidR="00000000" w:rsidRPr="00512056" w:rsidP="00512056">
            <w:pPr>
              <w:pStyle w:val="ListBullet2"/>
            </w:pPr>
            <w:r w:rsidRPr="00512056">
              <w:t>buoys (surface and subsea)</w:t>
            </w:r>
          </w:p>
          <w:p w:rsidR="00000000" w:rsidRPr="00512056" w:rsidP="00512056">
            <w:pPr>
              <w:pStyle w:val="ListBullet2"/>
            </w:pPr>
            <w:r w:rsidRPr="00512056">
              <w:t>capstan winches and wires</w:t>
            </w:r>
          </w:p>
          <w:p w:rsidR="00000000" w:rsidRPr="00512056" w:rsidP="00512056">
            <w:pPr>
              <w:pStyle w:val="ListBullet2"/>
            </w:pPr>
            <w:r w:rsidRPr="00512056">
              <w:t>capstans</w:t>
            </w:r>
          </w:p>
          <w:p w:rsidR="00000000" w:rsidRPr="00512056" w:rsidP="00512056">
            <w:pPr>
              <w:pStyle w:val="ListBullet2"/>
            </w:pPr>
            <w:r w:rsidRPr="00512056">
              <w:t>chains</w:t>
            </w:r>
          </w:p>
          <w:p w:rsidR="00000000" w:rsidRPr="00512056" w:rsidP="00512056">
            <w:pPr>
              <w:pStyle w:val="ListBullet2"/>
            </w:pPr>
            <w:r w:rsidRPr="00512056">
              <w:t>connecting links (kenter, baldt, hinge and pear)</w:t>
            </w:r>
          </w:p>
          <w:p w:rsidR="00000000" w:rsidRPr="00512056" w:rsidP="00512056">
            <w:pPr>
              <w:pStyle w:val="ListBullet2"/>
            </w:pPr>
            <w:r w:rsidRPr="00512056">
              <w:t>fibre rope</w:t>
            </w:r>
          </w:p>
          <w:p w:rsidR="00000000" w:rsidRPr="00512056" w:rsidP="00512056">
            <w:pPr>
              <w:pStyle w:val="ListBullet2"/>
            </w:pPr>
            <w:r w:rsidRPr="00512056">
              <w:t>gob arrangements</w:t>
            </w:r>
          </w:p>
          <w:p w:rsidR="00000000" w:rsidRPr="00512056" w:rsidP="00512056">
            <w:pPr>
              <w:pStyle w:val="ListBullet2"/>
            </w:pPr>
            <w:r w:rsidRPr="00512056">
              <w:t>grapnels</w:t>
            </w:r>
          </w:p>
          <w:p w:rsidR="00000000" w:rsidRPr="00512056" w:rsidP="00512056">
            <w:pPr>
              <w:pStyle w:val="ListBullet2"/>
            </w:pPr>
            <w:r w:rsidRPr="00512056">
              <w:t>J hooks</w:t>
            </w:r>
          </w:p>
          <w:p w:rsidR="00000000" w:rsidRPr="00512056" w:rsidP="00512056">
            <w:pPr>
              <w:pStyle w:val="ListBullet2"/>
            </w:pPr>
            <w:r w:rsidRPr="00512056">
              <w:t>oil rig cranes</w:t>
            </w:r>
          </w:p>
          <w:p w:rsidR="00000000" w:rsidRPr="00512056" w:rsidP="00512056">
            <w:pPr>
              <w:pStyle w:val="ListBullet2"/>
            </w:pPr>
            <w:r w:rsidRPr="00512056">
              <w:t>shackles</w:t>
            </w:r>
          </w:p>
          <w:p w:rsidR="00000000" w:rsidRPr="00512056" w:rsidP="00512056">
            <w:pPr>
              <w:pStyle w:val="ListBullet2"/>
            </w:pPr>
            <w:r w:rsidRPr="00512056">
              <w:t>swivels</w:t>
            </w:r>
          </w:p>
          <w:p w:rsidR="00000000" w:rsidRPr="00512056" w:rsidP="00512056">
            <w:pPr>
              <w:pStyle w:val="ListBullet2"/>
            </w:pPr>
            <w:r w:rsidRPr="00512056">
              <w:t>towed barges</w:t>
            </w:r>
          </w:p>
          <w:p w:rsidR="00000000" w:rsidRPr="00512056" w:rsidP="00512056">
            <w:pPr>
              <w:pStyle w:val="ListBullet2"/>
            </w:pPr>
            <w:r w:rsidRPr="00512056">
              <w:t>towed rigs</w:t>
            </w:r>
          </w:p>
          <w:p w:rsidR="00000000" w:rsidRPr="00512056" w:rsidP="00512056">
            <w:pPr>
              <w:pStyle w:val="ListBullet2"/>
            </w:pPr>
            <w:r w:rsidRPr="00512056">
              <w:t>towing pins</w:t>
            </w:r>
          </w:p>
          <w:p w:rsidR="00000000" w:rsidRPr="00512056" w:rsidP="00512056">
            <w:pPr>
              <w:pStyle w:val="ListBullet2"/>
            </w:pPr>
            <w:r w:rsidRPr="00512056">
              <w:t>tugger winches and wires</w:t>
            </w:r>
          </w:p>
          <w:p w:rsidR="00000000" w:rsidRPr="00512056" w:rsidP="00512056">
            <w:pPr>
              <w:pStyle w:val="ListBullet2"/>
            </w:pPr>
            <w:r w:rsidRPr="00512056">
              <w:t>wire stoppers/shark jaws</w:t>
            </w:r>
          </w:p>
          <w:p w:rsidR="00000000" w:rsidRPr="00512056" w:rsidP="00512056">
            <w:pPr>
              <w:pStyle w:val="ListBullet2"/>
            </w:pPr>
            <w:r w:rsidRPr="00512056">
              <w:t>wires (towing and work)</w:t>
            </w:r>
          </w:p>
          <w:p w:rsidR="00000000" w:rsidRPr="00512056" w:rsidP="00512056">
            <w:pPr>
              <w:pStyle w:val="ListBullet"/>
            </w:pPr>
            <w:r w:rsidRPr="00512056">
              <w:t>legislation and guidance affecting anchor handling and towing operations</w:t>
            </w:r>
          </w:p>
          <w:p w:rsidR="00000000" w:rsidRPr="00512056" w:rsidP="00512056">
            <w:pPr>
              <w:pStyle w:val="ListBullet"/>
            </w:pPr>
            <w:r w:rsidRPr="00512056">
              <w:t>operational faults, including:</w:t>
            </w:r>
          </w:p>
          <w:p w:rsidR="00000000" w:rsidRPr="00512056" w:rsidP="00512056">
            <w:pPr>
              <w:pStyle w:val="ListBullet2"/>
            </w:pPr>
            <w:r w:rsidRPr="00512056">
              <w:t>breakage of wire</w:t>
            </w:r>
          </w:p>
          <w:p w:rsidR="00000000" w:rsidRPr="00512056" w:rsidP="00512056">
            <w:pPr>
              <w:pStyle w:val="ListBullet2"/>
            </w:pPr>
            <w:r w:rsidRPr="00512056">
              <w:t>failure of deck tools and equipment</w:t>
            </w:r>
          </w:p>
          <w:p w:rsidR="00000000" w:rsidRPr="00512056" w:rsidP="00512056">
            <w:pPr>
              <w:pStyle w:val="ListBullet2"/>
            </w:pPr>
            <w:r w:rsidRPr="00512056">
              <w:t>machinery breakdowns</w:t>
            </w:r>
          </w:p>
          <w:p w:rsidR="00000000" w:rsidRPr="00512056" w:rsidP="00512056">
            <w:pPr>
              <w:pStyle w:val="ListBullet"/>
            </w:pPr>
            <w:r w:rsidRPr="00512056">
              <w:t>pre-operational checks, including:</w:t>
            </w:r>
          </w:p>
          <w:p w:rsidR="00000000" w:rsidRPr="00512056" w:rsidP="00512056">
            <w:pPr>
              <w:pStyle w:val="ListBullet2"/>
            </w:pPr>
            <w:r w:rsidRPr="00512056">
              <w:t>deck equipment</w:t>
            </w:r>
          </w:p>
          <w:p w:rsidR="00000000" w:rsidRPr="00512056" w:rsidP="00512056">
            <w:pPr>
              <w:pStyle w:val="ListBullet2"/>
            </w:pPr>
            <w:r w:rsidRPr="00512056">
              <w:t>equipment operational readiness</w:t>
            </w:r>
          </w:p>
          <w:p w:rsidR="00000000" w:rsidRPr="00512056" w:rsidP="00512056">
            <w:pPr>
              <w:pStyle w:val="ListBullet2"/>
            </w:pPr>
            <w:r w:rsidRPr="00512056">
              <w:t>inspecting safety guards</w:t>
            </w:r>
          </w:p>
          <w:p w:rsidR="00000000" w:rsidRPr="00512056" w:rsidP="00512056">
            <w:pPr>
              <w:pStyle w:val="ListBullet2"/>
            </w:pPr>
            <w:r w:rsidRPr="00512056">
              <w:t>pre-start and safety checks, including:</w:t>
            </w:r>
          </w:p>
          <w:p w:rsidR="00000000" w:rsidRPr="00512056" w:rsidP="00512056">
            <w:pPr>
              <w:pStyle w:val="ListBullet3"/>
            </w:pPr>
            <w:r w:rsidRPr="00512056">
              <w:t>emergency stops</w:t>
            </w:r>
          </w:p>
          <w:p w:rsidR="00000000" w:rsidRPr="00512056" w:rsidP="00512056">
            <w:pPr>
              <w:pStyle w:val="ListBullet3"/>
            </w:pPr>
            <w:r w:rsidRPr="00512056">
              <w:t>oils, greases and lubricants</w:t>
            </w:r>
          </w:p>
          <w:p w:rsidR="00000000" w:rsidRPr="00512056" w:rsidP="00512056">
            <w:pPr>
              <w:pStyle w:val="ListBullet"/>
            </w:pPr>
            <w:r w:rsidRPr="00512056">
              <w:t>safe and controlled manner, including:</w:t>
            </w:r>
          </w:p>
          <w:p w:rsidR="00000000" w:rsidRPr="00512056" w:rsidP="00512056">
            <w:pPr>
              <w:pStyle w:val="ListBullet2"/>
            </w:pPr>
            <w:r w:rsidRPr="00512056">
              <w:t>maintaining safe workloads within ships specifications, including:</w:t>
            </w:r>
          </w:p>
          <w:p w:rsidR="00000000" w:rsidRPr="00512056" w:rsidP="00512056">
            <w:pPr>
              <w:pStyle w:val="ListBullet3"/>
            </w:pPr>
            <w:r w:rsidRPr="00512056">
              <w:t>safe working load (SWL)</w:t>
            </w:r>
          </w:p>
          <w:p w:rsidR="00000000" w:rsidRPr="00512056" w:rsidP="00512056">
            <w:pPr>
              <w:pStyle w:val="ListBullet3"/>
            </w:pPr>
            <w:r w:rsidRPr="00512056">
              <w:t>working load limit (WLL)</w:t>
            </w:r>
          </w:p>
          <w:p w:rsidR="00000000" w:rsidRPr="00512056" w:rsidP="00512056">
            <w:pPr>
              <w:pStyle w:val="ListBullet2"/>
            </w:pPr>
            <w:r w:rsidRPr="00512056">
              <w:t>selecting and using appropriate machinery and equipment</w:t>
            </w:r>
          </w:p>
          <w:p w:rsidR="00000000" w:rsidRPr="00512056" w:rsidP="00512056">
            <w:pPr>
              <w:pStyle w:val="ListBullet2"/>
            </w:pPr>
            <w:r w:rsidRPr="00512056">
              <w:t>using operational techniques for specific location, operation and weather conditions</w:t>
            </w:r>
          </w:p>
          <w:p w:rsidR="00000000" w:rsidRPr="00512056" w:rsidP="00512056">
            <w:pPr>
              <w:pStyle w:val="ListBullet"/>
            </w:pPr>
            <w:r w:rsidRPr="00512056">
              <w:t>safe working procedures</w:t>
            </w:r>
          </w:p>
          <w:p w:rsidR="00000000" w:rsidRPr="00512056" w:rsidP="00512056">
            <w:pPr>
              <w:pStyle w:val="ListBullet"/>
            </w:pPr>
            <w:r w:rsidRPr="00512056">
              <w:t>terminology and abbreviations used in the maritime industry specific to anchor handling and towing operations</w:t>
            </w:r>
          </w:p>
          <w:p w:rsidR="00000000" w:rsidRPr="00512056" w:rsidP="00512056">
            <w:pPr>
              <w:pStyle w:val="ListBullet"/>
            </w:pPr>
            <w:r w:rsidRPr="00512056">
              <w:t>work health and safety (WHS)/occupat</w:t>
            </w:r>
            <w:r w:rsidRPr="00512056">
              <w:t>ional health and safety (OHS) requirements and work practices.</w:t>
            </w:r>
          </w:p>
        </w:tc>
      </w:tr>
    </w:tbl>
    <w:p w:rsidR="00000000" w:rsidRPr="00512056" w:rsidP="00512056">
      <w:pPr>
        <w:pStyle w:val="BodyText"/>
      </w:pPr>
    </w:p>
    <w:p w:rsidR="00000000" w:rsidRPr="00512056" w:rsidP="00512056">
      <w:pPr>
        <w:pStyle w:val="AllowPageBreak"/>
      </w:pPr>
    </w:p>
    <w:p w:rsidR="00000000" w:rsidRPr="00512056" w:rsidP="00512056">
      <w:pPr>
        <w:pStyle w:val="Heading1"/>
      </w:pPr>
      <w:bookmarkStart w:id="4" w:name="O_1085718"/>
      <w:bookmarkEnd w:id="4"/>
      <w:r w:rsidRPr="00512056">
        <w:t>Assessment Conditions</w:t>
      </w:r>
    </w:p>
    <w:tbl>
      <w:tblPr>
        <w:tblW w:w="9497" w:type="dxa"/>
        <w:tblLayout w:type="fixed"/>
        <w:tblCellMar>
          <w:left w:w="62" w:type="dxa"/>
          <w:right w:w="62" w:type="dxa"/>
        </w:tblCellMar>
        <w:tblLook w:val="0000"/>
      </w:tblPr>
      <w:tblGrid>
        <w:gridCol w:w="9497"/>
      </w:tblGrid>
      <w:tr w:rsidTr="00512056">
        <w:tblPrEx>
          <w:tblW w:w="9497" w:type="dxa"/>
          <w:tblLayout w:type="fixed"/>
          <w:tblCellMar>
            <w:left w:w="62" w:type="dxa"/>
            <w:right w:w="62" w:type="dxa"/>
          </w:tblCellMar>
          <w:tblLook w:val="0000"/>
        </w:tblPrEx>
        <w:trPr>
          <w:trHeight w:val="5185"/>
        </w:trPr>
        <w:tc>
          <w:tcPr>
            <w:tcW w:w="9497" w:type="dxa"/>
            <w:tcBorders>
              <w:top w:val="nil"/>
              <w:left w:val="nil"/>
              <w:bottom w:val="nil"/>
              <w:right w:val="nil"/>
            </w:tcBorders>
            <w:tcMar>
              <w:top w:w="0" w:type="dxa"/>
              <w:left w:w="62" w:type="dxa"/>
              <w:bottom w:w="0" w:type="dxa"/>
              <w:right w:w="62" w:type="dxa"/>
            </w:tcMar>
          </w:tcPr>
          <w:p w:rsidR="00000000" w:rsidRPr="00512056" w:rsidP="00512056">
            <w:pPr>
              <w:pStyle w:val="BodyText"/>
            </w:pPr>
            <w:r w:rsidRPr="00512056">
              <w:t xml:space="preserve">Assessors must hold credentials specified within the Standards for Registered Training Organisations current at the time of assessment. </w:t>
            </w:r>
          </w:p>
          <w:p w:rsidR="00000000" w:rsidRPr="00512056" w:rsidP="00512056">
            <w:pPr>
              <w:pStyle w:val="BodyText"/>
            </w:pPr>
            <w:r w:rsidRPr="00512056">
              <w:t>Assessment must satisfy the Principles of Assessment and Rules of Evidence and all regulatory requirements included within the Standards for Registered Training Organisations current at the time of assessment.</w:t>
            </w:r>
          </w:p>
          <w:p w:rsidR="00000000" w:rsidRPr="00512056" w:rsidP="00512056">
            <w:pPr>
              <w:pStyle w:val="BodyText"/>
            </w:pPr>
            <w:r w:rsidRPr="00512056">
              <w:t>Practical assessment must occur onboard an Anc</w:t>
            </w:r>
            <w:r w:rsidRPr="00512056">
              <w:t xml:space="preserve">hor Handling Tug Supply (AHTS) vessel using workplace operational situations, or realistic simulated workplace, under the normal range of workplace conditions. </w:t>
            </w:r>
          </w:p>
          <w:p w:rsidR="00000000" w:rsidRPr="00512056" w:rsidP="00512056">
            <w:pPr>
              <w:pStyle w:val="BodyText"/>
            </w:pPr>
            <w:r w:rsidRPr="00512056">
              <w:t>Simulations and scenarios may be used where situations cannot be provided in the workplace or m</w:t>
            </w:r>
            <w:r w:rsidRPr="00512056">
              <w:t>ay occur only rarely, in particular for situations relating to emergency procedures and adverse weather conditions where assessment would be unsafe, impractical or may lead to environmental damage.</w:t>
            </w:r>
          </w:p>
          <w:p w:rsidR="00000000" w:rsidRPr="00512056" w:rsidP="00512056">
            <w:pPr>
              <w:pStyle w:val="BodyText"/>
            </w:pPr>
            <w:r w:rsidRPr="00512056">
              <w:t>Resources for assessment must include access to:</w:t>
            </w:r>
          </w:p>
          <w:p w:rsidR="00000000" w:rsidRPr="00512056" w:rsidP="00512056">
            <w:pPr>
              <w:pStyle w:val="ListBullet"/>
            </w:pPr>
            <w:r w:rsidRPr="00512056">
              <w:t>applicab</w:t>
            </w:r>
            <w:r w:rsidRPr="00512056">
              <w:t>le documentation, such as legislation, regulations, codes of practice, workplace procedures and operational manuals</w:t>
            </w:r>
          </w:p>
          <w:p w:rsidR="00000000" w:rsidRPr="00512056" w:rsidP="00512056">
            <w:pPr>
              <w:pStyle w:val="ListBullet"/>
            </w:pPr>
            <w:r w:rsidRPr="00512056">
              <w:t>tools, equipment, machinery, materials and relevant personal protective equipment (PPE) currently used in industry.</w:t>
            </w:r>
          </w:p>
        </w:tc>
      </w:tr>
    </w:tbl>
    <w:p w:rsidR="00FC601F" w:rsidP="00512056">
      <w:pPr>
        <w:pStyle w:val="BodyText"/>
      </w:pPr>
    </w:p>
    <w:p w:rsidR="00FC601F" w:rsidP="00512056">
      <w:pPr>
        <w:pStyle w:val="BodyText"/>
      </w:pPr>
    </w:p>
    <w:p w:rsidR="00000000" w:rsidRPr="00512056" w:rsidP="00512056">
      <w:pPr>
        <w:pStyle w:val="Heading1"/>
      </w:pPr>
      <w:bookmarkStart w:id="5" w:name="O_1085721"/>
      <w:bookmarkEnd w:id="5"/>
      <w:r w:rsidRPr="00512056">
        <w:t>Links</w:t>
      </w:r>
    </w:p>
    <w:p w:rsidR="00000000" w:rsidRPr="00512056" w:rsidP="00FC601F">
      <w:pPr>
        <w:pStyle w:val="BodyText"/>
      </w:pPr>
      <w:r w:rsidRPr="0051205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72ED0">
        <w:rPr>
          <w:rStyle w:val="Hyperlink"/>
        </w:rPr>
        <w:t>https://vetnet.gov.au/Pages/TrainingDocs.aspx?q=772efb7b-4cce-47fe-9bbd-ee3b1d1eb4c2</w:t>
      </w:r>
      <w:r>
        <w:fldChar w:fldCharType="end"/>
      </w:r>
    </w:p>
    <w:p w:rsidR="00000000" w:rsidRPr="00512056" w:rsidP="00512056"/>
    <w:sectPr w:rsidSect="005120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56" w:rsidRPr="00FC601F" w:rsidP="00FC6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1F" w:rsidP="00512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01F" w:rsidP="005120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C601F" w:rsidP="00512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056" w:rsidRPr="00FC601F" w:rsidP="00FC6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1F" w:rsidRPr="002D2AF8" w:rsidP="00512056">
    <w:pPr>
      <w:pStyle w:val="Header"/>
      <w:framePr w:wrap="around"/>
    </w:pPr>
    <w:r>
      <w:fldChar w:fldCharType="begin"/>
    </w:r>
    <w:r>
      <w:instrText xml:space="preserve"> TITLE   \* MERGEFORMAT </w:instrText>
    </w:r>
    <w:r>
      <w:fldChar w:fldCharType="separate"/>
    </w:r>
    <w:r>
      <w:t>Assessment Requirements for MARA015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C601F" w:rsidP="00512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6E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A8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8B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056"/>
    <w:pPr>
      <w:spacing w:before="360" w:after="60"/>
      <w:outlineLvl w:val="0"/>
    </w:pPr>
    <w:rPr>
      <w:sz w:val="32"/>
    </w:rPr>
  </w:style>
  <w:style w:type="paragraph" w:styleId="Heading2">
    <w:name w:val="heading 2"/>
    <w:basedOn w:val="HeadingBase"/>
    <w:next w:val="BodyText"/>
    <w:link w:val="Heading2Char"/>
    <w:qFormat/>
    <w:rsid w:val="00512056"/>
    <w:pPr>
      <w:keepLines/>
      <w:spacing w:before="240" w:after="120"/>
      <w:outlineLvl w:val="1"/>
    </w:pPr>
    <w:rPr>
      <w:sz w:val="28"/>
      <w:szCs w:val="40"/>
    </w:rPr>
  </w:style>
  <w:style w:type="paragraph" w:styleId="Heading3">
    <w:name w:val="heading 3"/>
    <w:basedOn w:val="HeadingBase"/>
    <w:next w:val="BodyText"/>
    <w:link w:val="Heading3Char"/>
    <w:qFormat/>
    <w:rsid w:val="00512056"/>
    <w:pPr>
      <w:spacing w:before="180" w:after="120"/>
      <w:outlineLvl w:val="2"/>
    </w:pPr>
    <w:rPr>
      <w:spacing w:val="-10"/>
      <w:kern w:val="32"/>
    </w:rPr>
  </w:style>
  <w:style w:type="paragraph" w:styleId="Heading4">
    <w:name w:val="heading 4"/>
    <w:basedOn w:val="HeadingBase"/>
    <w:next w:val="BodyText"/>
    <w:link w:val="Heading4Char"/>
    <w:qFormat/>
    <w:rsid w:val="00512056"/>
    <w:pPr>
      <w:spacing w:before="160" w:after="120"/>
      <w:outlineLvl w:val="3"/>
    </w:pPr>
    <w:rPr>
      <w:sz w:val="22"/>
    </w:rPr>
  </w:style>
  <w:style w:type="paragraph" w:styleId="Heading5">
    <w:name w:val="heading 5"/>
    <w:basedOn w:val="HeadingBase"/>
    <w:next w:val="Normal"/>
    <w:link w:val="Heading5Char"/>
    <w:qFormat/>
    <w:rsid w:val="00512056"/>
    <w:pPr>
      <w:spacing w:before="80"/>
      <w:outlineLvl w:val="4"/>
    </w:pPr>
    <w:rPr>
      <w:color w:val="918585"/>
      <w:sz w:val="20"/>
    </w:rPr>
  </w:style>
  <w:style w:type="paragraph" w:styleId="Heading6">
    <w:name w:val="heading 6"/>
    <w:basedOn w:val="HeadingBase"/>
    <w:next w:val="Normal"/>
    <w:link w:val="Heading6Char"/>
    <w:qFormat/>
    <w:rsid w:val="00512056"/>
    <w:pPr>
      <w:spacing w:before="60"/>
      <w:outlineLvl w:val="5"/>
    </w:pPr>
    <w:rPr>
      <w:color w:val="918585"/>
      <w:sz w:val="20"/>
    </w:rPr>
  </w:style>
  <w:style w:type="paragraph" w:styleId="Heading7">
    <w:name w:val="heading 7"/>
    <w:basedOn w:val="Normal"/>
    <w:next w:val="Normal"/>
    <w:link w:val="Heading7Char"/>
    <w:qFormat/>
    <w:rsid w:val="00512056"/>
    <w:pPr>
      <w:ind w:left="720"/>
      <w:outlineLvl w:val="6"/>
    </w:pPr>
    <w:rPr>
      <w:i/>
    </w:rPr>
  </w:style>
  <w:style w:type="paragraph" w:styleId="Heading8">
    <w:name w:val="heading 8"/>
    <w:basedOn w:val="Normal"/>
    <w:next w:val="Normal"/>
    <w:link w:val="Heading8Char"/>
    <w:qFormat/>
    <w:rsid w:val="00512056"/>
    <w:pPr>
      <w:ind w:left="720"/>
      <w:outlineLvl w:val="7"/>
    </w:pPr>
    <w:rPr>
      <w:i/>
    </w:rPr>
  </w:style>
  <w:style w:type="paragraph" w:styleId="Heading9">
    <w:name w:val="heading 9"/>
    <w:basedOn w:val="Normal"/>
    <w:next w:val="Normal"/>
    <w:link w:val="Heading9Char"/>
    <w:qFormat/>
    <w:rsid w:val="00512056"/>
    <w:pPr>
      <w:ind w:left="720"/>
      <w:outlineLvl w:val="8"/>
    </w:pPr>
    <w:rPr>
      <w:i/>
    </w:rPr>
  </w:style>
  <w:style w:type="character" w:default="1" w:styleId="DefaultParagraphFont">
    <w:name w:val="Default Paragraph Font"/>
    <w:uiPriority w:val="1"/>
    <w:unhideWhenUsed/>
    <w:rsid w:val="00512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056"/>
  </w:style>
  <w:style w:type="character" w:customStyle="1" w:styleId="Heading1Char">
    <w:name w:val="Heading 1 Char"/>
    <w:basedOn w:val="DefaultParagraphFont"/>
    <w:link w:val="Heading1"/>
    <w:rsid w:val="00512056"/>
    <w:rPr>
      <w:rFonts w:ascii="Times New Roman" w:eastAsia="Times New Roman" w:hAnsi="Times New Roman" w:cs="Times New Roman"/>
      <w:b/>
      <w:sz w:val="32"/>
      <w:szCs w:val="20"/>
      <w:lang w:eastAsia="en-US"/>
    </w:rPr>
  </w:style>
  <w:style w:type="paragraph" w:styleId="BodyText">
    <w:name w:val="Body Text"/>
    <w:basedOn w:val="Normal"/>
    <w:link w:val="BodyTextChar"/>
    <w:rsid w:val="005120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056"/>
    <w:rPr>
      <w:rFonts w:ascii="Times New Roman" w:eastAsia="Times New Roman" w:hAnsi="Times New Roman" w:cs="Times New Roman"/>
      <w:sz w:val="24"/>
      <w:lang w:eastAsia="en-US"/>
    </w:rPr>
  </w:style>
  <w:style w:type="paragraph" w:styleId="ListBullet">
    <w:name w:val="List Bullet"/>
    <w:basedOn w:val="List"/>
    <w:rsid w:val="00512056"/>
    <w:pPr>
      <w:numPr>
        <w:numId w:val="13"/>
      </w:numPr>
      <w:tabs>
        <w:tab w:val="clear" w:pos="340"/>
      </w:tabs>
      <w:spacing w:before="40" w:after="40"/>
    </w:pPr>
  </w:style>
  <w:style w:type="paragraph" w:styleId="ListBullet2">
    <w:name w:val="List Bullet 2"/>
    <w:basedOn w:val="List2"/>
    <w:rsid w:val="00512056"/>
    <w:pPr>
      <w:numPr>
        <w:numId w:val="14"/>
      </w:numPr>
      <w:tabs>
        <w:tab w:val="clear" w:pos="680"/>
      </w:tabs>
    </w:pPr>
  </w:style>
  <w:style w:type="paragraph" w:customStyle="1" w:styleId="SuperHeading">
    <w:name w:val="SuperHeading"/>
    <w:basedOn w:val="Normal"/>
    <w:rsid w:val="00512056"/>
    <w:pPr>
      <w:spacing w:before="240" w:after="120"/>
      <w:outlineLvl w:val="0"/>
    </w:pPr>
    <w:rPr>
      <w:rFonts w:ascii="Times New Roman" w:hAnsi="Times New Roman"/>
      <w:b/>
      <w:sz w:val="32"/>
    </w:rPr>
  </w:style>
  <w:style w:type="paragraph" w:customStyle="1" w:styleId="AllowPageBreak">
    <w:name w:val="AllowPageBreak"/>
    <w:rsid w:val="005120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205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2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056"/>
    <w:rPr>
      <w:rFonts w:ascii="Courier New" w:eastAsia="Times New Roman" w:hAnsi="Courier New" w:cs="Times New Roman"/>
      <w:i/>
      <w:szCs w:val="20"/>
      <w:lang w:eastAsia="en-US"/>
    </w:rPr>
  </w:style>
  <w:style w:type="paragraph" w:customStyle="1" w:styleId="HeadingBase">
    <w:name w:val="Heading Base"/>
    <w:rsid w:val="00512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056"/>
    <w:pPr>
      <w:tabs>
        <w:tab w:val="right" w:leader="dot" w:pos="9072"/>
      </w:tabs>
      <w:ind w:left="567"/>
    </w:pPr>
    <w:rPr>
      <w:szCs w:val="22"/>
    </w:rPr>
  </w:style>
  <w:style w:type="paragraph" w:customStyle="1" w:styleId="TOCBase">
    <w:name w:val="TOC Base"/>
    <w:rsid w:val="00512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056"/>
    <w:pPr>
      <w:tabs>
        <w:tab w:val="right" w:leader="dot" w:pos="9072"/>
      </w:tabs>
      <w:spacing w:before="40" w:after="40"/>
      <w:ind w:left="284"/>
    </w:pPr>
    <w:rPr>
      <w:rFonts w:ascii="Times New Roman" w:hAnsi="Times New Roman"/>
    </w:rPr>
  </w:style>
  <w:style w:type="paragraph" w:styleId="TOC1">
    <w:name w:val="toc 1"/>
    <w:basedOn w:val="TOCBase"/>
    <w:next w:val="Normal"/>
    <w:rsid w:val="00512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056"/>
    <w:rPr>
      <w:rFonts w:ascii="Times New Roman" w:eastAsia="Times New Roman" w:hAnsi="Times New Roman" w:cs="Times New Roman"/>
      <w:sz w:val="16"/>
      <w:lang w:eastAsia="en-US"/>
    </w:rPr>
  </w:style>
  <w:style w:type="paragraph" w:styleId="Title">
    <w:name w:val="Title"/>
    <w:basedOn w:val="HeadingBase"/>
    <w:link w:val="TitleChar"/>
    <w:qFormat/>
    <w:rsid w:val="00512056"/>
    <w:pPr>
      <w:spacing w:before="5040"/>
      <w:jc w:val="center"/>
    </w:pPr>
    <w:rPr>
      <w:sz w:val="48"/>
      <w:szCs w:val="72"/>
      <w:lang w:val="en-US"/>
    </w:rPr>
  </w:style>
  <w:style w:type="character" w:customStyle="1" w:styleId="TitleChar">
    <w:name w:val="Title Char"/>
    <w:basedOn w:val="DefaultParagraphFont"/>
    <w:link w:val="Title"/>
    <w:rsid w:val="00512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056"/>
    <w:pPr>
      <w:tabs>
        <w:tab w:val="left" w:pos="3600"/>
        <w:tab w:val="left" w:pos="3958"/>
      </w:tabs>
    </w:pPr>
  </w:style>
  <w:style w:type="paragraph" w:styleId="List">
    <w:name w:val="List"/>
    <w:basedOn w:val="BodyText"/>
    <w:next w:val="BodyText"/>
    <w:rsid w:val="00512056"/>
    <w:pPr>
      <w:tabs>
        <w:tab w:val="left" w:pos="340"/>
      </w:tabs>
      <w:spacing w:before="60" w:after="60"/>
      <w:ind w:left="340" w:hanging="340"/>
    </w:pPr>
  </w:style>
  <w:style w:type="paragraph" w:customStyle="1" w:styleId="Note">
    <w:name w:val="Note"/>
    <w:basedOn w:val="BodyText"/>
    <w:rsid w:val="005120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056"/>
    <w:rPr>
      <w:b/>
      <w:spacing w:val="0"/>
    </w:rPr>
  </w:style>
  <w:style w:type="paragraph" w:customStyle="1" w:styleId="SuperTitle">
    <w:name w:val="SuperTitle"/>
    <w:basedOn w:val="Title"/>
    <w:rsid w:val="00512056"/>
    <w:pPr>
      <w:framePr w:wrap="auto" w:hAnchor="text" w:y="6049"/>
    </w:pPr>
    <w:rPr>
      <w:color w:val="000000"/>
      <w:sz w:val="40"/>
    </w:rPr>
  </w:style>
  <w:style w:type="paragraph" w:customStyle="1" w:styleId="TOCTitle">
    <w:name w:val="TOCTitle"/>
    <w:basedOn w:val="Heading1"/>
    <w:rsid w:val="00512056"/>
    <w:pPr>
      <w:spacing w:after="240"/>
      <w:jc w:val="center"/>
      <w:outlineLvl w:val="9"/>
    </w:pPr>
    <w:rPr>
      <w:caps/>
    </w:rPr>
  </w:style>
  <w:style w:type="paragraph" w:customStyle="1" w:styleId="Version">
    <w:name w:val="Version"/>
    <w:rsid w:val="00512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056"/>
    <w:pPr>
      <w:keepNext w:val="0"/>
      <w:tabs>
        <w:tab w:val="right" w:pos="4176"/>
      </w:tabs>
      <w:ind w:left="198" w:hanging="198"/>
    </w:pPr>
    <w:rPr>
      <w:rFonts w:ascii="Garamond" w:hAnsi="Garamond"/>
    </w:rPr>
  </w:style>
  <w:style w:type="paragraph" w:styleId="IndexHeading">
    <w:name w:val="index heading"/>
    <w:basedOn w:val="Normal"/>
    <w:next w:val="Index1"/>
    <w:semiHidden/>
    <w:rsid w:val="00512056"/>
    <w:pPr>
      <w:spacing w:before="120" w:after="120"/>
    </w:pPr>
    <w:rPr>
      <w:rFonts w:ascii="Arial" w:hAnsi="Arial"/>
      <w:b/>
      <w:color w:val="918585"/>
      <w:sz w:val="24"/>
    </w:rPr>
  </w:style>
  <w:style w:type="paragraph" w:styleId="Header">
    <w:name w:val="header"/>
    <w:basedOn w:val="Normal"/>
    <w:link w:val="HeaderChar"/>
    <w:rsid w:val="00512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056"/>
    <w:rPr>
      <w:rFonts w:ascii="Times New Roman" w:eastAsia="Times New Roman" w:hAnsi="Times New Roman" w:cs="Times New Roman"/>
      <w:sz w:val="16"/>
      <w:szCs w:val="20"/>
      <w:lang w:val="en-GB" w:eastAsia="en-US"/>
    </w:rPr>
  </w:style>
  <w:style w:type="paragraph" w:customStyle="1" w:styleId="Chapter">
    <w:name w:val="Chapter"/>
    <w:basedOn w:val="Normal"/>
    <w:rsid w:val="00512056"/>
    <w:pPr>
      <w:spacing w:before="240"/>
    </w:pPr>
    <w:rPr>
      <w:rFonts w:ascii="Times New Roman" w:hAnsi="Times New Roman"/>
      <w:smallCaps/>
      <w:spacing w:val="80"/>
      <w:sz w:val="28"/>
    </w:rPr>
  </w:style>
  <w:style w:type="paragraph" w:customStyle="1" w:styleId="InChapter">
    <w:name w:val="InChapter"/>
    <w:basedOn w:val="Heading3"/>
    <w:rsid w:val="00512056"/>
    <w:pPr>
      <w:spacing w:after="240"/>
      <w:outlineLvl w:val="9"/>
    </w:pPr>
    <w:rPr>
      <w:noProof/>
    </w:rPr>
  </w:style>
  <w:style w:type="paragraph" w:styleId="Index2">
    <w:name w:val="index 2"/>
    <w:basedOn w:val="Normal"/>
    <w:next w:val="Normal"/>
    <w:semiHidden/>
    <w:rsid w:val="00512056"/>
    <w:pPr>
      <w:tabs>
        <w:tab w:val="right" w:pos="4176"/>
      </w:tabs>
      <w:ind w:left="568" w:hanging="284"/>
    </w:pPr>
    <w:rPr>
      <w:rFonts w:ascii="Garamond" w:hAnsi="Garamond"/>
    </w:rPr>
  </w:style>
  <w:style w:type="paragraph" w:customStyle="1" w:styleId="Byline">
    <w:name w:val="Byline"/>
    <w:rsid w:val="00512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056"/>
    <w:pPr>
      <w:tabs>
        <w:tab w:val="clear" w:pos="3600"/>
        <w:tab w:val="clear" w:pos="3958"/>
      </w:tabs>
      <w:jc w:val="right"/>
    </w:pPr>
  </w:style>
  <w:style w:type="character" w:styleId="Emphasis">
    <w:name w:val="Emphasis"/>
    <w:basedOn w:val="DefaultParagraphFont"/>
    <w:qFormat/>
    <w:rsid w:val="00512056"/>
    <w:rPr>
      <w:i/>
    </w:rPr>
  </w:style>
  <w:style w:type="paragraph" w:styleId="Caption">
    <w:name w:val="caption"/>
    <w:basedOn w:val="BodyText"/>
    <w:next w:val="Normal"/>
    <w:qFormat/>
    <w:rsid w:val="00512056"/>
    <w:pPr>
      <w:framePr w:w="2268" w:hSpace="181" w:vSpace="181" w:wrap="around" w:vAnchor="text" w:hAnchor="page" w:x="1135" w:y="285" w:anchorLock="1"/>
    </w:pPr>
    <w:rPr>
      <w:i/>
    </w:rPr>
  </w:style>
  <w:style w:type="paragraph" w:customStyle="1" w:styleId="MiniTOCTitle">
    <w:name w:val="MiniTOCTitle"/>
    <w:basedOn w:val="Heading4"/>
    <w:rsid w:val="00512056"/>
    <w:pPr>
      <w:spacing w:before="240"/>
      <w:outlineLvl w:val="9"/>
    </w:pPr>
    <w:rPr>
      <w:noProof/>
      <w:sz w:val="24"/>
    </w:rPr>
  </w:style>
  <w:style w:type="paragraph" w:customStyle="1" w:styleId="MiniTOCItem">
    <w:name w:val="MiniTOCItem"/>
    <w:basedOn w:val="ListBullet"/>
    <w:rsid w:val="00512056"/>
    <w:pPr>
      <w:numPr>
        <w:numId w:val="0"/>
      </w:numPr>
      <w:tabs>
        <w:tab w:val="right" w:leader="dot" w:pos="6521"/>
      </w:tabs>
      <w:spacing w:before="0" w:after="0"/>
    </w:pPr>
  </w:style>
  <w:style w:type="paragraph" w:customStyle="1" w:styleId="TOFTitle">
    <w:name w:val="TOFTitle"/>
    <w:basedOn w:val="TOCTitle"/>
    <w:rsid w:val="00512056"/>
  </w:style>
  <w:style w:type="paragraph" w:styleId="TableofFigures">
    <w:name w:val="table of figures"/>
    <w:basedOn w:val="Normal"/>
    <w:next w:val="Normal"/>
    <w:semiHidden/>
    <w:rsid w:val="00512056"/>
    <w:pPr>
      <w:tabs>
        <w:tab w:val="right" w:leader="dot" w:pos="9072"/>
      </w:tabs>
      <w:ind w:left="970" w:hanging="403"/>
    </w:pPr>
    <w:rPr>
      <w:rFonts w:ascii="Times New Roman" w:hAnsi="Times New Roman"/>
      <w:b/>
    </w:rPr>
  </w:style>
  <w:style w:type="paragraph" w:styleId="ListNumber">
    <w:name w:val="List Number"/>
    <w:basedOn w:val="List"/>
    <w:rsid w:val="00512056"/>
    <w:pPr>
      <w:numPr>
        <w:numId w:val="16"/>
      </w:numPr>
      <w:tabs>
        <w:tab w:val="clear" w:pos="340"/>
      </w:tabs>
    </w:pPr>
  </w:style>
  <w:style w:type="character" w:customStyle="1" w:styleId="WingdingSymbols">
    <w:name w:val="Wingding Symbols"/>
    <w:rsid w:val="00512056"/>
    <w:rPr>
      <w:rFonts w:ascii="Wingdings" w:hAnsi="Wingdings"/>
    </w:rPr>
  </w:style>
  <w:style w:type="paragraph" w:customStyle="1" w:styleId="TableHeading">
    <w:name w:val="Table Heading"/>
    <w:basedOn w:val="HeadingBase"/>
    <w:rsid w:val="00512056"/>
    <w:pPr>
      <w:keepLines/>
      <w:pBdr>
        <w:bottom w:val="single" w:sz="6" w:space="1" w:color="918585"/>
      </w:pBdr>
      <w:spacing w:before="240"/>
    </w:pPr>
  </w:style>
  <w:style w:type="character" w:customStyle="1" w:styleId="HotSpot">
    <w:name w:val="HotSpot"/>
    <w:rsid w:val="00512056"/>
    <w:rPr>
      <w:color w:val="0033CC"/>
      <w:u w:val="none"/>
    </w:rPr>
  </w:style>
  <w:style w:type="paragraph" w:customStyle="1" w:styleId="BodyTextRight">
    <w:name w:val="Body Text Right"/>
    <w:basedOn w:val="BodyText"/>
    <w:rsid w:val="00512056"/>
    <w:pPr>
      <w:spacing w:before="0" w:after="0"/>
      <w:jc w:val="right"/>
    </w:pPr>
  </w:style>
  <w:style w:type="paragraph" w:styleId="Index3">
    <w:name w:val="index 3"/>
    <w:basedOn w:val="ListNumber2"/>
    <w:next w:val="Normal"/>
    <w:semiHidden/>
    <w:rsid w:val="00512056"/>
    <w:pPr>
      <w:numPr>
        <w:numId w:val="0"/>
      </w:numPr>
      <w:tabs>
        <w:tab w:val="right" w:leader="dot" w:pos="4176"/>
      </w:tabs>
    </w:pPr>
  </w:style>
  <w:style w:type="paragraph" w:styleId="ListNumber2">
    <w:name w:val="List Number 2"/>
    <w:basedOn w:val="List2"/>
    <w:rsid w:val="00512056"/>
    <w:pPr>
      <w:numPr>
        <w:numId w:val="11"/>
      </w:numPr>
      <w:tabs>
        <w:tab w:val="clear" w:pos="1060"/>
      </w:tabs>
    </w:pPr>
  </w:style>
  <w:style w:type="paragraph" w:customStyle="1" w:styleId="MarginNote">
    <w:name w:val="Margin Note"/>
    <w:basedOn w:val="BodyText"/>
    <w:rsid w:val="00512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056"/>
    <w:rPr>
      <w:sz w:val="32"/>
    </w:rPr>
  </w:style>
  <w:style w:type="paragraph" w:customStyle="1" w:styleId="HeadingProcedure">
    <w:name w:val="Heading Procedure"/>
    <w:basedOn w:val="HeadingBase"/>
    <w:next w:val="Normal"/>
    <w:rsid w:val="00512056"/>
    <w:pPr>
      <w:tabs>
        <w:tab w:val="left" w:pos="0"/>
      </w:tabs>
      <w:spacing w:before="120" w:after="60"/>
    </w:pPr>
    <w:rPr>
      <w:i/>
      <w:color w:val="918585"/>
      <w:sz w:val="22"/>
    </w:rPr>
  </w:style>
  <w:style w:type="paragraph" w:customStyle="1" w:styleId="TableBodyText">
    <w:name w:val="Table Body Text"/>
    <w:basedOn w:val="BodyText"/>
    <w:rsid w:val="00512056"/>
    <w:pPr>
      <w:spacing w:before="60" w:after="60"/>
    </w:pPr>
  </w:style>
  <w:style w:type="paragraph" w:styleId="ListContinue">
    <w:name w:val="List Continue"/>
    <w:basedOn w:val="List"/>
    <w:rsid w:val="00512056"/>
    <w:pPr>
      <w:ind w:firstLine="0"/>
    </w:pPr>
  </w:style>
  <w:style w:type="paragraph" w:customStyle="1" w:styleId="ListNote">
    <w:name w:val="List Note"/>
    <w:basedOn w:val="List"/>
    <w:rsid w:val="00512056"/>
    <w:pPr>
      <w:pBdr>
        <w:top w:val="single" w:sz="6" w:space="2" w:color="918585"/>
        <w:bottom w:val="single" w:sz="6" w:space="2" w:color="918585"/>
      </w:pBdr>
      <w:tabs>
        <w:tab w:val="left" w:pos="1021"/>
      </w:tabs>
      <w:ind w:firstLine="0"/>
    </w:pPr>
  </w:style>
  <w:style w:type="paragraph" w:customStyle="1" w:styleId="Warning">
    <w:name w:val="Warning"/>
    <w:basedOn w:val="BodyText"/>
    <w:rsid w:val="00512056"/>
    <w:pPr>
      <w:shd w:val="clear" w:color="auto" w:fill="D9D9D9"/>
      <w:tabs>
        <w:tab w:val="left" w:pos="992"/>
      </w:tabs>
      <w:ind w:left="119" w:right="119"/>
    </w:pPr>
    <w:rPr>
      <w:sz w:val="20"/>
    </w:rPr>
  </w:style>
  <w:style w:type="paragraph" w:customStyle="1" w:styleId="MarginIcons">
    <w:name w:val="Margin Icons"/>
    <w:basedOn w:val="BodyText"/>
    <w:rsid w:val="00512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056"/>
    <w:rPr>
      <w:rFonts w:ascii="Courier New" w:hAnsi="Courier New"/>
    </w:rPr>
  </w:style>
  <w:style w:type="paragraph" w:customStyle="1" w:styleId="NoteBullet">
    <w:name w:val="Note Bullet"/>
    <w:basedOn w:val="Note"/>
    <w:rsid w:val="00512056"/>
    <w:pPr>
      <w:tabs>
        <w:tab w:val="clear" w:pos="680"/>
      </w:tabs>
      <w:spacing w:before="60" w:after="60"/>
    </w:pPr>
  </w:style>
  <w:style w:type="paragraph" w:customStyle="1" w:styleId="SubHeading2">
    <w:name w:val="SubHeading2"/>
    <w:basedOn w:val="HeadingBase"/>
    <w:rsid w:val="00512056"/>
    <w:pPr>
      <w:spacing w:before="240" w:after="60"/>
    </w:pPr>
    <w:rPr>
      <w:sz w:val="20"/>
    </w:rPr>
  </w:style>
  <w:style w:type="paragraph" w:customStyle="1" w:styleId="SubHeading1">
    <w:name w:val="SubHeading1"/>
    <w:basedOn w:val="HeadingBase"/>
    <w:rsid w:val="00512056"/>
    <w:pPr>
      <w:spacing w:before="240" w:after="60"/>
    </w:pPr>
    <w:rPr>
      <w:color w:val="918585"/>
      <w:sz w:val="22"/>
    </w:rPr>
  </w:style>
  <w:style w:type="paragraph" w:customStyle="1" w:styleId="SideHeading">
    <w:name w:val="Side Heading"/>
    <w:basedOn w:val="HeadingBase"/>
    <w:rsid w:val="00512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056"/>
    <w:pPr>
      <w:numPr>
        <w:numId w:val="12"/>
      </w:numPr>
    </w:pPr>
  </w:style>
  <w:style w:type="paragraph" w:styleId="PlainText">
    <w:name w:val="Plain Text"/>
    <w:basedOn w:val="Normal"/>
    <w:link w:val="PlainTextChar"/>
    <w:rsid w:val="00512056"/>
    <w:rPr>
      <w:sz w:val="20"/>
    </w:rPr>
  </w:style>
  <w:style w:type="character" w:customStyle="1" w:styleId="PlainTextChar">
    <w:name w:val="Plain Text Char"/>
    <w:basedOn w:val="DefaultParagraphFont"/>
    <w:link w:val="PlainText"/>
    <w:rsid w:val="00512056"/>
    <w:rPr>
      <w:rFonts w:ascii="Courier New" w:eastAsia="Times New Roman" w:hAnsi="Courier New" w:cs="Times New Roman"/>
      <w:sz w:val="20"/>
      <w:szCs w:val="20"/>
      <w:lang w:eastAsia="en-US"/>
    </w:rPr>
  </w:style>
  <w:style w:type="character" w:customStyle="1" w:styleId="MenuOption">
    <w:name w:val="Menu Option"/>
    <w:basedOn w:val="DefaultParagraphFont"/>
    <w:rsid w:val="00512056"/>
    <w:rPr>
      <w:b/>
      <w:smallCaps/>
    </w:rPr>
  </w:style>
  <w:style w:type="paragraph" w:customStyle="1" w:styleId="TableListNumber">
    <w:name w:val="Table List Number"/>
    <w:basedOn w:val="ListNumber"/>
    <w:rsid w:val="00512056"/>
    <w:pPr>
      <w:numPr>
        <w:numId w:val="0"/>
      </w:numPr>
    </w:pPr>
  </w:style>
  <w:style w:type="paragraph" w:styleId="TOC4">
    <w:name w:val="toc 4"/>
    <w:basedOn w:val="TOCBase"/>
    <w:next w:val="Normal"/>
    <w:semiHidden/>
    <w:rsid w:val="00512056"/>
    <w:pPr>
      <w:tabs>
        <w:tab w:val="right" w:leader="dot" w:pos="9071"/>
      </w:tabs>
      <w:ind w:left="1701"/>
    </w:pPr>
  </w:style>
  <w:style w:type="paragraph" w:customStyle="1" w:styleId="ListAlpha">
    <w:name w:val="List Alpha"/>
    <w:basedOn w:val="List"/>
    <w:rsid w:val="00512056"/>
    <w:pPr>
      <w:numPr>
        <w:numId w:val="10"/>
      </w:numPr>
    </w:pPr>
  </w:style>
  <w:style w:type="paragraph" w:customStyle="1" w:styleId="ListAlpha2">
    <w:name w:val="List Alpha 2"/>
    <w:basedOn w:val="List2"/>
    <w:rsid w:val="00512056"/>
    <w:pPr>
      <w:numPr>
        <w:numId w:val="9"/>
      </w:numPr>
    </w:pPr>
  </w:style>
  <w:style w:type="paragraph" w:styleId="List2">
    <w:name w:val="List 2"/>
    <w:basedOn w:val="BodyText"/>
    <w:rsid w:val="00512056"/>
    <w:pPr>
      <w:tabs>
        <w:tab w:val="left" w:pos="680"/>
      </w:tabs>
      <w:spacing w:before="60" w:after="60"/>
      <w:ind w:left="680" w:hanging="340"/>
    </w:pPr>
  </w:style>
  <w:style w:type="paragraph" w:styleId="List3">
    <w:name w:val="List 3"/>
    <w:basedOn w:val="BodyText"/>
    <w:rsid w:val="00512056"/>
    <w:pPr>
      <w:tabs>
        <w:tab w:val="left" w:pos="1021"/>
      </w:tabs>
      <w:spacing w:before="60" w:after="60"/>
      <w:ind w:left="1020" w:hanging="340"/>
    </w:pPr>
  </w:style>
  <w:style w:type="paragraph" w:styleId="List4">
    <w:name w:val="List 4"/>
    <w:basedOn w:val="BodyText"/>
    <w:rsid w:val="00512056"/>
    <w:pPr>
      <w:tabs>
        <w:tab w:val="left" w:pos="1361"/>
      </w:tabs>
      <w:spacing w:before="60" w:after="60"/>
      <w:ind w:left="1361" w:hanging="340"/>
    </w:pPr>
  </w:style>
  <w:style w:type="paragraph" w:styleId="List5">
    <w:name w:val="List 5"/>
    <w:basedOn w:val="BodyText"/>
    <w:rsid w:val="00512056"/>
    <w:pPr>
      <w:tabs>
        <w:tab w:val="left" w:pos="1701"/>
      </w:tabs>
      <w:spacing w:before="60" w:after="60"/>
      <w:ind w:left="1701" w:hanging="340"/>
    </w:pPr>
  </w:style>
  <w:style w:type="paragraph" w:styleId="ListBullet4">
    <w:name w:val="List Bullet 4"/>
    <w:basedOn w:val="List4"/>
    <w:rsid w:val="00512056"/>
    <w:pPr>
      <w:numPr>
        <w:numId w:val="4"/>
      </w:numPr>
      <w:tabs>
        <w:tab w:val="clear" w:pos="1361"/>
      </w:tabs>
    </w:pPr>
  </w:style>
  <w:style w:type="paragraph" w:styleId="ListBullet5">
    <w:name w:val="List Bullet 5"/>
    <w:basedOn w:val="List5"/>
    <w:rsid w:val="00512056"/>
    <w:pPr>
      <w:numPr>
        <w:numId w:val="5"/>
      </w:numPr>
    </w:pPr>
  </w:style>
  <w:style w:type="paragraph" w:styleId="ListContinue2">
    <w:name w:val="List Continue 2"/>
    <w:basedOn w:val="List2"/>
    <w:rsid w:val="00512056"/>
    <w:pPr>
      <w:ind w:firstLine="0"/>
    </w:pPr>
  </w:style>
  <w:style w:type="paragraph" w:styleId="ListContinue3">
    <w:name w:val="List Continue 3"/>
    <w:basedOn w:val="List3"/>
    <w:rsid w:val="00512056"/>
    <w:pPr>
      <w:ind w:left="1021" w:firstLine="0"/>
    </w:pPr>
  </w:style>
  <w:style w:type="paragraph" w:styleId="ListContinue4">
    <w:name w:val="List Continue 4"/>
    <w:basedOn w:val="List4"/>
    <w:rsid w:val="00512056"/>
    <w:pPr>
      <w:ind w:firstLine="0"/>
    </w:pPr>
  </w:style>
  <w:style w:type="paragraph" w:styleId="ListContinue5">
    <w:name w:val="List Continue 5"/>
    <w:basedOn w:val="List5"/>
    <w:rsid w:val="00512056"/>
    <w:pPr>
      <w:ind w:firstLine="0"/>
    </w:pPr>
  </w:style>
  <w:style w:type="paragraph" w:styleId="ListNumber3">
    <w:name w:val="List Number 3"/>
    <w:basedOn w:val="List3"/>
    <w:rsid w:val="00512056"/>
    <w:pPr>
      <w:numPr>
        <w:numId w:val="6"/>
      </w:numPr>
    </w:pPr>
  </w:style>
  <w:style w:type="paragraph" w:styleId="ListNumber4">
    <w:name w:val="List Number 4"/>
    <w:basedOn w:val="List4"/>
    <w:rsid w:val="00512056"/>
    <w:pPr>
      <w:numPr>
        <w:numId w:val="7"/>
      </w:numPr>
    </w:pPr>
  </w:style>
  <w:style w:type="paragraph" w:styleId="ListNumber5">
    <w:name w:val="List Number 5"/>
    <w:basedOn w:val="List5"/>
    <w:rsid w:val="00512056"/>
    <w:pPr>
      <w:numPr>
        <w:numId w:val="8"/>
      </w:numPr>
    </w:pPr>
  </w:style>
  <w:style w:type="paragraph" w:styleId="BlockText">
    <w:name w:val="Block Text"/>
    <w:basedOn w:val="Normal"/>
    <w:rsid w:val="00512056"/>
    <w:pPr>
      <w:spacing w:after="120"/>
      <w:ind w:left="1440" w:right="1440"/>
    </w:pPr>
  </w:style>
  <w:style w:type="character" w:customStyle="1" w:styleId="Subscript">
    <w:name w:val="Subscript"/>
    <w:basedOn w:val="DefaultParagraphFont"/>
    <w:rsid w:val="00512056"/>
    <w:rPr>
      <w:sz w:val="16"/>
      <w:vertAlign w:val="subscript"/>
    </w:rPr>
  </w:style>
  <w:style w:type="character" w:customStyle="1" w:styleId="Superscript">
    <w:name w:val="Superscript"/>
    <w:basedOn w:val="DefaultParagraphFont"/>
    <w:rsid w:val="00512056"/>
    <w:rPr>
      <w:sz w:val="16"/>
      <w:vertAlign w:val="superscript"/>
    </w:rPr>
  </w:style>
  <w:style w:type="character" w:customStyle="1" w:styleId="Symbols">
    <w:name w:val="Symbols"/>
    <w:basedOn w:val="DefaultParagraphFont"/>
    <w:rsid w:val="00512056"/>
    <w:rPr>
      <w:rFonts w:ascii="Symbol" w:hAnsi="Symbol"/>
    </w:rPr>
  </w:style>
  <w:style w:type="character" w:customStyle="1" w:styleId="MenuOptions">
    <w:name w:val="Menu Options"/>
    <w:basedOn w:val="DefaultParagraphFont"/>
    <w:rsid w:val="00512056"/>
    <w:rPr>
      <w:rFonts w:ascii="Arial Narrow" w:hAnsi="Arial Narrow"/>
      <w:smallCaps/>
    </w:rPr>
  </w:style>
  <w:style w:type="character" w:customStyle="1" w:styleId="Buttons">
    <w:name w:val="Buttons"/>
    <w:basedOn w:val="DefaultParagraphFont"/>
    <w:rsid w:val="00512056"/>
    <w:rPr>
      <w:b/>
    </w:rPr>
  </w:style>
  <w:style w:type="character" w:customStyle="1" w:styleId="Underlined">
    <w:name w:val="Underlined"/>
    <w:basedOn w:val="DefaultParagraphFont"/>
    <w:rsid w:val="00512056"/>
    <w:rPr>
      <w:u w:val="single"/>
    </w:rPr>
  </w:style>
  <w:style w:type="paragraph" w:customStyle="1" w:styleId="TableBodyTextRight">
    <w:name w:val="Table Body Text Right"/>
    <w:basedOn w:val="TableBodyText"/>
    <w:rsid w:val="00512056"/>
    <w:pPr>
      <w:widowControl w:val="0"/>
      <w:autoSpaceDE w:val="0"/>
      <w:autoSpaceDN w:val="0"/>
      <w:adjustRightInd w:val="0"/>
      <w:jc w:val="right"/>
    </w:pPr>
    <w:rPr>
      <w:rFonts w:cs="Arial"/>
      <w:szCs w:val="18"/>
    </w:rPr>
  </w:style>
  <w:style w:type="paragraph" w:customStyle="1" w:styleId="CopyrightText">
    <w:name w:val="Copyright Text"/>
    <w:basedOn w:val="BodyText"/>
    <w:rsid w:val="00512056"/>
    <w:rPr>
      <w:sz w:val="18"/>
    </w:rPr>
  </w:style>
  <w:style w:type="paragraph" w:customStyle="1" w:styleId="BodySmallRight">
    <w:name w:val="Body Small Right"/>
    <w:basedOn w:val="BodyTextRight"/>
    <w:rsid w:val="00512056"/>
    <w:rPr>
      <w:sz w:val="18"/>
      <w:szCs w:val="18"/>
    </w:rPr>
  </w:style>
  <w:style w:type="paragraph" w:customStyle="1" w:styleId="MarginEdition">
    <w:name w:val="Margin Edition"/>
    <w:basedOn w:val="MarginNote"/>
    <w:rsid w:val="00512056"/>
    <w:pPr>
      <w:spacing w:before="0" w:after="0"/>
    </w:pPr>
    <w:rPr>
      <w:rFonts w:ascii="Times New Roman" w:hAnsi="Times New Roman"/>
      <w:color w:val="999999"/>
    </w:rPr>
  </w:style>
  <w:style w:type="paragraph" w:customStyle="1" w:styleId="Spacer">
    <w:name w:val="Spacer"/>
    <w:basedOn w:val="Normal"/>
    <w:rsid w:val="00512056"/>
    <w:rPr>
      <w:sz w:val="2"/>
      <w:szCs w:val="2"/>
    </w:rPr>
  </w:style>
  <w:style w:type="character" w:customStyle="1" w:styleId="Small">
    <w:name w:val="Small"/>
    <w:basedOn w:val="DefaultParagraphFont"/>
    <w:rsid w:val="00512056"/>
    <w:rPr>
      <w:sz w:val="16"/>
    </w:rPr>
  </w:style>
  <w:style w:type="paragraph" w:customStyle="1" w:styleId="WideTable">
    <w:name w:val="Wide Table"/>
    <w:basedOn w:val="Normal"/>
    <w:rsid w:val="00512056"/>
    <w:pPr>
      <w:ind w:left="-1418"/>
    </w:pPr>
    <w:rPr>
      <w:sz w:val="2"/>
      <w:szCs w:val="2"/>
    </w:rPr>
  </w:style>
  <w:style w:type="character" w:styleId="PageNumber">
    <w:name w:val="page number"/>
    <w:basedOn w:val="DefaultParagraphFont"/>
    <w:rsid w:val="00512056"/>
  </w:style>
  <w:style w:type="paragraph" w:styleId="Quote">
    <w:name w:val="Quote"/>
    <w:basedOn w:val="Heading1"/>
    <w:link w:val="QuoteChar"/>
    <w:qFormat/>
    <w:rsid w:val="00512056"/>
    <w:rPr>
      <w:b w:val="0"/>
      <w:sz w:val="72"/>
      <w:szCs w:val="72"/>
      <w:lang w:val="en-NZ"/>
    </w:rPr>
  </w:style>
  <w:style w:type="character" w:customStyle="1" w:styleId="QuoteChar">
    <w:name w:val="Quote Char"/>
    <w:basedOn w:val="DefaultParagraphFont"/>
    <w:link w:val="Quote"/>
    <w:rsid w:val="00512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056"/>
    <w:pPr>
      <w:pageBreakBefore/>
    </w:pPr>
  </w:style>
  <w:style w:type="paragraph" w:customStyle="1" w:styleId="Border">
    <w:name w:val="Border"/>
    <w:basedOn w:val="Normal"/>
    <w:qFormat/>
    <w:rsid w:val="00512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056"/>
    <w:rPr>
      <w:b/>
      <w:bCs/>
      <w:i/>
      <w:iCs/>
      <w:color w:val="auto"/>
    </w:rPr>
  </w:style>
  <w:style w:type="paragraph" w:styleId="IntenseQuote">
    <w:name w:val="Intense Quote"/>
    <w:basedOn w:val="Normal"/>
    <w:next w:val="Normal"/>
    <w:link w:val="IntenseQuoteChar"/>
    <w:uiPriority w:val="30"/>
    <w:qFormat/>
    <w:rsid w:val="00512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056"/>
    <w:rPr>
      <w:smallCaps/>
      <w:color w:val="auto"/>
      <w:u w:val="single"/>
    </w:rPr>
  </w:style>
  <w:style w:type="character" w:styleId="IntenseReference">
    <w:name w:val="Intense Reference"/>
    <w:basedOn w:val="DefaultParagraphFont"/>
    <w:uiPriority w:val="32"/>
    <w:qFormat/>
    <w:rsid w:val="00512056"/>
    <w:rPr>
      <w:b/>
      <w:bCs/>
      <w:smallCaps/>
      <w:color w:val="auto"/>
      <w:spacing w:val="5"/>
      <w:u w:val="single"/>
    </w:rPr>
  </w:style>
  <w:style w:type="paragraph" w:customStyle="1" w:styleId="2ColumnHeading">
    <w:name w:val="2Column Heading"/>
    <w:basedOn w:val="BodyText"/>
    <w:qFormat/>
    <w:rsid w:val="00512056"/>
    <w:pPr>
      <w:spacing w:after="60"/>
      <w:ind w:left="-2268"/>
    </w:pPr>
    <w:rPr>
      <w:b/>
    </w:rPr>
  </w:style>
  <w:style w:type="paragraph" w:customStyle="1" w:styleId="Heading1TOC">
    <w:name w:val="Heading1 TOC"/>
    <w:basedOn w:val="Normal"/>
    <w:qFormat/>
    <w:rsid w:val="00512056"/>
    <w:pPr>
      <w:spacing w:before="240" w:after="120"/>
    </w:pPr>
    <w:rPr>
      <w:rFonts w:ascii="Times New Roman" w:hAnsi="Times New Roman"/>
      <w:b/>
      <w:sz w:val="32"/>
    </w:rPr>
  </w:style>
  <w:style w:type="paragraph" w:customStyle="1" w:styleId="Heading2TOC">
    <w:name w:val="Heading2 TOC"/>
    <w:basedOn w:val="Normal"/>
    <w:qFormat/>
    <w:rsid w:val="00512056"/>
    <w:pPr>
      <w:spacing w:before="240" w:after="60"/>
    </w:pPr>
    <w:rPr>
      <w:rFonts w:ascii="Times New Roman" w:hAnsi="Times New Roman"/>
      <w:b/>
      <w:sz w:val="28"/>
    </w:rPr>
  </w:style>
  <w:style w:type="character" w:customStyle="1" w:styleId="Underline">
    <w:name w:val="Underline"/>
    <w:basedOn w:val="DefaultParagraphFont"/>
    <w:qFormat/>
    <w:rsid w:val="00512056"/>
    <w:rPr>
      <w:u w:val="single"/>
    </w:rPr>
  </w:style>
  <w:style w:type="character" w:customStyle="1" w:styleId="BoldandItalics">
    <w:name w:val="Bold and Italics"/>
    <w:qFormat/>
    <w:rsid w:val="00512056"/>
    <w:rPr>
      <w:b/>
      <w:i/>
      <w:u w:val="none"/>
    </w:rPr>
  </w:style>
  <w:style w:type="paragraph" w:styleId="BalloonText">
    <w:name w:val="Balloon Text"/>
    <w:basedOn w:val="Normal"/>
    <w:link w:val="BalloonTextChar"/>
    <w:rsid w:val="00512056"/>
    <w:rPr>
      <w:rFonts w:ascii="Tahoma" w:hAnsi="Tahoma" w:cs="Tahoma"/>
      <w:sz w:val="16"/>
      <w:szCs w:val="16"/>
    </w:rPr>
  </w:style>
  <w:style w:type="character" w:customStyle="1" w:styleId="BalloonTextChar">
    <w:name w:val="Balloon Text Char"/>
    <w:basedOn w:val="DefaultParagraphFont"/>
    <w:link w:val="BalloonText"/>
    <w:rsid w:val="00512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0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056"/>
    <w:rPr>
      <w:b/>
      <w:color w:val="660033"/>
      <w:spacing w:val="0"/>
    </w:rPr>
  </w:style>
  <w:style w:type="paragraph" w:customStyle="1" w:styleId="Nameditemlist">
    <w:name w:val="Named item list"/>
    <w:basedOn w:val="BodyText"/>
    <w:qFormat/>
    <w:rsid w:val="00512056"/>
    <w:pPr>
      <w:tabs>
        <w:tab w:val="left" w:pos="2835"/>
      </w:tabs>
      <w:ind w:left="2835" w:hanging="2835"/>
    </w:pPr>
  </w:style>
  <w:style w:type="paragraph" w:customStyle="1" w:styleId="BodyTextnopadding">
    <w:name w:val="Body Text no padding"/>
    <w:basedOn w:val="BodyText"/>
    <w:qFormat/>
    <w:rsid w:val="00512056"/>
    <w:pPr>
      <w:spacing w:before="0" w:after="0"/>
    </w:pPr>
  </w:style>
  <w:style w:type="paragraph" w:customStyle="1" w:styleId="BodyTextBold">
    <w:name w:val="Body Text Bold"/>
    <w:basedOn w:val="BodyText"/>
    <w:qFormat/>
    <w:rsid w:val="00512056"/>
    <w:rPr>
      <w:b/>
    </w:rPr>
  </w:style>
  <w:style w:type="character" w:styleId="Hyperlink">
    <w:name w:val="Hyperlink"/>
    <w:basedOn w:val="DefaultParagraphFont"/>
    <w:uiPriority w:val="99"/>
    <w:unhideWhenUsed/>
    <w:rsid w:val="00FC6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3740</Characters>
  <Application>Microsoft Office Word</Application>
  <DocSecurity>0</DocSecurity>
  <Lines>113</Lines>
  <Paragraphs>91</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MARA015 Contribute to safe anchor handling and towing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