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05B" w:rsidP="00024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MARA010 Manage loading, unloading and stowage of cargo</w:t>
      </w:r>
      <w:r>
        <w:fldChar w:fldCharType="end"/>
      </w:r>
    </w:p>
    <w:p w:rsidR="0002405B" w:rsidP="0002405B">
      <w:pPr>
        <w:pStyle w:val="Version"/>
        <w:sectPr w:rsidSect="00717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A79" w:rsidP="00717A79">
      <w:pPr>
        <w:pStyle w:val="SuperHeading"/>
      </w:pPr>
      <w:r w:rsidRPr="00717A79">
        <w:t>MARA010 Manage loading, unloading and stowage of cargo</w:t>
      </w:r>
    </w:p>
    <w:p w:rsidR="00000000" w:rsidRPr="00717A79" w:rsidP="00717A79">
      <w:pPr>
        <w:pStyle w:val="Heading1"/>
      </w:pPr>
      <w:bookmarkStart w:id="1" w:name="O_747695"/>
      <w:bookmarkEnd w:id="1"/>
      <w:r w:rsidRPr="00717A79">
        <w:t>Modification History</w:t>
      </w:r>
    </w:p>
    <w:p w:rsidR="0002405B" w:rsidP="0002405B">
      <w:pPr>
        <w:pStyle w:val="BodyText"/>
      </w:pPr>
      <w:r w:rsidRPr="00717A79">
        <w:t>Release 1. This is the first release of this unit of competency in the MAR Maritime Training Package Release 3.0.</w:t>
      </w:r>
    </w:p>
    <w:p w:rsidR="00000000" w:rsidRPr="00717A79" w:rsidP="00717A79">
      <w:pPr>
        <w:pStyle w:val="Heading1"/>
      </w:pPr>
      <w:bookmarkStart w:id="2" w:name="O_747696"/>
      <w:bookmarkEnd w:id="2"/>
      <w:r w:rsidRPr="00717A79">
        <w:t>Application</w:t>
      </w:r>
    </w:p>
    <w:p w:rsidR="00000000" w:rsidRPr="00717A79" w:rsidP="0002405B">
      <w:pPr>
        <w:pStyle w:val="BodyText"/>
      </w:pPr>
      <w:r w:rsidRPr="00717A79">
        <w:t>This unit involves the skills and knowledge required to manage the loading</w:t>
      </w:r>
      <w:r w:rsidRPr="00717A79">
        <w:t>, stowage, securing and care of cargo during the voyage and the unloading of cargo, according to the cargo plan, organisational procedures and vessel stowage limitations.</w:t>
      </w:r>
    </w:p>
    <w:p w:rsidR="00000000" w:rsidRPr="00717A79" w:rsidP="0002405B">
      <w:pPr>
        <w:pStyle w:val="BodyText"/>
      </w:pPr>
      <w:r w:rsidRPr="00717A79">
        <w:t>This unit applies to the work of a Watchkeeper Deck and Master up to 500 gross tonnag</w:t>
      </w:r>
      <w:r w:rsidRPr="00717A79">
        <w:t xml:space="preserve">e. </w:t>
      </w:r>
    </w:p>
    <w:p w:rsidR="0002405B" w:rsidP="0002405B">
      <w:pPr>
        <w:pStyle w:val="BodyText"/>
      </w:pPr>
      <w:r w:rsidRPr="00717A79">
        <w:t>No licensing, legislative or certification requirements apply to this unit at the time of publication.</w:t>
      </w:r>
    </w:p>
    <w:p w:rsidR="00000000" w:rsidRPr="00717A79" w:rsidP="00717A79">
      <w:pPr>
        <w:pStyle w:val="Heading1"/>
      </w:pPr>
      <w:bookmarkStart w:id="3" w:name="O_747697"/>
      <w:bookmarkEnd w:id="3"/>
      <w:r w:rsidRPr="00717A79">
        <w:t>Pre-requisite Unit</w:t>
      </w:r>
    </w:p>
    <w:p w:rsidR="00000000" w:rsidRPr="00717A79" w:rsidP="0002405B">
      <w:pPr>
        <w:pStyle w:val="BodyText"/>
      </w:pPr>
      <w:r w:rsidRPr="00717A79">
        <w:t>Not applicable.</w:t>
      </w:r>
    </w:p>
    <w:p w:rsidR="00000000" w:rsidRPr="00717A79" w:rsidP="00717A79">
      <w:pPr>
        <w:pStyle w:val="Heading1"/>
      </w:pPr>
      <w:bookmarkStart w:id="4" w:name="O_747698"/>
      <w:bookmarkEnd w:id="4"/>
      <w:r w:rsidRPr="00717A79">
        <w:t>Competency Field</w:t>
      </w:r>
    </w:p>
    <w:p w:rsidR="00000000" w:rsidRPr="00717A79" w:rsidP="0002405B">
      <w:pPr>
        <w:pStyle w:val="BodyText"/>
      </w:pPr>
      <w:r w:rsidRPr="00717A79">
        <w:t>A – Handling Cargo and Vessel Stability</w:t>
      </w:r>
    </w:p>
    <w:p w:rsidR="00000000" w:rsidRPr="00717A79" w:rsidP="00717A79">
      <w:pPr>
        <w:pStyle w:val="Heading1"/>
      </w:pPr>
      <w:bookmarkStart w:id="5" w:name="O_747699"/>
      <w:bookmarkEnd w:id="5"/>
      <w:r w:rsidRPr="00717A79">
        <w:t xml:space="preserve">Unit </w:t>
      </w:r>
      <w:r w:rsidRPr="00717A79">
        <w:t>Sector</w:t>
      </w:r>
    </w:p>
    <w:p w:rsidR="00000000" w:rsidRPr="00717A79" w:rsidP="0002405B">
      <w:pPr>
        <w:pStyle w:val="BodyText"/>
      </w:pPr>
      <w:r w:rsidRPr="00717A79">
        <w:t>Not applicable.</w:t>
      </w:r>
    </w:p>
    <w:p w:rsidR="00000000" w:rsidRPr="00717A79" w:rsidP="00717A79">
      <w:pPr>
        <w:pStyle w:val="Heading1"/>
      </w:pPr>
      <w:bookmarkStart w:id="6" w:name="O_747700"/>
      <w:bookmarkEnd w:id="6"/>
      <w:r w:rsidRPr="00717A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rPr>
                <w:rStyle w:val="SpecialBold"/>
              </w:rPr>
              <w:t>PERFORMANCE CRITERIA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Performance criteria describe the performance needed to demonstrate achievement of the element.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rPr>
                <w:rStyle w:val="SpecialBold"/>
              </w:rPr>
              <w:t>Review cargo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plan is interpreted to determine required cargo operations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Characteristics of cargo being transported are identified and the type, severity and impact of the hazard posed by cargo on safety, the environment, vessel operat</w:t>
            </w:r>
            <w:r w:rsidRPr="00717A79">
              <w:t>ions and personnel are established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plan is evaluated to ensure regulations relating to hazardous materials/dangerous goods are observed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plan is assessed to ensure incompatible cargo stowage is avoided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plan is checked to ensure unloading sequence is effective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rPr>
                <w:rStyle w:val="SpecialBold"/>
              </w:rPr>
              <w:t>Prepare for loading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Holds are checked to ensure they are clean, dry and free of smell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 xml:space="preserve">Safety arrangements are verified to ensure they are operational 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Supplies of cargo protection and securing material are reviewed to ensure there are sufficient available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Bilge suctions are protected before loading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Checks are made to ensure cargo is correctly identified, inspected and confirmed against docu</w:t>
            </w:r>
            <w:r w:rsidRPr="00717A79">
              <w:t>mentation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Preparations for loading are monitored according to stowage plan and organisational procedures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Ballast discharge plan is identified and confirmed and appropriate actions to support this plan are undertaken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rPr>
                <w:rStyle w:val="SpecialBold"/>
              </w:rPr>
              <w:t>Supervise loading/ unloading of cargo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Instructions are given to crew and stevedores involved in cargo loading/unloading according to cargo stowage plan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Compliance with regulations, procedures and instructions pertaining to type of cargo being ha</w:t>
            </w:r>
            <w:r w:rsidRPr="00717A79">
              <w:t>ndled is managed during loading/unloading operations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 xml:space="preserve">Loading/unloading is monitored to ensure loading rate is not exceeded 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Vessel stability is observed during loading/unloading operations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Loading/</w:t>
            </w:r>
            <w:r w:rsidRPr="00717A79">
              <w:t>unloading operations are checked against cargo plan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is secured according to cargo plan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handling documentation is completed according to organisational procedures and regulatory requirements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Transfer of cargo is monitored to prevent hazards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Gas monitoring equipment is regularly inspected and used according to organisational procedures, as required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rPr>
                <w:rStyle w:val="SpecialBold"/>
              </w:rPr>
              <w:t>Monitor care of cargo during voyage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Plan for care of cargo during voyage is impleme</w:t>
            </w:r>
            <w:r w:rsidRPr="00717A79">
              <w:t>nted according to organisational and customer requirements, and relevant regulations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Ventilation and humidity control systems are checked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Actions required to maintain the safety and security of cargo during the voyage are initiated according to customer requirements and organisational procedures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Compliance with safety and hazard minimisation procedures and regulations related to cargo</w:t>
            </w:r>
            <w:r w:rsidRPr="00717A79">
              <w:t xml:space="preserve"> care is managed at all times during the voyage to maintain the safety of personnel, cargo and vessel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Safety procedures are followed and appropriate action is taken when defects or damage to cargo are detected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rPr>
                <w:rStyle w:val="SpecialBold"/>
              </w:rPr>
              <w:t>Take precautions to prevent pollutio</w:t>
            </w:r>
            <w:r w:rsidRPr="00717A79">
              <w:rPr>
                <w:rStyle w:val="SpecialBold"/>
              </w:rPr>
              <w:t>n of the environment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Procedures to prevent pollution are identified and observed at all times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Measures to prevent pollution during normal and emergency situations are applied according to regulatory requirements and organisational procedures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All relevant information is immediately reported to appropriate persons when a vapour leak or cloud is detected or a malfunction has occurred that poses a risk of a vapour leak or cloud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BodyText"/>
            </w:pPr>
            <w:r w:rsidRPr="00717A79">
              <w:t>Shore-based response personnel are promptly notified when a</w:t>
            </w:r>
            <w:r w:rsidRPr="00717A79">
              <w:t xml:space="preserve"> vapour leak or cloud occurs</w:t>
            </w:r>
          </w:p>
        </w:tc>
      </w:tr>
    </w:tbl>
    <w:p w:rsidR="0002405B" w:rsidP="00717A79">
      <w:pPr>
        <w:pStyle w:val="BodyText"/>
      </w:pPr>
    </w:p>
    <w:p w:rsidR="0002405B" w:rsidP="00717A79">
      <w:pPr>
        <w:pStyle w:val="BodyText"/>
      </w:pPr>
    </w:p>
    <w:p w:rsidR="00000000" w:rsidRPr="00717A79" w:rsidP="00717A79">
      <w:pPr>
        <w:pStyle w:val="Heading1"/>
      </w:pPr>
      <w:bookmarkStart w:id="7" w:name="O_747701"/>
      <w:bookmarkEnd w:id="7"/>
      <w:r w:rsidRPr="00717A79">
        <w:t>Foundation Skills</w:t>
      </w:r>
    </w:p>
    <w:p w:rsidR="00000000" w:rsidRPr="00717A79" w:rsidP="0002405B">
      <w:pPr>
        <w:pStyle w:val="BodyText"/>
      </w:pPr>
      <w:r w:rsidRPr="00717A79">
        <w:t>Foundation skills essential to performance are explicit in the performance criteria of this unit of competency.</w:t>
      </w:r>
    </w:p>
    <w:p w:rsidR="00000000" w:rsidRPr="00717A79" w:rsidP="00717A79">
      <w:pPr>
        <w:pStyle w:val="Heading1"/>
      </w:pPr>
      <w:bookmarkStart w:id="8" w:name="O_747702"/>
      <w:bookmarkEnd w:id="8"/>
      <w:r w:rsidRPr="00717A7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96"/>
        <w:gridCol w:w="7200"/>
      </w:tblGrid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Range is restricted to essential operating conditions and any other variables essential to the work environment.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plan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ListBullet"/>
            </w:pPr>
            <w:r w:rsidRPr="00717A79">
              <w:t>cargo weight</w:t>
            </w:r>
          </w:p>
          <w:p w:rsidR="00000000" w:rsidRPr="00717A79" w:rsidP="00717A79">
            <w:pPr>
              <w:pStyle w:val="ListBullet"/>
            </w:pPr>
            <w:r w:rsidRPr="00717A79">
              <w:t>correct description and stowage of hazardous and dangerous goods</w:t>
            </w:r>
          </w:p>
          <w:p w:rsidR="00000000" w:rsidRPr="00717A79" w:rsidP="00717A79">
            <w:pPr>
              <w:pStyle w:val="ListBullet"/>
            </w:pPr>
            <w:r w:rsidRPr="00717A79">
              <w:t>description of cargo to be loaded</w:t>
            </w:r>
          </w:p>
          <w:p w:rsidR="00000000" w:rsidRPr="00717A79" w:rsidP="00717A79">
            <w:pPr>
              <w:pStyle w:val="ListBullet"/>
            </w:pPr>
            <w:r w:rsidRPr="00717A79">
              <w:t>load/discharge port</w:t>
            </w:r>
          </w:p>
          <w:p w:rsidR="00000000" w:rsidRPr="00717A79" w:rsidP="00717A79">
            <w:pPr>
              <w:pStyle w:val="ListBullet"/>
            </w:pPr>
            <w:r w:rsidRPr="00717A79">
              <w:t>segregation of non compatible cargo</w:t>
            </w:r>
          </w:p>
          <w:p w:rsidR="00000000" w:rsidP="00717A79">
            <w:pPr>
              <w:pStyle w:val="ListBullet"/>
              <w:rPr>
                <w:lang w:val="en-NZ"/>
              </w:rPr>
            </w:pPr>
            <w:r w:rsidRPr="00717A79">
              <w:t>stowage of refrigerated containers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ListBullet"/>
            </w:pPr>
            <w:r w:rsidRPr="00717A79">
              <w:t>bulk cargo</w:t>
            </w:r>
          </w:p>
          <w:p w:rsidR="00000000" w:rsidRPr="00717A79" w:rsidP="00717A79">
            <w:pPr>
              <w:pStyle w:val="ListBullet"/>
            </w:pPr>
            <w:r w:rsidRPr="00717A79">
              <w:t>chemicals and oils</w:t>
            </w:r>
          </w:p>
          <w:p w:rsidR="00000000" w:rsidRPr="00717A79" w:rsidP="00717A79">
            <w:pPr>
              <w:pStyle w:val="ListBullet"/>
            </w:pPr>
            <w:r w:rsidRPr="00717A79">
              <w:t>containerised cargo</w:t>
            </w:r>
          </w:p>
          <w:p w:rsidR="00000000" w:rsidRPr="00717A79" w:rsidP="00717A79">
            <w:pPr>
              <w:pStyle w:val="ListBullet"/>
            </w:pPr>
            <w:r w:rsidRPr="00717A79">
              <w:t>deck cargo</w:t>
            </w:r>
          </w:p>
          <w:p w:rsidR="00000000" w:rsidRPr="00717A79" w:rsidP="00717A79">
            <w:pPr>
              <w:pStyle w:val="ListBullet"/>
            </w:pPr>
            <w:r w:rsidRPr="00717A79">
              <w:t>heavy lift cargo</w:t>
            </w:r>
          </w:p>
          <w:p w:rsidR="00000000" w:rsidRPr="00717A79" w:rsidP="00717A79">
            <w:pPr>
              <w:pStyle w:val="ListBullet"/>
            </w:pPr>
            <w:r w:rsidRPr="00717A79">
              <w:t xml:space="preserve">liquefied gas </w:t>
            </w:r>
          </w:p>
          <w:p w:rsidR="00000000" w:rsidRPr="00717A79" w:rsidP="00717A79">
            <w:pPr>
              <w:pStyle w:val="ListBullet"/>
            </w:pPr>
            <w:r w:rsidRPr="00717A79">
              <w:t>liquid cargo</w:t>
            </w:r>
          </w:p>
          <w:p w:rsidR="00000000" w:rsidRPr="00717A79" w:rsidP="00717A79">
            <w:pPr>
              <w:pStyle w:val="ListBullet"/>
            </w:pPr>
            <w:r w:rsidRPr="00717A79">
              <w:t>material, eq</w:t>
            </w:r>
            <w:r w:rsidRPr="00717A79">
              <w:t xml:space="preserve">uipment or machinery that may be safely handled and stowed on vessel </w:t>
            </w:r>
          </w:p>
          <w:p w:rsidR="00000000" w:rsidP="00717A79">
            <w:pPr>
              <w:pStyle w:val="ListBullet"/>
              <w:rPr>
                <w:lang w:val="en-NZ"/>
              </w:rPr>
            </w:pPr>
            <w:r w:rsidRPr="00717A79">
              <w:t>refrigerated cargo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 xml:space="preserve">Hazardous materials/dangerous goods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ListBullet"/>
              <w:rPr>
                <w:lang w:val="en-NZ"/>
              </w:rPr>
            </w:pPr>
            <w:r w:rsidRPr="00717A79">
              <w:t>any cargo described in the International Maritime Dangerous Goods (IMDG) Code as hazardous or dangerous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Incompatible cargo stowage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ListBullet"/>
            </w:pPr>
            <w:r w:rsidRPr="00717A79">
              <w:t xml:space="preserve">cargo liable to taint </w:t>
            </w:r>
          </w:p>
          <w:p w:rsidR="00000000" w:rsidP="00717A79">
            <w:pPr>
              <w:pStyle w:val="ListBullet"/>
              <w:rPr>
                <w:lang w:val="en-NZ"/>
              </w:rPr>
            </w:pPr>
            <w:r w:rsidRPr="00717A79">
              <w:t>dangerous and hazardous goods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Cargo handling documentation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ListBullet"/>
            </w:pPr>
            <w:r w:rsidRPr="00717A79">
              <w:t>cargo gear register</w:t>
            </w:r>
          </w:p>
          <w:p w:rsidR="00000000" w:rsidRPr="00717A79" w:rsidP="00717A79">
            <w:pPr>
              <w:pStyle w:val="ListBullet"/>
            </w:pPr>
            <w:r w:rsidRPr="00717A79">
              <w:t>cargo receipts</w:t>
            </w:r>
          </w:p>
          <w:p w:rsidR="00000000" w:rsidRPr="00717A79" w:rsidP="00717A79">
            <w:pPr>
              <w:pStyle w:val="ListBullet"/>
            </w:pPr>
            <w:r w:rsidRPr="00717A79">
              <w:t>Cargo Securing Manual</w:t>
            </w:r>
          </w:p>
          <w:p w:rsidR="00000000" w:rsidRPr="00717A79" w:rsidP="00717A79">
            <w:pPr>
              <w:pStyle w:val="ListBullet"/>
            </w:pPr>
            <w:r w:rsidRPr="00717A79">
              <w:t>logbook entries</w:t>
            </w:r>
          </w:p>
          <w:p w:rsidR="00000000" w:rsidRPr="00717A79" w:rsidP="00717A79">
            <w:pPr>
              <w:pStyle w:val="ListBullet"/>
            </w:pPr>
            <w:r w:rsidRPr="00717A79">
              <w:t xml:space="preserve">Note of Protest </w:t>
            </w:r>
          </w:p>
          <w:p w:rsidR="00000000" w:rsidRPr="00717A79" w:rsidP="00717A79">
            <w:pPr>
              <w:pStyle w:val="ListBullet"/>
            </w:pPr>
            <w:r w:rsidRPr="00717A79">
              <w:t>Notice of Readiness to load or discharge</w:t>
            </w:r>
          </w:p>
          <w:p w:rsidR="00000000" w:rsidRPr="00717A79" w:rsidP="00717A79">
            <w:pPr>
              <w:pStyle w:val="ListBullet"/>
            </w:pPr>
            <w:r w:rsidRPr="00717A79">
              <w:t xml:space="preserve">operation orders and instructions </w:t>
            </w:r>
          </w:p>
          <w:p w:rsidR="00000000" w:rsidRPr="00717A79" w:rsidP="00717A79">
            <w:pPr>
              <w:pStyle w:val="ListBullet"/>
            </w:pPr>
            <w:r w:rsidRPr="00717A79">
              <w:t>safety data sheets (SDSs)/material safety data sheets (MSDSs)</w:t>
            </w:r>
          </w:p>
          <w:p w:rsidR="00000000" w:rsidRPr="00717A79" w:rsidP="00717A79">
            <w:pPr>
              <w:pStyle w:val="ListBullet"/>
            </w:pPr>
            <w:r w:rsidRPr="00717A79">
              <w:t>safety management system relating to cargo carriage</w:t>
            </w:r>
          </w:p>
          <w:p w:rsidR="00000000" w:rsidP="00717A79">
            <w:pPr>
              <w:pStyle w:val="ListBullet"/>
              <w:rPr>
                <w:lang w:val="en-NZ"/>
              </w:rPr>
            </w:pPr>
            <w:r w:rsidRPr="00717A79">
              <w:t>ship/shore safety checklists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>Actions required to maintain the wellbeing of cargo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ListBullet"/>
            </w:pPr>
            <w:r w:rsidRPr="00717A79">
              <w:t>maintaining adequate ventilation</w:t>
            </w:r>
          </w:p>
          <w:p w:rsidR="00000000" w:rsidRPr="00717A79" w:rsidP="00717A79">
            <w:pPr>
              <w:pStyle w:val="ListBullet"/>
            </w:pPr>
            <w:r w:rsidRPr="00717A79">
              <w:t xml:space="preserve">monitoring cargo spaces </w:t>
            </w:r>
          </w:p>
          <w:p w:rsidR="00000000" w:rsidP="00717A79">
            <w:pPr>
              <w:pStyle w:val="ListBullet"/>
              <w:rPr>
                <w:lang w:val="en-NZ"/>
              </w:rPr>
            </w:pPr>
            <w:r w:rsidRPr="00717A79">
              <w:t>temperature control of refrigerated or cooled cargo</w:t>
            </w:r>
          </w:p>
        </w:tc>
      </w:tr>
      <w:tr w:rsidTr="000240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A79">
            <w:pPr>
              <w:pStyle w:val="BodyText"/>
              <w:rPr>
                <w:lang w:val="en-NZ"/>
              </w:rPr>
            </w:pPr>
            <w:r w:rsidRPr="00717A79">
              <w:t xml:space="preserve">Defects or damage to cargo include one or more of the </w:t>
            </w:r>
            <w:r w:rsidRPr="00717A79">
              <w:t>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A79" w:rsidP="00717A79">
            <w:pPr>
              <w:pStyle w:val="ListBullet"/>
            </w:pPr>
            <w:r w:rsidRPr="00717A79">
              <w:t>damage caused by cargo movement</w:t>
            </w:r>
          </w:p>
          <w:p w:rsidR="00000000" w:rsidRPr="00717A79" w:rsidP="00717A79">
            <w:pPr>
              <w:pStyle w:val="ListBullet"/>
            </w:pPr>
            <w:r w:rsidRPr="00717A79">
              <w:t xml:space="preserve">deterioration of perishable cargo </w:t>
            </w:r>
          </w:p>
          <w:p w:rsidR="00000000" w:rsidRPr="00717A79" w:rsidP="00717A79">
            <w:pPr>
              <w:pStyle w:val="ListBullet"/>
            </w:pPr>
            <w:r w:rsidRPr="00717A79">
              <w:t>water ingress</w:t>
            </w:r>
          </w:p>
        </w:tc>
      </w:tr>
    </w:tbl>
    <w:p w:rsidR="0002405B" w:rsidP="00717A79">
      <w:pPr>
        <w:pStyle w:val="BodyText"/>
      </w:pPr>
    </w:p>
    <w:p w:rsidR="0002405B" w:rsidP="00717A79">
      <w:pPr>
        <w:pStyle w:val="BodyText"/>
      </w:pPr>
    </w:p>
    <w:p w:rsidR="00000000" w:rsidRPr="00717A79" w:rsidP="00717A79">
      <w:pPr>
        <w:pStyle w:val="Heading1"/>
      </w:pPr>
      <w:bookmarkStart w:id="9" w:name="O_747703"/>
      <w:bookmarkEnd w:id="9"/>
      <w:r w:rsidRPr="00717A79">
        <w:t>Unit Mapping Information</w:t>
      </w:r>
    </w:p>
    <w:p w:rsidR="0002405B" w:rsidP="0002405B">
      <w:pPr>
        <w:pStyle w:val="BodyText"/>
      </w:pPr>
      <w:r w:rsidRPr="00717A79">
        <w:t>No equivalent unit.</w:t>
      </w:r>
    </w:p>
    <w:p w:rsidR="00000000" w:rsidRPr="00717A79" w:rsidP="00717A79">
      <w:pPr>
        <w:pStyle w:val="Heading1"/>
      </w:pPr>
      <w:bookmarkStart w:id="10" w:name="O_747710"/>
      <w:bookmarkEnd w:id="10"/>
      <w:r w:rsidRPr="00717A79">
        <w:t>Links</w:t>
      </w:r>
    </w:p>
    <w:p w:rsidR="00000000" w:rsidRPr="00717A79" w:rsidP="0002405B">
      <w:pPr>
        <w:pStyle w:val="BodyText"/>
      </w:pPr>
      <w:r w:rsidRPr="00717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360E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17A79" w:rsidP="00717A79"/>
    <w:sectPr w:rsidSect="00717A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79" w:rsidRPr="0002405B" w:rsidP="00024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 w:rsidP="00717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05B" w:rsidP="00717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405B" w:rsidP="00717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A79" w:rsidRPr="0002405B" w:rsidP="00024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5B" w:rsidRPr="002D2AF8" w:rsidP="00717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MARA010 Manage loading, unloading and stowage of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2405B" w:rsidP="00717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61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66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A79"/>
  </w:style>
  <w:style w:type="character" w:customStyle="1" w:styleId="Heading1Char">
    <w:name w:val="Heading 1 Char"/>
    <w:basedOn w:val="DefaultParagraphFont"/>
    <w:link w:val="Heading1"/>
    <w:rsid w:val="00717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A79"/>
    <w:rPr>
      <w:b/>
      <w:spacing w:val="0"/>
    </w:rPr>
  </w:style>
  <w:style w:type="paragraph" w:customStyle="1" w:styleId="SuperHeading">
    <w:name w:val="SuperHeading"/>
    <w:basedOn w:val="Normal"/>
    <w:rsid w:val="00717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A79"/>
    <w:rPr>
      <w:i/>
    </w:rPr>
  </w:style>
  <w:style w:type="paragraph" w:styleId="Caption">
    <w:name w:val="caption"/>
    <w:basedOn w:val="BodyText"/>
    <w:next w:val="Normal"/>
    <w:qFormat/>
    <w:rsid w:val="00717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A79"/>
  </w:style>
  <w:style w:type="paragraph" w:styleId="TableofFigures">
    <w:name w:val="table of figures"/>
    <w:basedOn w:val="Normal"/>
    <w:next w:val="Normal"/>
    <w:semiHidden/>
    <w:rsid w:val="00717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A79"/>
    <w:rPr>
      <w:rFonts w:ascii="Wingdings" w:hAnsi="Wingdings"/>
    </w:rPr>
  </w:style>
  <w:style w:type="paragraph" w:customStyle="1" w:styleId="TableHeading">
    <w:name w:val="Table Heading"/>
    <w:basedOn w:val="HeadingBase"/>
    <w:rsid w:val="00717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A79"/>
    <w:rPr>
      <w:color w:val="0033CC"/>
      <w:u w:val="none"/>
    </w:rPr>
  </w:style>
  <w:style w:type="paragraph" w:customStyle="1" w:styleId="BodyTextRight">
    <w:name w:val="Body Text Right"/>
    <w:basedOn w:val="BodyText"/>
    <w:rsid w:val="00717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A79"/>
    <w:rPr>
      <w:sz w:val="32"/>
    </w:rPr>
  </w:style>
  <w:style w:type="paragraph" w:customStyle="1" w:styleId="HeadingProcedure">
    <w:name w:val="Heading Procedure"/>
    <w:basedOn w:val="HeadingBase"/>
    <w:next w:val="Normal"/>
    <w:rsid w:val="00717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A79"/>
    <w:pPr>
      <w:spacing w:before="60" w:after="60"/>
    </w:pPr>
  </w:style>
  <w:style w:type="paragraph" w:styleId="ListContinue">
    <w:name w:val="List Continue"/>
    <w:basedOn w:val="List"/>
    <w:rsid w:val="00717A79"/>
    <w:pPr>
      <w:ind w:firstLine="0"/>
    </w:pPr>
  </w:style>
  <w:style w:type="paragraph" w:customStyle="1" w:styleId="ListNote">
    <w:name w:val="List Note"/>
    <w:basedOn w:val="List"/>
    <w:rsid w:val="00717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A79"/>
    <w:rPr>
      <w:rFonts w:ascii="Courier New" w:hAnsi="Courier New"/>
    </w:rPr>
  </w:style>
  <w:style w:type="paragraph" w:customStyle="1" w:styleId="NoteBullet">
    <w:name w:val="Note Bullet"/>
    <w:basedOn w:val="Note"/>
    <w:rsid w:val="00717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A79"/>
    <w:rPr>
      <w:b/>
      <w:smallCaps/>
    </w:rPr>
  </w:style>
  <w:style w:type="paragraph" w:customStyle="1" w:styleId="TableListNumber">
    <w:name w:val="Table List Number"/>
    <w:basedOn w:val="ListNumber"/>
    <w:rsid w:val="00717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A79"/>
    <w:pPr>
      <w:numPr>
        <w:numId w:val="8"/>
      </w:numPr>
    </w:pPr>
  </w:style>
  <w:style w:type="paragraph" w:customStyle="1" w:styleId="ListAlpha2">
    <w:name w:val="List Alpha 2"/>
    <w:basedOn w:val="List2"/>
    <w:rsid w:val="00717A79"/>
    <w:pPr>
      <w:numPr>
        <w:numId w:val="7"/>
      </w:numPr>
    </w:pPr>
  </w:style>
  <w:style w:type="paragraph" w:styleId="List2">
    <w:name w:val="List 2"/>
    <w:basedOn w:val="BodyText"/>
    <w:rsid w:val="00717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A79"/>
    <w:pPr>
      <w:numPr>
        <w:numId w:val="3"/>
      </w:numPr>
    </w:pPr>
  </w:style>
  <w:style w:type="paragraph" w:styleId="ListContinue2">
    <w:name w:val="List Continue 2"/>
    <w:basedOn w:val="List2"/>
    <w:rsid w:val="00717A79"/>
    <w:pPr>
      <w:ind w:firstLine="0"/>
    </w:pPr>
  </w:style>
  <w:style w:type="paragraph" w:styleId="ListContinue3">
    <w:name w:val="List Continue 3"/>
    <w:basedOn w:val="List3"/>
    <w:rsid w:val="00717A79"/>
    <w:pPr>
      <w:ind w:left="1021" w:firstLine="0"/>
    </w:pPr>
  </w:style>
  <w:style w:type="paragraph" w:styleId="ListContinue4">
    <w:name w:val="List Continue 4"/>
    <w:basedOn w:val="List4"/>
    <w:rsid w:val="00717A79"/>
    <w:pPr>
      <w:ind w:firstLine="0"/>
    </w:pPr>
  </w:style>
  <w:style w:type="paragraph" w:styleId="ListContinue5">
    <w:name w:val="List Continue 5"/>
    <w:basedOn w:val="List5"/>
    <w:rsid w:val="00717A79"/>
    <w:pPr>
      <w:ind w:firstLine="0"/>
    </w:pPr>
  </w:style>
  <w:style w:type="paragraph" w:styleId="ListNumber3">
    <w:name w:val="List Number 3"/>
    <w:basedOn w:val="List3"/>
    <w:rsid w:val="00717A79"/>
    <w:pPr>
      <w:numPr>
        <w:numId w:val="4"/>
      </w:numPr>
    </w:pPr>
  </w:style>
  <w:style w:type="paragraph" w:styleId="ListNumber4">
    <w:name w:val="List Number 4"/>
    <w:basedOn w:val="List4"/>
    <w:rsid w:val="00717A79"/>
    <w:pPr>
      <w:numPr>
        <w:numId w:val="5"/>
      </w:numPr>
    </w:pPr>
  </w:style>
  <w:style w:type="paragraph" w:styleId="ListNumber5">
    <w:name w:val="List Number 5"/>
    <w:basedOn w:val="List5"/>
    <w:rsid w:val="00717A79"/>
    <w:pPr>
      <w:numPr>
        <w:numId w:val="6"/>
      </w:numPr>
    </w:pPr>
  </w:style>
  <w:style w:type="paragraph" w:styleId="BlockText">
    <w:name w:val="Block Text"/>
    <w:basedOn w:val="Normal"/>
    <w:rsid w:val="00717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A79"/>
    <w:rPr>
      <w:sz w:val="16"/>
      <w:vertAlign w:val="superscript"/>
    </w:rPr>
  </w:style>
  <w:style w:type="character" w:customStyle="1" w:styleId="Symbols">
    <w:name w:val="Symbols"/>
    <w:basedOn w:val="DefaultParagraphFont"/>
    <w:rsid w:val="00717A79"/>
    <w:rPr>
      <w:rFonts w:ascii="Symbol" w:hAnsi="Symbol"/>
    </w:rPr>
  </w:style>
  <w:style w:type="character" w:customStyle="1" w:styleId="MenuOptions">
    <w:name w:val="Menu Options"/>
    <w:basedOn w:val="DefaultParagraphFont"/>
    <w:rsid w:val="00717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A79"/>
    <w:rPr>
      <w:b/>
    </w:rPr>
  </w:style>
  <w:style w:type="character" w:customStyle="1" w:styleId="Underlined">
    <w:name w:val="Underlined"/>
    <w:basedOn w:val="DefaultParagraphFont"/>
    <w:rsid w:val="00717A79"/>
    <w:rPr>
      <w:u w:val="single"/>
    </w:rPr>
  </w:style>
  <w:style w:type="paragraph" w:customStyle="1" w:styleId="TableBodyTextRight">
    <w:name w:val="Table Body Text Right"/>
    <w:basedOn w:val="TableBodyText"/>
    <w:rsid w:val="00717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A79"/>
    <w:rPr>
      <w:sz w:val="18"/>
    </w:rPr>
  </w:style>
  <w:style w:type="paragraph" w:customStyle="1" w:styleId="BodySmallRight">
    <w:name w:val="Body Small Right"/>
    <w:basedOn w:val="BodyTextRight"/>
    <w:rsid w:val="00717A79"/>
    <w:rPr>
      <w:sz w:val="18"/>
      <w:szCs w:val="18"/>
    </w:rPr>
  </w:style>
  <w:style w:type="paragraph" w:customStyle="1" w:styleId="MarginEdition">
    <w:name w:val="Margin Edition"/>
    <w:basedOn w:val="MarginNote"/>
    <w:rsid w:val="00717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A79"/>
    <w:rPr>
      <w:sz w:val="2"/>
      <w:szCs w:val="2"/>
    </w:rPr>
  </w:style>
  <w:style w:type="character" w:customStyle="1" w:styleId="Small">
    <w:name w:val="Small"/>
    <w:basedOn w:val="DefaultParagraphFont"/>
    <w:rsid w:val="00717A79"/>
    <w:rPr>
      <w:sz w:val="16"/>
    </w:rPr>
  </w:style>
  <w:style w:type="paragraph" w:customStyle="1" w:styleId="WideTable">
    <w:name w:val="Wide Table"/>
    <w:basedOn w:val="Normal"/>
    <w:rsid w:val="00717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A79"/>
  </w:style>
  <w:style w:type="paragraph" w:styleId="Quote">
    <w:name w:val="Quote"/>
    <w:basedOn w:val="Heading1"/>
    <w:link w:val="QuoteChar"/>
    <w:qFormat/>
    <w:rsid w:val="00717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A79"/>
    <w:pPr>
      <w:pageBreakBefore/>
    </w:pPr>
  </w:style>
  <w:style w:type="paragraph" w:customStyle="1" w:styleId="Border">
    <w:name w:val="Border"/>
    <w:basedOn w:val="Normal"/>
    <w:qFormat/>
    <w:rsid w:val="00717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A79"/>
    <w:rPr>
      <w:u w:val="single"/>
    </w:rPr>
  </w:style>
  <w:style w:type="character" w:customStyle="1" w:styleId="BoldandItalics">
    <w:name w:val="Bold and Italics"/>
    <w:qFormat/>
    <w:rsid w:val="00717A79"/>
    <w:rPr>
      <w:b/>
      <w:i/>
      <w:u w:val="none"/>
    </w:rPr>
  </w:style>
  <w:style w:type="paragraph" w:styleId="BalloonText">
    <w:name w:val="Balloon Text"/>
    <w:basedOn w:val="Normal"/>
    <w:link w:val="BalloonTextChar"/>
    <w:rsid w:val="00717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A79"/>
    <w:pPr>
      <w:spacing w:before="0" w:after="0"/>
    </w:pPr>
  </w:style>
  <w:style w:type="paragraph" w:customStyle="1" w:styleId="BodyTextBold">
    <w:name w:val="Body Text Bold"/>
    <w:basedOn w:val="BodyText"/>
    <w:qFormat/>
    <w:rsid w:val="00717A79"/>
    <w:rPr>
      <w:b/>
    </w:rPr>
  </w:style>
  <w:style w:type="character" w:styleId="Hyperlink">
    <w:name w:val="Hyperlink"/>
    <w:basedOn w:val="DefaultParagraphFont"/>
    <w:uiPriority w:val="99"/>
    <w:unhideWhenUsed/>
    <w:rsid w:val="00024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5582</Characters>
  <Application>Microsoft Office Word</Application>
  <DocSecurity>0</DocSecurity>
  <Lines>265</Lines>
  <Paragraphs>167</Paragraphs>
  <ScaleCrop>false</ScaleCrop>
  <Company>Author-it Software Corporation Ltd.</Company>
  <LinksUpToDate>false</LinksUpToDate>
  <CharactersWithSpaces>6349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MARA010 Manage loading, unloading and stowage of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2020-10-27T01:22:00Z</dcterms:created>
  <dcterms:modified xsi:type="dcterms:W3CDTF">2020-10-27T01:22:00Z</dcterms:modified>
</cp:coreProperties>
</file>