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4215" w:rsidP="002A4215">
      <w:pPr>
        <w:pStyle w:val="Title"/>
      </w:pPr>
      <w:r>
        <w:fldChar w:fldCharType="begin"/>
      </w:r>
      <w:r>
        <w:instrText xml:space="preserve"> TITLE   \* MERGEFORMAT </w:instrText>
      </w:r>
      <w:r>
        <w:fldChar w:fldCharType="separate"/>
      </w:r>
      <w:r>
        <w:t>MARA008 Contribute to safe anchor handling and towing operations</w:t>
      </w:r>
      <w:r>
        <w:fldChar w:fldCharType="end"/>
      </w:r>
    </w:p>
    <w:p w:rsidR="002A4215" w:rsidP="002A4215">
      <w:pPr>
        <w:pStyle w:val="Version"/>
        <w:sectPr w:rsidSect="00143B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3B3B" w:rsidP="00143B3B">
      <w:pPr>
        <w:pStyle w:val="SuperHeading"/>
      </w:pPr>
      <w:r w:rsidRPr="00143B3B">
        <w:t>MARA008 Contribute to safe anchor handling and towing operations</w:t>
      </w:r>
    </w:p>
    <w:p w:rsidR="00000000" w:rsidRPr="00143B3B" w:rsidP="00143B3B">
      <w:pPr>
        <w:pStyle w:val="Heading1"/>
      </w:pPr>
      <w:bookmarkStart w:id="1" w:name="O_661227"/>
      <w:bookmarkEnd w:id="1"/>
      <w:r w:rsidRPr="00143B3B">
        <w:t>Modification History</w:t>
      </w:r>
    </w:p>
    <w:p w:rsidR="00000000" w:rsidRPr="00143B3B" w:rsidP="002A4215">
      <w:pPr>
        <w:pStyle w:val="BodyText"/>
      </w:pPr>
      <w:r w:rsidRPr="00143B3B">
        <w:t>Release 1. New unit of competency.</w:t>
      </w:r>
    </w:p>
    <w:p w:rsidR="00000000" w:rsidRPr="00143B3B" w:rsidP="00143B3B">
      <w:pPr>
        <w:pStyle w:val="Heading1"/>
      </w:pPr>
      <w:bookmarkStart w:id="2" w:name="O_661228"/>
      <w:bookmarkEnd w:id="2"/>
      <w:r w:rsidRPr="00143B3B">
        <w:t>Application</w:t>
      </w:r>
    </w:p>
    <w:p w:rsidR="00000000" w:rsidRPr="00143B3B" w:rsidP="002A4215">
      <w:pPr>
        <w:pStyle w:val="BodyText"/>
      </w:pPr>
      <w:r w:rsidRPr="00143B3B">
        <w:t xml:space="preserve">This unit involves the skills and knowledge required to undertake a range </w:t>
      </w:r>
      <w:r w:rsidRPr="00143B3B">
        <w:t>of offshore anchor handling and towing activities on board an Anchor Handling Tug Supply (AHTS) vessel within the limits of responsibility of an integrated rating and under the direction of the officer in charge or Master.</w:t>
      </w:r>
    </w:p>
    <w:p w:rsidR="00000000" w:rsidRPr="00143B3B" w:rsidP="002A4215">
      <w:pPr>
        <w:pStyle w:val="BodyText"/>
      </w:pPr>
      <w:r w:rsidRPr="00143B3B">
        <w:t xml:space="preserve">This unit applies to Integrated </w:t>
      </w:r>
      <w:r w:rsidRPr="00143B3B">
        <w:t>Ratings working in the offshore maritime industry assigned to specific anchor handling and towing duties and responsibilities.</w:t>
      </w:r>
    </w:p>
    <w:p w:rsidR="00000000" w:rsidRPr="00143B3B" w:rsidP="002A4215">
      <w:pPr>
        <w:pStyle w:val="BodyText"/>
      </w:pPr>
      <w:r w:rsidRPr="00143B3B">
        <w:t>No licensing, legislative or certification requirements apply to this specific unit at the time of publication.</w:t>
      </w:r>
    </w:p>
    <w:p w:rsidR="00000000" w:rsidRPr="00143B3B" w:rsidP="00143B3B">
      <w:pPr>
        <w:pStyle w:val="Heading1"/>
      </w:pPr>
      <w:bookmarkStart w:id="3" w:name="O_661229"/>
      <w:bookmarkEnd w:id="3"/>
      <w:r w:rsidRPr="00143B3B">
        <w:t>Pre-requisite Unit</w:t>
      </w:r>
    </w:p>
    <w:p w:rsidR="00000000" w:rsidRPr="00143B3B" w:rsidP="002A4215">
      <w:pPr>
        <w:pStyle w:val="BodyText"/>
      </w:pPr>
      <w:r w:rsidRPr="00143B3B">
        <w:t>Not applicable.</w:t>
      </w:r>
    </w:p>
    <w:p w:rsidR="00000000" w:rsidRPr="00143B3B" w:rsidP="00143B3B">
      <w:pPr>
        <w:pStyle w:val="Heading1"/>
      </w:pPr>
      <w:bookmarkStart w:id="4" w:name="O_661230"/>
      <w:bookmarkEnd w:id="4"/>
      <w:r w:rsidRPr="00143B3B">
        <w:t>Competency Field</w:t>
      </w:r>
    </w:p>
    <w:p w:rsidR="00000000" w:rsidRPr="00143B3B" w:rsidP="002A4215">
      <w:pPr>
        <w:pStyle w:val="BodyText"/>
      </w:pPr>
      <w:r w:rsidRPr="00143B3B">
        <w:t>C - Equipment Operations</w:t>
      </w:r>
    </w:p>
    <w:p w:rsidR="00000000" w:rsidRPr="00143B3B" w:rsidP="00143B3B">
      <w:pPr>
        <w:pStyle w:val="Heading1"/>
      </w:pPr>
      <w:bookmarkStart w:id="5" w:name="O_661231"/>
      <w:bookmarkEnd w:id="5"/>
      <w:r w:rsidRPr="00143B3B">
        <w:t>Unit Sector</w:t>
      </w:r>
    </w:p>
    <w:p w:rsidR="00000000" w:rsidRPr="00143B3B" w:rsidP="002A4215">
      <w:pPr>
        <w:pStyle w:val="BodyText"/>
      </w:pPr>
      <w:r w:rsidRPr="00143B3B">
        <w:t>Not applicable.</w:t>
      </w:r>
    </w:p>
    <w:p w:rsidR="00000000" w:rsidRPr="00143B3B" w:rsidP="00143B3B">
      <w:pPr>
        <w:pStyle w:val="Heading1"/>
      </w:pPr>
      <w:bookmarkStart w:id="6" w:name="O_661232"/>
      <w:bookmarkEnd w:id="6"/>
      <w:r w:rsidRPr="00143B3B">
        <w:t>Elements and Performance Criteria</w:t>
      </w:r>
    </w:p>
    <w:tbl>
      <w:tblPr>
        <w:tblW w:w="9498" w:type="dxa"/>
        <w:tblLayout w:type="fixed"/>
        <w:tblCellMar>
          <w:left w:w="62" w:type="dxa"/>
          <w:right w:w="62" w:type="dxa"/>
        </w:tblCellMar>
        <w:tblLook w:val="0000"/>
      </w:tblPr>
      <w:tblGrid>
        <w:gridCol w:w="432"/>
        <w:gridCol w:w="2302"/>
        <w:gridCol w:w="719"/>
        <w:gridCol w:w="6045"/>
      </w:tblGrid>
      <w:tr w:rsidTr="002A4215">
        <w:tblPrEx>
          <w:tblW w:w="9498" w:type="dxa"/>
          <w:tblLayout w:type="fixed"/>
          <w:tblCellMar>
            <w:left w:w="62" w:type="dxa"/>
            <w:right w:w="62" w:type="dxa"/>
          </w:tblCellMar>
          <w:tblLook w:val="0000"/>
        </w:tblPrEx>
        <w:tc>
          <w:tcPr>
            <w:tcW w:w="2734" w:type="dxa"/>
            <w:gridSpan w:val="2"/>
            <w:tcBorders>
              <w:top w:val="nil"/>
              <w:left w:val="nil"/>
              <w:bottom w:val="nil"/>
              <w:right w:val="nil"/>
            </w:tcBorders>
            <w:tcMar>
              <w:top w:w="0" w:type="dxa"/>
              <w:left w:w="62" w:type="dxa"/>
              <w:bottom w:w="0" w:type="dxa"/>
              <w:right w:w="62" w:type="dxa"/>
            </w:tcMar>
          </w:tcPr>
          <w:p w:rsidR="00000000" w:rsidP="00143B3B">
            <w:pPr>
              <w:pStyle w:val="BodyText"/>
              <w:rPr>
                <w:lang w:val="en-NZ"/>
              </w:rPr>
            </w:pPr>
            <w:r w:rsidRPr="00143B3B">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143B3B">
            <w:pPr>
              <w:pStyle w:val="BodyText"/>
              <w:rPr>
                <w:lang w:val="en-NZ"/>
              </w:rPr>
            </w:pPr>
            <w:r w:rsidRPr="00143B3B">
              <w:t>Performance criteria d</w:t>
            </w:r>
            <w:r w:rsidRPr="00143B3B">
              <w:t>escribe the performance needed to demonstrate achievement of the element.</w:t>
            </w:r>
          </w:p>
        </w:tc>
      </w:tr>
      <w:tr w:rsidTr="002A4215">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43B3B" w:rsidP="00143B3B">
            <w:pPr>
              <w:pStyle w:val="BodyText"/>
            </w:pPr>
            <w:r w:rsidRPr="00143B3B">
              <w:rPr>
                <w:rStyle w:val="SpecialBold"/>
              </w:rPr>
              <w:t>1</w:t>
            </w:r>
          </w:p>
        </w:tc>
        <w:tc>
          <w:tcPr>
            <w:tcW w:w="2302" w:type="dxa"/>
            <w:vMerge w:val="restart"/>
            <w:tcBorders>
              <w:top w:val="nil"/>
              <w:left w:val="nil"/>
              <w:bottom w:val="nil"/>
              <w:right w:val="nil"/>
            </w:tcBorders>
            <w:tcMar>
              <w:top w:w="0" w:type="dxa"/>
              <w:left w:w="62" w:type="dxa"/>
              <w:bottom w:w="0" w:type="dxa"/>
              <w:right w:w="62" w:type="dxa"/>
            </w:tcMar>
          </w:tcPr>
          <w:p w:rsidR="00000000" w:rsidP="00143B3B">
            <w:pPr>
              <w:pStyle w:val="BodyText"/>
              <w:rPr>
                <w:lang w:val="en-NZ"/>
              </w:rPr>
            </w:pPr>
            <w:r w:rsidRPr="00143B3B">
              <w:rPr>
                <w:rStyle w:val="SpecialBold"/>
              </w:rPr>
              <w:t xml:space="preserve">Recognise types of anchor handling and towing equipment, vessels and towed </w:t>
            </w:r>
            <w:r w:rsidRPr="00143B3B">
              <w:rPr>
                <w:rStyle w:val="SpecialBold"/>
              </w:rPr>
              <w:t>objects</w:t>
            </w:r>
          </w:p>
        </w:tc>
        <w:tc>
          <w:tcPr>
            <w:tcW w:w="719" w:type="dxa"/>
            <w:tcBorders>
              <w:top w:val="nil"/>
              <w:left w:val="nil"/>
              <w:bottom w:val="nil"/>
              <w:right w:val="nil"/>
            </w:tcBorders>
            <w:tcMar>
              <w:top w:w="0" w:type="dxa"/>
              <w:left w:w="62" w:type="dxa"/>
              <w:bottom w:w="0" w:type="dxa"/>
              <w:right w:w="62" w:type="dxa"/>
            </w:tcMar>
          </w:tcPr>
          <w:p w:rsidR="00000000" w:rsidP="00143B3B">
            <w:pPr>
              <w:pStyle w:val="BodyText"/>
              <w:rPr>
                <w:lang w:val="en-NZ"/>
              </w:rPr>
            </w:pPr>
            <w:r w:rsidRPr="00143B3B">
              <w:t>1.1</w:t>
            </w:r>
          </w:p>
        </w:tc>
        <w:tc>
          <w:tcPr>
            <w:tcW w:w="6045" w:type="dxa"/>
            <w:tcBorders>
              <w:top w:val="nil"/>
              <w:left w:val="nil"/>
              <w:bottom w:val="nil"/>
              <w:right w:val="nil"/>
            </w:tcBorders>
            <w:tcMar>
              <w:top w:w="0" w:type="dxa"/>
              <w:left w:w="62" w:type="dxa"/>
              <w:bottom w:w="0" w:type="dxa"/>
              <w:right w:w="62" w:type="dxa"/>
            </w:tcMar>
          </w:tcPr>
          <w:p w:rsidR="00000000" w:rsidP="00143B3B">
            <w:pPr>
              <w:pStyle w:val="BodyText"/>
              <w:rPr>
                <w:lang w:val="en-NZ"/>
              </w:rPr>
            </w:pPr>
            <w:r w:rsidRPr="00143B3B">
              <w:t>Required safety precautions, including fatigue management  are identified</w:t>
            </w:r>
          </w:p>
        </w:tc>
      </w:tr>
      <w:tr w:rsidTr="002A421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3B3B">
            <w:pPr>
              <w:pStyle w:val="BodyText"/>
              <w:rPr>
                <w:lang w:val="en-NZ"/>
              </w:rPr>
            </w:pPr>
            <w:r w:rsidRPr="00143B3B">
              <w:t>1.2</w:t>
            </w:r>
          </w:p>
        </w:tc>
        <w:tc>
          <w:tcPr>
            <w:tcW w:w="6045" w:type="dxa"/>
            <w:tcBorders>
              <w:top w:val="nil"/>
              <w:left w:val="nil"/>
              <w:bottom w:val="nil"/>
              <w:right w:val="nil"/>
            </w:tcBorders>
            <w:tcMar>
              <w:top w:w="0" w:type="dxa"/>
              <w:left w:w="62" w:type="dxa"/>
              <w:bottom w:w="0" w:type="dxa"/>
              <w:right w:w="62" w:type="dxa"/>
            </w:tcMar>
          </w:tcPr>
          <w:p w:rsidR="00000000" w:rsidP="00143B3B">
            <w:pPr>
              <w:pStyle w:val="BodyText"/>
              <w:rPr>
                <w:lang w:val="en-NZ"/>
              </w:rPr>
            </w:pPr>
            <w:r w:rsidRPr="00143B3B">
              <w:t>Feature</w:t>
            </w:r>
            <w:r w:rsidRPr="00143B3B">
              <w:t>s of various AHTS are outlined</w:t>
            </w:r>
          </w:p>
        </w:tc>
      </w:tr>
      <w:tr w:rsidTr="002A421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3B3B">
            <w:pPr>
              <w:pStyle w:val="BodyText"/>
              <w:rPr>
                <w:lang w:val="en-NZ"/>
              </w:rPr>
            </w:pPr>
            <w:r w:rsidRPr="00143B3B">
              <w:t>1.3</w:t>
            </w:r>
          </w:p>
        </w:tc>
        <w:tc>
          <w:tcPr>
            <w:tcW w:w="6045" w:type="dxa"/>
            <w:tcBorders>
              <w:top w:val="nil"/>
              <w:left w:val="nil"/>
              <w:bottom w:val="nil"/>
              <w:right w:val="nil"/>
            </w:tcBorders>
            <w:tcMar>
              <w:top w:w="0" w:type="dxa"/>
              <w:left w:w="62" w:type="dxa"/>
              <w:bottom w:w="0" w:type="dxa"/>
              <w:right w:w="62" w:type="dxa"/>
            </w:tcMar>
          </w:tcPr>
          <w:p w:rsidR="00000000" w:rsidP="00143B3B">
            <w:pPr>
              <w:pStyle w:val="BodyText"/>
              <w:rPr>
                <w:lang w:val="en-NZ"/>
              </w:rPr>
            </w:pPr>
            <w:r w:rsidRPr="00143B3B">
              <w:t>Types of anchor handling and towing operations are identified</w:t>
            </w:r>
          </w:p>
        </w:tc>
      </w:tr>
      <w:tr w:rsidTr="002A421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3B3B">
            <w:pPr>
              <w:pStyle w:val="BodyText"/>
              <w:rPr>
                <w:lang w:val="en-NZ"/>
              </w:rPr>
            </w:pPr>
            <w:r w:rsidRPr="00143B3B">
              <w:t>1.4</w:t>
            </w:r>
          </w:p>
        </w:tc>
        <w:tc>
          <w:tcPr>
            <w:tcW w:w="6045" w:type="dxa"/>
            <w:tcBorders>
              <w:top w:val="nil"/>
              <w:left w:val="nil"/>
              <w:bottom w:val="nil"/>
              <w:right w:val="nil"/>
            </w:tcBorders>
            <w:tcMar>
              <w:top w:w="0" w:type="dxa"/>
              <w:left w:w="62" w:type="dxa"/>
              <w:bottom w:w="0" w:type="dxa"/>
              <w:right w:w="62" w:type="dxa"/>
            </w:tcMar>
          </w:tcPr>
          <w:p w:rsidR="00000000" w:rsidP="00143B3B">
            <w:pPr>
              <w:pStyle w:val="BodyText"/>
              <w:rPr>
                <w:lang w:val="en-NZ"/>
              </w:rPr>
            </w:pPr>
            <w:r w:rsidRPr="00143B3B">
              <w:t>Properties of towed objects are identified and their impact on safety, the environment and vessel operations is recognised</w:t>
            </w:r>
          </w:p>
        </w:tc>
      </w:tr>
      <w:tr w:rsidTr="002A421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3B3B">
            <w:pPr>
              <w:pStyle w:val="BodyText"/>
              <w:rPr>
                <w:lang w:val="en-NZ"/>
              </w:rPr>
            </w:pPr>
            <w:r w:rsidRPr="00143B3B">
              <w:t>1.5</w:t>
            </w:r>
          </w:p>
        </w:tc>
        <w:tc>
          <w:tcPr>
            <w:tcW w:w="6045" w:type="dxa"/>
            <w:tcBorders>
              <w:top w:val="nil"/>
              <w:left w:val="nil"/>
              <w:bottom w:val="nil"/>
              <w:right w:val="nil"/>
            </w:tcBorders>
            <w:tcMar>
              <w:top w:w="0" w:type="dxa"/>
              <w:left w:w="62" w:type="dxa"/>
              <w:bottom w:w="0" w:type="dxa"/>
              <w:right w:w="62" w:type="dxa"/>
            </w:tcMar>
          </w:tcPr>
          <w:p w:rsidR="00000000" w:rsidP="00143B3B">
            <w:pPr>
              <w:pStyle w:val="BodyText"/>
              <w:rPr>
                <w:lang w:val="en-NZ"/>
              </w:rPr>
            </w:pPr>
            <w:r w:rsidRPr="00143B3B">
              <w:t>Properties of anchor handling and towing equipment and tools are identified and their impact on safety and vessel operations is recognised</w:t>
            </w:r>
          </w:p>
        </w:tc>
      </w:tr>
      <w:tr w:rsidTr="002A421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3B3B">
            <w:pPr>
              <w:pStyle w:val="BodyText"/>
              <w:rPr>
                <w:lang w:val="en-NZ"/>
              </w:rPr>
            </w:pPr>
            <w:r w:rsidRPr="00143B3B">
              <w:t>1.6</w:t>
            </w:r>
          </w:p>
        </w:tc>
        <w:tc>
          <w:tcPr>
            <w:tcW w:w="6045" w:type="dxa"/>
            <w:tcBorders>
              <w:top w:val="nil"/>
              <w:left w:val="nil"/>
              <w:bottom w:val="nil"/>
              <w:right w:val="nil"/>
            </w:tcBorders>
            <w:tcMar>
              <w:top w:w="0" w:type="dxa"/>
              <w:left w:w="62" w:type="dxa"/>
              <w:bottom w:w="0" w:type="dxa"/>
              <w:right w:w="62" w:type="dxa"/>
            </w:tcMar>
          </w:tcPr>
          <w:p w:rsidR="00000000" w:rsidP="00143B3B">
            <w:pPr>
              <w:pStyle w:val="BodyText"/>
              <w:rPr>
                <w:lang w:val="en-NZ"/>
              </w:rPr>
            </w:pPr>
            <w:r w:rsidRPr="00143B3B">
              <w:t>Hazards associated with anchor handling and towing are identified</w:t>
            </w:r>
          </w:p>
        </w:tc>
      </w:tr>
      <w:tr w:rsidTr="002A421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3B3B">
            <w:pPr>
              <w:pStyle w:val="BodyText"/>
              <w:rPr>
                <w:lang w:val="en-NZ"/>
              </w:rPr>
            </w:pPr>
            <w:r w:rsidRPr="00143B3B">
              <w:t>1.7</w:t>
            </w:r>
          </w:p>
        </w:tc>
        <w:tc>
          <w:tcPr>
            <w:tcW w:w="6045" w:type="dxa"/>
            <w:tcBorders>
              <w:top w:val="nil"/>
              <w:left w:val="nil"/>
              <w:bottom w:val="nil"/>
              <w:right w:val="nil"/>
            </w:tcBorders>
            <w:tcMar>
              <w:top w:w="0" w:type="dxa"/>
              <w:left w:w="62" w:type="dxa"/>
              <w:bottom w:w="0" w:type="dxa"/>
              <w:right w:w="62" w:type="dxa"/>
            </w:tcMar>
          </w:tcPr>
          <w:p w:rsidR="00000000" w:rsidP="00143B3B">
            <w:pPr>
              <w:pStyle w:val="BodyText"/>
              <w:rPr>
                <w:lang w:val="en-NZ"/>
              </w:rPr>
            </w:pPr>
            <w:r w:rsidRPr="00143B3B">
              <w:t>Hazard controls associated with anchor handling and towing are employed according to organisational procedures</w:t>
            </w:r>
          </w:p>
        </w:tc>
      </w:tr>
      <w:tr w:rsidTr="002A4215">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43B3B" w:rsidP="00143B3B">
            <w:pPr>
              <w:pStyle w:val="BodyText"/>
            </w:pPr>
            <w:r w:rsidRPr="00143B3B">
              <w:rPr>
                <w:rStyle w:val="SpecialBold"/>
              </w:rPr>
              <w:t>2</w:t>
            </w:r>
          </w:p>
        </w:tc>
        <w:tc>
          <w:tcPr>
            <w:tcW w:w="2302" w:type="dxa"/>
            <w:vMerge w:val="restart"/>
            <w:tcBorders>
              <w:top w:val="nil"/>
              <w:left w:val="nil"/>
              <w:bottom w:val="nil"/>
              <w:right w:val="nil"/>
            </w:tcBorders>
            <w:tcMar>
              <w:top w:w="0" w:type="dxa"/>
              <w:left w:w="62" w:type="dxa"/>
              <w:bottom w:w="0" w:type="dxa"/>
              <w:right w:w="62" w:type="dxa"/>
            </w:tcMar>
          </w:tcPr>
          <w:p w:rsidR="00000000" w:rsidP="00143B3B">
            <w:pPr>
              <w:pStyle w:val="BodyText"/>
              <w:rPr>
                <w:lang w:val="en-NZ"/>
              </w:rPr>
            </w:pPr>
            <w:r w:rsidRPr="00143B3B">
              <w:rPr>
                <w:rStyle w:val="SpecialBold"/>
              </w:rPr>
              <w:t>Prepare anchor handling and towing deck equipment, tools and machinery for use</w:t>
            </w:r>
          </w:p>
        </w:tc>
        <w:tc>
          <w:tcPr>
            <w:tcW w:w="719" w:type="dxa"/>
            <w:tcBorders>
              <w:top w:val="nil"/>
              <w:left w:val="nil"/>
              <w:bottom w:val="nil"/>
              <w:right w:val="nil"/>
            </w:tcBorders>
            <w:tcMar>
              <w:top w:w="0" w:type="dxa"/>
              <w:left w:w="62" w:type="dxa"/>
              <w:bottom w:w="0" w:type="dxa"/>
              <w:right w:w="62" w:type="dxa"/>
            </w:tcMar>
          </w:tcPr>
          <w:p w:rsidR="00000000" w:rsidP="00143B3B">
            <w:pPr>
              <w:pStyle w:val="BodyText"/>
              <w:rPr>
                <w:lang w:val="en-NZ"/>
              </w:rPr>
            </w:pPr>
            <w:r w:rsidRPr="00143B3B">
              <w:t>2.1</w:t>
            </w:r>
          </w:p>
        </w:tc>
        <w:tc>
          <w:tcPr>
            <w:tcW w:w="6045" w:type="dxa"/>
            <w:tcBorders>
              <w:top w:val="nil"/>
              <w:left w:val="nil"/>
              <w:bottom w:val="nil"/>
              <w:right w:val="nil"/>
            </w:tcBorders>
            <w:tcMar>
              <w:top w:w="0" w:type="dxa"/>
              <w:left w:w="62" w:type="dxa"/>
              <w:bottom w:w="0" w:type="dxa"/>
              <w:right w:w="62" w:type="dxa"/>
            </w:tcMar>
          </w:tcPr>
          <w:p w:rsidR="00000000" w:rsidP="00143B3B">
            <w:pPr>
              <w:pStyle w:val="BodyText"/>
              <w:rPr>
                <w:lang w:val="en-NZ"/>
              </w:rPr>
            </w:pPr>
            <w:r w:rsidRPr="00143B3B">
              <w:t xml:space="preserve">Appropriate personal protective equipment and machinery is </w:t>
            </w:r>
            <w:r w:rsidRPr="00143B3B">
              <w:t>selected, used and stored according to work health and safety/occupational health and safety (WHS/OHS) requirements</w:t>
            </w:r>
          </w:p>
        </w:tc>
      </w:tr>
      <w:tr w:rsidTr="002A421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3B3B">
            <w:pPr>
              <w:pStyle w:val="BodyText"/>
              <w:rPr>
                <w:lang w:val="en-NZ"/>
              </w:rPr>
            </w:pPr>
            <w:r w:rsidRPr="00143B3B">
              <w:t>2.2</w:t>
            </w:r>
          </w:p>
        </w:tc>
        <w:tc>
          <w:tcPr>
            <w:tcW w:w="6045" w:type="dxa"/>
            <w:tcBorders>
              <w:top w:val="nil"/>
              <w:left w:val="nil"/>
              <w:bottom w:val="nil"/>
              <w:right w:val="nil"/>
            </w:tcBorders>
            <w:tcMar>
              <w:top w:w="0" w:type="dxa"/>
              <w:left w:w="62" w:type="dxa"/>
              <w:bottom w:w="0" w:type="dxa"/>
              <w:right w:w="62" w:type="dxa"/>
            </w:tcMar>
          </w:tcPr>
          <w:p w:rsidR="00000000" w:rsidP="00143B3B">
            <w:pPr>
              <w:pStyle w:val="BodyText"/>
              <w:rPr>
                <w:lang w:val="en-NZ"/>
              </w:rPr>
            </w:pPr>
            <w:r w:rsidRPr="00143B3B">
              <w:t>Routine pre-operational checks are carried out on anchor handling and towing deck equipment, tools and machinery according to manufac</w:t>
            </w:r>
            <w:r w:rsidRPr="00143B3B">
              <w:t>turer specifications, regulatory and organisational requirements</w:t>
            </w:r>
          </w:p>
        </w:tc>
      </w:tr>
      <w:tr w:rsidTr="002A421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3B3B">
            <w:pPr>
              <w:pStyle w:val="BodyText"/>
              <w:rPr>
                <w:lang w:val="en-NZ"/>
              </w:rPr>
            </w:pPr>
            <w:r w:rsidRPr="00143B3B">
              <w:t>2.3</w:t>
            </w:r>
          </w:p>
        </w:tc>
        <w:tc>
          <w:tcPr>
            <w:tcW w:w="6045" w:type="dxa"/>
            <w:tcBorders>
              <w:top w:val="nil"/>
              <w:left w:val="nil"/>
              <w:bottom w:val="nil"/>
              <w:right w:val="nil"/>
            </w:tcBorders>
            <w:tcMar>
              <w:top w:w="0" w:type="dxa"/>
              <w:left w:w="62" w:type="dxa"/>
              <w:bottom w:w="0" w:type="dxa"/>
              <w:right w:w="62" w:type="dxa"/>
            </w:tcMar>
          </w:tcPr>
          <w:p w:rsidR="00000000" w:rsidP="00143B3B">
            <w:pPr>
              <w:pStyle w:val="BodyText"/>
              <w:rPr>
                <w:lang w:val="en-NZ"/>
              </w:rPr>
            </w:pPr>
            <w:r w:rsidRPr="00143B3B">
              <w:t>Deviations from the norm are promptly identified and rectified</w:t>
            </w:r>
          </w:p>
        </w:tc>
      </w:tr>
      <w:tr w:rsidTr="002A421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3B3B">
            <w:pPr>
              <w:pStyle w:val="BodyText"/>
              <w:rPr>
                <w:lang w:val="en-NZ"/>
              </w:rPr>
            </w:pPr>
            <w:r w:rsidRPr="00143B3B">
              <w:t>2.4</w:t>
            </w:r>
          </w:p>
        </w:tc>
        <w:tc>
          <w:tcPr>
            <w:tcW w:w="6045" w:type="dxa"/>
            <w:tcBorders>
              <w:top w:val="nil"/>
              <w:left w:val="nil"/>
              <w:bottom w:val="nil"/>
              <w:right w:val="nil"/>
            </w:tcBorders>
            <w:tcMar>
              <w:top w:w="0" w:type="dxa"/>
              <w:left w:w="62" w:type="dxa"/>
              <w:bottom w:w="0" w:type="dxa"/>
              <w:right w:w="62" w:type="dxa"/>
            </w:tcMar>
          </w:tcPr>
          <w:p w:rsidR="00000000" w:rsidP="00143B3B">
            <w:pPr>
              <w:pStyle w:val="BodyText"/>
              <w:rPr>
                <w:lang w:val="en-NZ"/>
              </w:rPr>
            </w:pPr>
            <w:r w:rsidRPr="00143B3B">
              <w:t>Adjustments are made to achieve a safe and efficient operation</w:t>
            </w:r>
          </w:p>
        </w:tc>
      </w:tr>
      <w:tr w:rsidTr="002A421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3B3B">
            <w:pPr>
              <w:pStyle w:val="BodyText"/>
              <w:rPr>
                <w:lang w:val="en-NZ"/>
              </w:rPr>
            </w:pPr>
            <w:r w:rsidRPr="00143B3B">
              <w:t>2.5</w:t>
            </w:r>
          </w:p>
        </w:tc>
        <w:tc>
          <w:tcPr>
            <w:tcW w:w="6045" w:type="dxa"/>
            <w:tcBorders>
              <w:top w:val="nil"/>
              <w:left w:val="nil"/>
              <w:bottom w:val="nil"/>
              <w:right w:val="nil"/>
            </w:tcBorders>
            <w:tcMar>
              <w:top w:w="0" w:type="dxa"/>
              <w:left w:w="62" w:type="dxa"/>
              <w:bottom w:w="0" w:type="dxa"/>
              <w:right w:w="62" w:type="dxa"/>
            </w:tcMar>
          </w:tcPr>
          <w:p w:rsidR="00000000" w:rsidP="00143B3B">
            <w:pPr>
              <w:pStyle w:val="BodyText"/>
              <w:rPr>
                <w:lang w:val="en-NZ"/>
              </w:rPr>
            </w:pPr>
            <w:r w:rsidRPr="00143B3B">
              <w:t>Inability to start machinery is reported promptly and accurately to appropriate personnel</w:t>
            </w:r>
          </w:p>
        </w:tc>
      </w:tr>
      <w:tr w:rsidTr="002A4215">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43B3B" w:rsidP="00143B3B">
            <w:pPr>
              <w:pStyle w:val="BodyText"/>
            </w:pPr>
            <w:r w:rsidRPr="00143B3B">
              <w:rPr>
                <w:rStyle w:val="SpecialBold"/>
              </w:rPr>
              <w:t>3</w:t>
            </w:r>
          </w:p>
        </w:tc>
        <w:tc>
          <w:tcPr>
            <w:tcW w:w="2302" w:type="dxa"/>
            <w:vMerge w:val="restart"/>
            <w:tcBorders>
              <w:top w:val="nil"/>
              <w:left w:val="nil"/>
              <w:bottom w:val="nil"/>
              <w:right w:val="nil"/>
            </w:tcBorders>
            <w:tcMar>
              <w:top w:w="0" w:type="dxa"/>
              <w:left w:w="62" w:type="dxa"/>
              <w:bottom w:w="0" w:type="dxa"/>
              <w:right w:w="62" w:type="dxa"/>
            </w:tcMar>
          </w:tcPr>
          <w:p w:rsidR="00000000" w:rsidP="00143B3B">
            <w:pPr>
              <w:pStyle w:val="BodyText"/>
              <w:rPr>
                <w:lang w:val="en-NZ"/>
              </w:rPr>
            </w:pPr>
            <w:r w:rsidRPr="00143B3B">
              <w:rPr>
                <w:rStyle w:val="SpecialBold"/>
              </w:rPr>
              <w:t>Operate anchor handling and towing deck tools and equipment</w:t>
            </w:r>
          </w:p>
        </w:tc>
        <w:tc>
          <w:tcPr>
            <w:tcW w:w="719" w:type="dxa"/>
            <w:tcBorders>
              <w:top w:val="nil"/>
              <w:left w:val="nil"/>
              <w:bottom w:val="nil"/>
              <w:right w:val="nil"/>
            </w:tcBorders>
            <w:tcMar>
              <w:top w:w="0" w:type="dxa"/>
              <w:left w:w="62" w:type="dxa"/>
              <w:bottom w:w="0" w:type="dxa"/>
              <w:right w:w="62" w:type="dxa"/>
            </w:tcMar>
          </w:tcPr>
          <w:p w:rsidR="00000000" w:rsidP="00143B3B">
            <w:pPr>
              <w:pStyle w:val="BodyText"/>
              <w:rPr>
                <w:lang w:val="en-NZ"/>
              </w:rPr>
            </w:pPr>
            <w:r w:rsidRPr="00143B3B">
              <w:t>3.1</w:t>
            </w:r>
          </w:p>
        </w:tc>
        <w:tc>
          <w:tcPr>
            <w:tcW w:w="6045" w:type="dxa"/>
            <w:tcBorders>
              <w:top w:val="nil"/>
              <w:left w:val="nil"/>
              <w:bottom w:val="nil"/>
              <w:right w:val="nil"/>
            </w:tcBorders>
            <w:tcMar>
              <w:top w:w="0" w:type="dxa"/>
              <w:left w:w="62" w:type="dxa"/>
              <w:bottom w:w="0" w:type="dxa"/>
              <w:right w:w="62" w:type="dxa"/>
            </w:tcMar>
          </w:tcPr>
          <w:p w:rsidR="00000000" w:rsidP="00143B3B">
            <w:pPr>
              <w:pStyle w:val="BodyText"/>
              <w:rPr>
                <w:lang w:val="en-NZ"/>
              </w:rPr>
            </w:pPr>
            <w:r w:rsidRPr="00143B3B">
              <w:t>Deck equipment, tools and machinery is operated in a safe and controlled manner within defined oper</w:t>
            </w:r>
            <w:r w:rsidRPr="00143B3B">
              <w:t>ating limits when running, to achieve optimum safety and efficiency</w:t>
            </w:r>
          </w:p>
        </w:tc>
      </w:tr>
      <w:tr w:rsidTr="002A421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3B3B">
            <w:pPr>
              <w:pStyle w:val="BodyText"/>
              <w:rPr>
                <w:lang w:val="en-NZ"/>
              </w:rPr>
            </w:pPr>
            <w:r w:rsidRPr="00143B3B">
              <w:t>3.2</w:t>
            </w:r>
          </w:p>
        </w:tc>
        <w:tc>
          <w:tcPr>
            <w:tcW w:w="6045" w:type="dxa"/>
            <w:tcBorders>
              <w:top w:val="nil"/>
              <w:left w:val="nil"/>
              <w:bottom w:val="nil"/>
              <w:right w:val="nil"/>
            </w:tcBorders>
            <w:tcMar>
              <w:top w:w="0" w:type="dxa"/>
              <w:left w:w="62" w:type="dxa"/>
              <w:bottom w:w="0" w:type="dxa"/>
              <w:right w:w="62" w:type="dxa"/>
            </w:tcMar>
          </w:tcPr>
          <w:p w:rsidR="00000000" w:rsidP="00143B3B">
            <w:pPr>
              <w:pStyle w:val="BodyText"/>
              <w:rPr>
                <w:lang w:val="en-NZ"/>
              </w:rPr>
            </w:pPr>
            <w:r w:rsidRPr="00143B3B">
              <w:t xml:space="preserve">Deviations from normal operations are promptly identified </w:t>
            </w:r>
          </w:p>
        </w:tc>
      </w:tr>
      <w:tr w:rsidTr="002A421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3B3B">
            <w:pPr>
              <w:pStyle w:val="BodyText"/>
              <w:rPr>
                <w:lang w:val="en-NZ"/>
              </w:rPr>
            </w:pPr>
            <w:r w:rsidRPr="00143B3B">
              <w:t>3.3</w:t>
            </w:r>
          </w:p>
        </w:tc>
        <w:tc>
          <w:tcPr>
            <w:tcW w:w="6045" w:type="dxa"/>
            <w:tcBorders>
              <w:top w:val="nil"/>
              <w:left w:val="nil"/>
              <w:bottom w:val="nil"/>
              <w:right w:val="nil"/>
            </w:tcBorders>
            <w:tcMar>
              <w:top w:w="0" w:type="dxa"/>
              <w:left w:w="62" w:type="dxa"/>
              <w:bottom w:w="0" w:type="dxa"/>
              <w:right w:w="62" w:type="dxa"/>
            </w:tcMar>
          </w:tcPr>
          <w:p w:rsidR="00000000" w:rsidP="00143B3B">
            <w:pPr>
              <w:pStyle w:val="BodyText"/>
              <w:rPr>
                <w:lang w:val="en-NZ"/>
              </w:rPr>
            </w:pPr>
            <w:r w:rsidRPr="00143B3B">
              <w:t>Action is taken to rectify basic operational faults to maintain optimum safety and efficiency</w:t>
            </w:r>
          </w:p>
        </w:tc>
      </w:tr>
      <w:tr w:rsidTr="002A421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3B3B">
            <w:pPr>
              <w:pStyle w:val="BodyText"/>
              <w:rPr>
                <w:lang w:val="en-NZ"/>
              </w:rPr>
            </w:pPr>
            <w:r w:rsidRPr="00143B3B">
              <w:t>3.4</w:t>
            </w:r>
          </w:p>
        </w:tc>
        <w:tc>
          <w:tcPr>
            <w:tcW w:w="6045" w:type="dxa"/>
            <w:tcBorders>
              <w:top w:val="nil"/>
              <w:left w:val="nil"/>
              <w:bottom w:val="nil"/>
              <w:right w:val="nil"/>
            </w:tcBorders>
            <w:tcMar>
              <w:top w:w="0" w:type="dxa"/>
              <w:left w:w="62" w:type="dxa"/>
              <w:bottom w:w="0" w:type="dxa"/>
              <w:right w:w="62" w:type="dxa"/>
            </w:tcMar>
          </w:tcPr>
          <w:p w:rsidR="00000000" w:rsidP="00143B3B">
            <w:pPr>
              <w:pStyle w:val="BodyText"/>
              <w:rPr>
                <w:lang w:val="en-NZ"/>
              </w:rPr>
            </w:pPr>
            <w:r w:rsidRPr="00143B3B">
              <w:t>Appropriate action is taken in a malfunction or emergency</w:t>
            </w:r>
          </w:p>
        </w:tc>
      </w:tr>
      <w:tr w:rsidTr="002A4215">
        <w:tblPrEx>
          <w:tblW w:w="9498"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43B3B" w:rsidP="00143B3B">
            <w:pPr>
              <w:pStyle w:val="BodyText"/>
            </w:pPr>
            <w:r w:rsidRPr="00143B3B">
              <w:rPr>
                <w:rStyle w:val="SpecialBold"/>
              </w:rPr>
              <w:t>4</w:t>
            </w:r>
          </w:p>
        </w:tc>
        <w:tc>
          <w:tcPr>
            <w:tcW w:w="2302" w:type="dxa"/>
            <w:vMerge w:val="restart"/>
            <w:tcBorders>
              <w:top w:val="nil"/>
              <w:left w:val="nil"/>
              <w:bottom w:val="nil"/>
              <w:right w:val="nil"/>
            </w:tcBorders>
            <w:tcMar>
              <w:top w:w="0" w:type="dxa"/>
              <w:left w:w="62" w:type="dxa"/>
              <w:bottom w:w="0" w:type="dxa"/>
              <w:right w:w="62" w:type="dxa"/>
            </w:tcMar>
          </w:tcPr>
          <w:p w:rsidR="00000000" w:rsidP="00143B3B">
            <w:pPr>
              <w:pStyle w:val="BodyText"/>
              <w:rPr>
                <w:lang w:val="en-NZ"/>
              </w:rPr>
            </w:pPr>
            <w:r w:rsidRPr="00143B3B">
              <w:rPr>
                <w:rStyle w:val="SpecialBold"/>
              </w:rPr>
              <w:t xml:space="preserve">Check and complete anchor handling and towing deck </w:t>
            </w:r>
            <w:r w:rsidRPr="00143B3B">
              <w:rPr>
                <w:rStyle w:val="SpecialBold"/>
              </w:rPr>
              <w:t>equipment , tools and machinery operations</w:t>
            </w:r>
          </w:p>
        </w:tc>
        <w:tc>
          <w:tcPr>
            <w:tcW w:w="719" w:type="dxa"/>
            <w:tcBorders>
              <w:top w:val="nil"/>
              <w:left w:val="nil"/>
              <w:bottom w:val="nil"/>
              <w:right w:val="nil"/>
            </w:tcBorders>
            <w:tcMar>
              <w:top w:w="0" w:type="dxa"/>
              <w:left w:w="62" w:type="dxa"/>
              <w:bottom w:w="0" w:type="dxa"/>
              <w:right w:w="62" w:type="dxa"/>
            </w:tcMar>
          </w:tcPr>
          <w:p w:rsidR="00000000" w:rsidP="00143B3B">
            <w:pPr>
              <w:pStyle w:val="BodyText"/>
              <w:rPr>
                <w:lang w:val="en-NZ"/>
              </w:rPr>
            </w:pPr>
            <w:r w:rsidRPr="00143B3B">
              <w:t>4.1</w:t>
            </w:r>
          </w:p>
        </w:tc>
        <w:tc>
          <w:tcPr>
            <w:tcW w:w="6045" w:type="dxa"/>
            <w:tcBorders>
              <w:top w:val="nil"/>
              <w:left w:val="nil"/>
              <w:bottom w:val="nil"/>
              <w:right w:val="nil"/>
            </w:tcBorders>
            <w:tcMar>
              <w:top w:w="0" w:type="dxa"/>
              <w:left w:w="62" w:type="dxa"/>
              <w:bottom w:w="0" w:type="dxa"/>
              <w:right w:w="62" w:type="dxa"/>
            </w:tcMar>
          </w:tcPr>
          <w:p w:rsidR="00000000" w:rsidP="00143B3B">
            <w:pPr>
              <w:pStyle w:val="BodyText"/>
              <w:rPr>
                <w:lang w:val="en-NZ"/>
              </w:rPr>
            </w:pPr>
            <w:r w:rsidRPr="00143B3B">
              <w:t>Equipment and machinery shut-down procedures are carried out according to manufacturer specifications and organisational procedures</w:t>
            </w:r>
          </w:p>
        </w:tc>
      </w:tr>
      <w:tr w:rsidTr="002A4215">
        <w:tblPrEx>
          <w:tblW w:w="9498"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0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143B3B">
            <w:pPr>
              <w:pStyle w:val="BodyText"/>
              <w:rPr>
                <w:lang w:val="en-NZ"/>
              </w:rPr>
            </w:pPr>
            <w:r w:rsidRPr="00143B3B">
              <w:t>4.2</w:t>
            </w:r>
          </w:p>
        </w:tc>
        <w:tc>
          <w:tcPr>
            <w:tcW w:w="6045" w:type="dxa"/>
            <w:tcBorders>
              <w:top w:val="nil"/>
              <w:left w:val="nil"/>
              <w:bottom w:val="nil"/>
              <w:right w:val="nil"/>
            </w:tcBorders>
            <w:tcMar>
              <w:top w:w="0" w:type="dxa"/>
              <w:left w:w="62" w:type="dxa"/>
              <w:bottom w:w="0" w:type="dxa"/>
              <w:right w:w="62" w:type="dxa"/>
            </w:tcMar>
          </w:tcPr>
          <w:p w:rsidR="00000000" w:rsidRPr="00143B3B" w:rsidP="00143B3B">
            <w:pPr>
              <w:pStyle w:val="BodyText"/>
            </w:pPr>
            <w:r w:rsidRPr="00143B3B">
              <w:t>Equipment and machinery damage, malfunctions or irregular performance is recorded and reported according to organisat</w:t>
            </w:r>
            <w:r w:rsidRPr="00143B3B">
              <w:t xml:space="preserve">ional procedures </w:t>
            </w:r>
          </w:p>
        </w:tc>
      </w:tr>
    </w:tbl>
    <w:p w:rsidR="00000000" w:rsidRPr="00143B3B" w:rsidP="00143B3B">
      <w:pPr>
        <w:pStyle w:val="BodyText"/>
      </w:pPr>
    </w:p>
    <w:p w:rsidR="00000000" w:rsidRPr="00143B3B" w:rsidP="00143B3B">
      <w:pPr>
        <w:pStyle w:val="AllowPageBreak"/>
      </w:pPr>
    </w:p>
    <w:p w:rsidR="00000000" w:rsidRPr="00143B3B" w:rsidP="00143B3B">
      <w:pPr>
        <w:pStyle w:val="Heading1"/>
      </w:pPr>
      <w:bookmarkStart w:id="7" w:name="O_661233"/>
      <w:bookmarkEnd w:id="7"/>
      <w:r w:rsidRPr="00143B3B">
        <w:t>Foundation Skills</w:t>
      </w:r>
    </w:p>
    <w:tbl>
      <w:tblPr>
        <w:tblW w:w="9356" w:type="dxa"/>
        <w:tblLayout w:type="fixed"/>
        <w:tblCellMar>
          <w:left w:w="62" w:type="dxa"/>
          <w:right w:w="62" w:type="dxa"/>
        </w:tblCellMar>
        <w:tblLook w:val="0000"/>
      </w:tblPr>
      <w:tblGrid>
        <w:gridCol w:w="9356"/>
      </w:tblGrid>
      <w:tr w:rsidTr="00143B3B">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143B3B" w:rsidP="00143B3B">
            <w:pPr>
              <w:pStyle w:val="BodyText"/>
            </w:pPr>
            <w:r w:rsidRPr="00143B3B">
              <w:t>Foundation skills essential to performance are explicit in the performance criteria of this unit of competency.</w:t>
            </w:r>
          </w:p>
        </w:tc>
      </w:tr>
    </w:tbl>
    <w:p w:rsidR="00000000" w:rsidRPr="00143B3B" w:rsidP="00143B3B">
      <w:pPr>
        <w:pStyle w:val="BodyText"/>
      </w:pPr>
    </w:p>
    <w:p w:rsidR="00000000" w:rsidRPr="00143B3B" w:rsidP="00143B3B">
      <w:pPr>
        <w:pStyle w:val="AllowPageBreak"/>
      </w:pPr>
    </w:p>
    <w:p w:rsidR="00000000" w:rsidRPr="00143B3B" w:rsidP="00143B3B">
      <w:pPr>
        <w:pStyle w:val="Heading1"/>
      </w:pPr>
      <w:bookmarkStart w:id="8" w:name="O_661234"/>
      <w:bookmarkEnd w:id="8"/>
      <w:r w:rsidRPr="00143B3B">
        <w:t>Range of Conditions</w:t>
      </w:r>
    </w:p>
    <w:tbl>
      <w:tblPr>
        <w:tblW w:w="9498" w:type="dxa"/>
        <w:tblLayout w:type="fixed"/>
        <w:tblCellMar>
          <w:left w:w="62" w:type="dxa"/>
          <w:right w:w="62" w:type="dxa"/>
        </w:tblCellMar>
        <w:tblLook w:val="0000"/>
      </w:tblPr>
      <w:tblGrid>
        <w:gridCol w:w="2735"/>
        <w:gridCol w:w="6763"/>
      </w:tblGrid>
      <w:tr w:rsidTr="00143B3B">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143B3B">
            <w:pPr>
              <w:pStyle w:val="BodyText"/>
              <w:rPr>
                <w:lang w:val="en-NZ"/>
              </w:rPr>
            </w:pPr>
            <w:r w:rsidRPr="00143B3B">
              <w:t>Range is restricted to essential operating conditions and any other variables essential to the work environment.</w:t>
            </w:r>
          </w:p>
        </w:tc>
      </w:tr>
      <w:tr w:rsidTr="00143B3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43B3B">
            <w:pPr>
              <w:pStyle w:val="BodyText"/>
              <w:rPr>
                <w:lang w:val="en-NZ"/>
              </w:rPr>
            </w:pPr>
            <w:r w:rsidRPr="00143B3B">
              <w:t xml:space="preserve">Pre-operational checks must include: </w:t>
            </w:r>
          </w:p>
        </w:tc>
        <w:tc>
          <w:tcPr>
            <w:tcW w:w="6763" w:type="dxa"/>
            <w:tcBorders>
              <w:top w:val="nil"/>
              <w:left w:val="nil"/>
              <w:bottom w:val="nil"/>
              <w:right w:val="nil"/>
            </w:tcBorders>
            <w:tcMar>
              <w:top w:w="0" w:type="dxa"/>
              <w:left w:w="62" w:type="dxa"/>
              <w:bottom w:w="0" w:type="dxa"/>
              <w:right w:w="62" w:type="dxa"/>
            </w:tcMar>
          </w:tcPr>
          <w:p w:rsidR="00000000" w:rsidRPr="00143B3B" w:rsidP="00143B3B">
            <w:pPr>
              <w:pStyle w:val="ListBullet"/>
            </w:pPr>
            <w:r w:rsidRPr="00143B3B">
              <w:t>deck equipment</w:t>
            </w:r>
          </w:p>
          <w:p w:rsidR="00000000" w:rsidRPr="00143B3B" w:rsidP="00143B3B">
            <w:pPr>
              <w:pStyle w:val="ListBullet"/>
            </w:pPr>
            <w:r w:rsidRPr="00143B3B">
              <w:t>equipment operational readiness</w:t>
            </w:r>
          </w:p>
          <w:p w:rsidR="00000000" w:rsidRPr="00143B3B" w:rsidP="00143B3B">
            <w:pPr>
              <w:pStyle w:val="ListBullet"/>
            </w:pPr>
            <w:r w:rsidRPr="00143B3B">
              <w:t>inspecting safety guards</w:t>
            </w:r>
          </w:p>
          <w:p w:rsidR="00000000" w:rsidRPr="00143B3B" w:rsidP="00143B3B">
            <w:pPr>
              <w:pStyle w:val="ListBullet"/>
            </w:pPr>
            <w:r w:rsidRPr="00143B3B">
              <w:t>pre-start</w:t>
            </w:r>
            <w:r w:rsidRPr="00143B3B">
              <w:t xml:space="preserve"> and safety checks including:</w:t>
            </w:r>
          </w:p>
          <w:p w:rsidR="00000000" w:rsidRPr="00143B3B" w:rsidP="00143B3B">
            <w:pPr>
              <w:pStyle w:val="ListBullet2"/>
            </w:pPr>
            <w:r w:rsidRPr="00143B3B">
              <w:t>oils, greases and lubricants</w:t>
            </w:r>
          </w:p>
          <w:p w:rsidR="00000000" w:rsidP="00143B3B">
            <w:pPr>
              <w:pStyle w:val="ListBullet2"/>
              <w:rPr>
                <w:lang w:val="en-NZ"/>
              </w:rPr>
            </w:pPr>
            <w:r w:rsidRPr="00143B3B">
              <w:t>emergency stops</w:t>
            </w:r>
          </w:p>
        </w:tc>
      </w:tr>
      <w:tr w:rsidTr="00143B3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43B3B">
            <w:pPr>
              <w:pStyle w:val="BodyText"/>
              <w:rPr>
                <w:lang w:val="en-NZ"/>
              </w:rPr>
            </w:pPr>
            <w:r w:rsidRPr="00143B3B">
              <w:t xml:space="preserve">Anchor handling and towing equipment, tools and deck machinery must include: </w:t>
            </w:r>
          </w:p>
        </w:tc>
        <w:tc>
          <w:tcPr>
            <w:tcW w:w="6763" w:type="dxa"/>
            <w:tcBorders>
              <w:top w:val="nil"/>
              <w:left w:val="nil"/>
              <w:bottom w:val="nil"/>
              <w:right w:val="nil"/>
            </w:tcBorders>
            <w:tcMar>
              <w:top w:w="0" w:type="dxa"/>
              <w:left w:w="62" w:type="dxa"/>
              <w:bottom w:w="0" w:type="dxa"/>
              <w:right w:w="62" w:type="dxa"/>
            </w:tcMar>
          </w:tcPr>
          <w:p w:rsidR="00000000" w:rsidRPr="00143B3B" w:rsidP="00143B3B">
            <w:pPr>
              <w:pStyle w:val="ListBullet"/>
            </w:pPr>
            <w:r w:rsidRPr="00143B3B">
              <w:t>anchors</w:t>
            </w:r>
          </w:p>
          <w:p w:rsidR="00000000" w:rsidRPr="00143B3B" w:rsidP="00143B3B">
            <w:pPr>
              <w:pStyle w:val="ListBullet"/>
            </w:pPr>
            <w:r w:rsidRPr="00143B3B">
              <w:t>buoys (surface and subsea)</w:t>
            </w:r>
          </w:p>
          <w:p w:rsidR="00000000" w:rsidRPr="00143B3B" w:rsidP="00143B3B">
            <w:pPr>
              <w:pStyle w:val="ListBullet"/>
            </w:pPr>
            <w:r w:rsidRPr="00143B3B">
              <w:t>capstans</w:t>
            </w:r>
          </w:p>
          <w:p w:rsidR="00000000" w:rsidRPr="00143B3B" w:rsidP="00143B3B">
            <w:pPr>
              <w:pStyle w:val="ListBullet"/>
            </w:pPr>
            <w:r w:rsidRPr="00143B3B">
              <w:t>capstan winches and wires</w:t>
            </w:r>
          </w:p>
          <w:p w:rsidR="00000000" w:rsidRPr="00143B3B" w:rsidP="00143B3B">
            <w:pPr>
              <w:pStyle w:val="ListBullet"/>
            </w:pPr>
            <w:r w:rsidRPr="00143B3B">
              <w:t>chains</w:t>
            </w:r>
          </w:p>
          <w:p w:rsidR="00000000" w:rsidRPr="00143B3B" w:rsidP="00143B3B">
            <w:pPr>
              <w:pStyle w:val="ListBullet"/>
            </w:pPr>
            <w:r w:rsidRPr="00143B3B">
              <w:t>connecting links (kenter, baldt, hinge, pear)</w:t>
            </w:r>
          </w:p>
          <w:p w:rsidR="00000000" w:rsidRPr="00143B3B" w:rsidP="00143B3B">
            <w:pPr>
              <w:pStyle w:val="ListBullet"/>
            </w:pPr>
            <w:r w:rsidRPr="00143B3B">
              <w:t>fibre rope</w:t>
            </w:r>
          </w:p>
          <w:p w:rsidR="00000000" w:rsidRPr="00143B3B" w:rsidP="00143B3B">
            <w:pPr>
              <w:pStyle w:val="ListBullet"/>
            </w:pPr>
            <w:r w:rsidRPr="00143B3B">
              <w:t>gob arrangements</w:t>
            </w:r>
          </w:p>
          <w:p w:rsidR="00000000" w:rsidRPr="00143B3B" w:rsidP="00143B3B">
            <w:pPr>
              <w:pStyle w:val="ListBullet"/>
            </w:pPr>
            <w:r w:rsidRPr="00143B3B">
              <w:t>grapnels</w:t>
            </w:r>
          </w:p>
          <w:p w:rsidR="00000000" w:rsidRPr="00143B3B" w:rsidP="00143B3B">
            <w:pPr>
              <w:pStyle w:val="ListBullet"/>
            </w:pPr>
            <w:r w:rsidRPr="00143B3B">
              <w:t>J hooks</w:t>
            </w:r>
          </w:p>
          <w:p w:rsidR="00000000" w:rsidRPr="00143B3B" w:rsidP="00143B3B">
            <w:pPr>
              <w:pStyle w:val="ListBullet"/>
            </w:pPr>
            <w:r w:rsidRPr="00143B3B">
              <w:t>oil rig cranes</w:t>
            </w:r>
          </w:p>
          <w:p w:rsidR="00000000" w:rsidRPr="00143B3B" w:rsidP="00143B3B">
            <w:pPr>
              <w:pStyle w:val="ListBullet"/>
            </w:pPr>
            <w:r w:rsidRPr="00143B3B">
              <w:t>shackles</w:t>
            </w:r>
          </w:p>
          <w:p w:rsidR="00000000" w:rsidRPr="00143B3B" w:rsidP="00143B3B">
            <w:pPr>
              <w:pStyle w:val="ListBullet"/>
            </w:pPr>
            <w:r w:rsidRPr="00143B3B">
              <w:t>swivels</w:t>
            </w:r>
          </w:p>
          <w:p w:rsidR="00000000" w:rsidRPr="00143B3B" w:rsidP="00143B3B">
            <w:pPr>
              <w:pStyle w:val="ListBullet"/>
            </w:pPr>
            <w:r w:rsidRPr="00143B3B">
              <w:t>towed rigs</w:t>
            </w:r>
          </w:p>
          <w:p w:rsidR="00000000" w:rsidRPr="00143B3B" w:rsidP="00143B3B">
            <w:pPr>
              <w:pStyle w:val="ListBullet"/>
            </w:pPr>
            <w:r w:rsidRPr="00143B3B">
              <w:t>towed barges</w:t>
            </w:r>
          </w:p>
          <w:p w:rsidR="00000000" w:rsidRPr="00143B3B" w:rsidP="00143B3B">
            <w:pPr>
              <w:pStyle w:val="ListBullet"/>
            </w:pPr>
            <w:r w:rsidRPr="00143B3B">
              <w:t>towing pins</w:t>
            </w:r>
          </w:p>
          <w:p w:rsidR="00000000" w:rsidRPr="00143B3B" w:rsidP="00143B3B">
            <w:pPr>
              <w:pStyle w:val="ListBullet"/>
            </w:pPr>
            <w:r w:rsidRPr="00143B3B">
              <w:t>tugger winches and wires</w:t>
            </w:r>
          </w:p>
          <w:p w:rsidR="00000000" w:rsidRPr="00143B3B" w:rsidP="00143B3B">
            <w:pPr>
              <w:pStyle w:val="ListBullet"/>
            </w:pPr>
            <w:r w:rsidRPr="00143B3B">
              <w:t>wire stoppers/shark jaws</w:t>
            </w:r>
          </w:p>
          <w:p w:rsidR="00000000" w:rsidP="00143B3B">
            <w:pPr>
              <w:pStyle w:val="ListBullet"/>
              <w:rPr>
                <w:lang w:val="en-NZ"/>
              </w:rPr>
            </w:pPr>
            <w:r w:rsidRPr="00143B3B">
              <w:t>wires (towing and work)</w:t>
            </w:r>
          </w:p>
        </w:tc>
      </w:tr>
      <w:tr w:rsidTr="00143B3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43B3B">
            <w:pPr>
              <w:pStyle w:val="BodyText"/>
              <w:rPr>
                <w:lang w:val="en-NZ"/>
              </w:rPr>
            </w:pPr>
            <w:r w:rsidRPr="00143B3B">
              <w:t xml:space="preserve">Safe and controlled manner must include: </w:t>
            </w:r>
          </w:p>
        </w:tc>
        <w:tc>
          <w:tcPr>
            <w:tcW w:w="6763" w:type="dxa"/>
            <w:tcBorders>
              <w:top w:val="nil"/>
              <w:left w:val="nil"/>
              <w:bottom w:val="nil"/>
              <w:right w:val="nil"/>
            </w:tcBorders>
            <w:tcMar>
              <w:top w:w="0" w:type="dxa"/>
              <w:left w:w="62" w:type="dxa"/>
              <w:bottom w:w="0" w:type="dxa"/>
              <w:right w:w="62" w:type="dxa"/>
            </w:tcMar>
          </w:tcPr>
          <w:p w:rsidR="00000000" w:rsidRPr="00143B3B" w:rsidP="00143B3B">
            <w:pPr>
              <w:pStyle w:val="ListBullet"/>
            </w:pPr>
            <w:r w:rsidRPr="00143B3B">
              <w:t>maintaining safe workloads within ships specifications including:</w:t>
            </w:r>
          </w:p>
          <w:p w:rsidR="00000000" w:rsidRPr="00143B3B" w:rsidP="00143B3B">
            <w:pPr>
              <w:pStyle w:val="ListBullet2"/>
            </w:pPr>
            <w:r w:rsidRPr="00143B3B">
              <w:t>safe working load (SWL)</w:t>
            </w:r>
          </w:p>
          <w:p w:rsidR="00000000" w:rsidRPr="00143B3B" w:rsidP="00143B3B">
            <w:pPr>
              <w:pStyle w:val="ListBullet2"/>
            </w:pPr>
            <w:r w:rsidRPr="00143B3B">
              <w:t>working load limit (WLL)</w:t>
            </w:r>
          </w:p>
          <w:p w:rsidR="00000000" w:rsidRPr="00143B3B" w:rsidP="00143B3B">
            <w:pPr>
              <w:pStyle w:val="ListBullet"/>
            </w:pPr>
            <w:r w:rsidRPr="00143B3B">
              <w:t>selecting and using appropriate machinery and equipment</w:t>
            </w:r>
          </w:p>
          <w:p w:rsidR="00000000" w:rsidP="00143B3B">
            <w:pPr>
              <w:pStyle w:val="ListBullet"/>
              <w:rPr>
                <w:lang w:val="en-NZ"/>
              </w:rPr>
            </w:pPr>
            <w:r w:rsidRPr="00143B3B">
              <w:t>using operational techniques for specifi</w:t>
            </w:r>
            <w:r w:rsidRPr="00143B3B">
              <w:t>c location, operation and weather conditions</w:t>
            </w:r>
          </w:p>
        </w:tc>
      </w:tr>
      <w:tr w:rsidTr="00143B3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43B3B">
            <w:pPr>
              <w:pStyle w:val="BodyText"/>
              <w:rPr>
                <w:lang w:val="en-NZ"/>
              </w:rPr>
            </w:pPr>
            <w:r w:rsidRPr="00143B3B">
              <w:t xml:space="preserve">Basic operational faults must include one or more of the following: </w:t>
            </w:r>
          </w:p>
        </w:tc>
        <w:tc>
          <w:tcPr>
            <w:tcW w:w="6763" w:type="dxa"/>
            <w:tcBorders>
              <w:top w:val="nil"/>
              <w:left w:val="nil"/>
              <w:bottom w:val="nil"/>
              <w:right w:val="nil"/>
            </w:tcBorders>
            <w:tcMar>
              <w:top w:w="0" w:type="dxa"/>
              <w:left w:w="62" w:type="dxa"/>
              <w:bottom w:w="0" w:type="dxa"/>
              <w:right w:w="62" w:type="dxa"/>
            </w:tcMar>
          </w:tcPr>
          <w:p w:rsidR="00000000" w:rsidRPr="00143B3B" w:rsidP="00143B3B">
            <w:pPr>
              <w:pStyle w:val="ListBullet"/>
            </w:pPr>
            <w:r w:rsidRPr="00143B3B">
              <w:t>failure of deck tools and equipment</w:t>
            </w:r>
          </w:p>
          <w:p w:rsidR="00000000" w:rsidRPr="00143B3B" w:rsidP="00143B3B">
            <w:pPr>
              <w:pStyle w:val="ListBullet"/>
            </w:pPr>
            <w:r w:rsidRPr="00143B3B">
              <w:t xml:space="preserve">breakage of wire </w:t>
            </w:r>
          </w:p>
          <w:p w:rsidR="00000000" w:rsidRPr="00143B3B" w:rsidP="00143B3B">
            <w:pPr>
              <w:pStyle w:val="ListBullet"/>
            </w:pPr>
            <w:r w:rsidRPr="00143B3B">
              <w:t>machinery break downs</w:t>
            </w:r>
          </w:p>
        </w:tc>
      </w:tr>
    </w:tbl>
    <w:p w:rsidR="00000000" w:rsidRPr="00143B3B" w:rsidP="00143B3B">
      <w:pPr>
        <w:pStyle w:val="BodyText"/>
      </w:pPr>
    </w:p>
    <w:p w:rsidR="00000000" w:rsidRPr="00143B3B" w:rsidP="00143B3B">
      <w:pPr>
        <w:pStyle w:val="AllowPageBreak"/>
      </w:pPr>
    </w:p>
    <w:p w:rsidR="00000000" w:rsidRPr="00143B3B" w:rsidP="00143B3B">
      <w:pPr>
        <w:pStyle w:val="Heading1"/>
      </w:pPr>
      <w:bookmarkStart w:id="9" w:name="O_661235"/>
      <w:bookmarkEnd w:id="9"/>
      <w:r w:rsidRPr="00143B3B">
        <w:t>Unit Mapping Information</w:t>
      </w:r>
    </w:p>
    <w:p w:rsidR="00000000" w:rsidRPr="00143B3B" w:rsidP="002A4215">
      <w:pPr>
        <w:pStyle w:val="BodyText"/>
      </w:pPr>
      <w:r w:rsidRPr="00143B3B">
        <w:t>This unit replaces and is equivalent to TDMMR5307B Carry out anchor handling, towage and supply duties at a rig.</w:t>
      </w:r>
    </w:p>
    <w:p w:rsidR="00000000" w:rsidRPr="00143B3B" w:rsidP="00143B3B">
      <w:pPr>
        <w:pStyle w:val="Heading1"/>
      </w:pPr>
      <w:bookmarkStart w:id="10" w:name="O_661242"/>
      <w:bookmarkEnd w:id="10"/>
      <w:r w:rsidRPr="00143B3B">
        <w:t>Links</w:t>
      </w:r>
    </w:p>
    <w:p w:rsidR="00000000" w:rsidRPr="00143B3B" w:rsidP="002A4215">
      <w:pPr>
        <w:pStyle w:val="BodyText"/>
      </w:pPr>
      <w:r w:rsidRPr="00143B3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CB4331">
        <w:rPr>
          <w:rStyle w:val="Hyperlink"/>
        </w:rPr>
        <w:t>https://vetnet.gov.au/Pages/TrainingDocs.aspx?q=772efb7b-4cce-47fe-9bbd-ee3b1d1eb4c2</w:t>
      </w:r>
      <w:r>
        <w:fldChar w:fldCharType="end"/>
      </w:r>
    </w:p>
    <w:p w:rsidR="00000000" w:rsidRPr="00143B3B" w:rsidP="00143B3B"/>
    <w:sectPr w:rsidSect="00143B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B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B3B" w:rsidRPr="002A4215" w:rsidP="002A42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B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215" w:rsidP="00143B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4215" w:rsidP="00143B3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A4215" w:rsidP="00143B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B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2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3B3B" w:rsidRPr="002A4215" w:rsidP="002A42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B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215" w:rsidRPr="002D2AF8" w:rsidP="00143B3B">
    <w:pPr>
      <w:pStyle w:val="Header"/>
      <w:framePr w:wrap="around"/>
    </w:pPr>
    <w:r>
      <w:fldChar w:fldCharType="begin"/>
    </w:r>
    <w:r>
      <w:instrText xml:space="preserve"> TITLE   \* MERGEFORMAT </w:instrText>
    </w:r>
    <w:r>
      <w:fldChar w:fldCharType="separate"/>
    </w:r>
    <w:r>
      <w:t>MARA008 Contribute to safe anchor handling and towing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2A4215" w:rsidP="00143B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3A2D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3E2C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30C6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B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3B3B"/>
    <w:pPr>
      <w:spacing w:before="360" w:after="60"/>
      <w:outlineLvl w:val="0"/>
    </w:pPr>
    <w:rPr>
      <w:sz w:val="32"/>
    </w:rPr>
  </w:style>
  <w:style w:type="paragraph" w:styleId="Heading2">
    <w:name w:val="heading 2"/>
    <w:basedOn w:val="HeadingBase"/>
    <w:next w:val="BodyText"/>
    <w:link w:val="Heading2Char"/>
    <w:qFormat/>
    <w:rsid w:val="00143B3B"/>
    <w:pPr>
      <w:keepLines/>
      <w:spacing w:before="240" w:after="120"/>
      <w:outlineLvl w:val="1"/>
    </w:pPr>
    <w:rPr>
      <w:sz w:val="28"/>
      <w:szCs w:val="40"/>
    </w:rPr>
  </w:style>
  <w:style w:type="paragraph" w:styleId="Heading3">
    <w:name w:val="heading 3"/>
    <w:basedOn w:val="HeadingBase"/>
    <w:next w:val="BodyText"/>
    <w:link w:val="Heading3Char"/>
    <w:qFormat/>
    <w:rsid w:val="00143B3B"/>
    <w:pPr>
      <w:spacing w:before="180" w:after="120"/>
      <w:outlineLvl w:val="2"/>
    </w:pPr>
    <w:rPr>
      <w:spacing w:val="-10"/>
      <w:kern w:val="32"/>
    </w:rPr>
  </w:style>
  <w:style w:type="paragraph" w:styleId="Heading4">
    <w:name w:val="heading 4"/>
    <w:basedOn w:val="HeadingBase"/>
    <w:next w:val="BodyText"/>
    <w:link w:val="Heading4Char"/>
    <w:qFormat/>
    <w:rsid w:val="00143B3B"/>
    <w:pPr>
      <w:spacing w:before="160" w:after="120"/>
      <w:outlineLvl w:val="3"/>
    </w:pPr>
    <w:rPr>
      <w:sz w:val="22"/>
    </w:rPr>
  </w:style>
  <w:style w:type="paragraph" w:styleId="Heading5">
    <w:name w:val="heading 5"/>
    <w:basedOn w:val="HeadingBase"/>
    <w:next w:val="Normal"/>
    <w:link w:val="Heading5Char"/>
    <w:qFormat/>
    <w:rsid w:val="00143B3B"/>
    <w:pPr>
      <w:spacing w:before="80"/>
      <w:outlineLvl w:val="4"/>
    </w:pPr>
    <w:rPr>
      <w:color w:val="918585"/>
      <w:sz w:val="20"/>
    </w:rPr>
  </w:style>
  <w:style w:type="paragraph" w:styleId="Heading6">
    <w:name w:val="heading 6"/>
    <w:basedOn w:val="HeadingBase"/>
    <w:next w:val="Normal"/>
    <w:link w:val="Heading6Char"/>
    <w:qFormat/>
    <w:rsid w:val="00143B3B"/>
    <w:pPr>
      <w:spacing w:before="60"/>
      <w:outlineLvl w:val="5"/>
    </w:pPr>
    <w:rPr>
      <w:color w:val="918585"/>
      <w:sz w:val="20"/>
    </w:rPr>
  </w:style>
  <w:style w:type="paragraph" w:styleId="Heading7">
    <w:name w:val="heading 7"/>
    <w:basedOn w:val="Normal"/>
    <w:next w:val="Normal"/>
    <w:link w:val="Heading7Char"/>
    <w:qFormat/>
    <w:rsid w:val="00143B3B"/>
    <w:pPr>
      <w:ind w:left="720"/>
      <w:outlineLvl w:val="6"/>
    </w:pPr>
    <w:rPr>
      <w:i/>
    </w:rPr>
  </w:style>
  <w:style w:type="paragraph" w:styleId="Heading8">
    <w:name w:val="heading 8"/>
    <w:basedOn w:val="Normal"/>
    <w:next w:val="Normal"/>
    <w:link w:val="Heading8Char"/>
    <w:qFormat/>
    <w:rsid w:val="00143B3B"/>
    <w:pPr>
      <w:ind w:left="720"/>
      <w:outlineLvl w:val="7"/>
    </w:pPr>
    <w:rPr>
      <w:i/>
    </w:rPr>
  </w:style>
  <w:style w:type="paragraph" w:styleId="Heading9">
    <w:name w:val="heading 9"/>
    <w:basedOn w:val="Normal"/>
    <w:next w:val="Normal"/>
    <w:link w:val="Heading9Char"/>
    <w:qFormat/>
    <w:rsid w:val="00143B3B"/>
    <w:pPr>
      <w:ind w:left="720"/>
      <w:outlineLvl w:val="8"/>
    </w:pPr>
    <w:rPr>
      <w:i/>
    </w:rPr>
  </w:style>
  <w:style w:type="character" w:default="1" w:styleId="DefaultParagraphFont">
    <w:name w:val="Default Paragraph Font"/>
    <w:uiPriority w:val="1"/>
    <w:unhideWhenUsed/>
    <w:rsid w:val="00143B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3B3B"/>
  </w:style>
  <w:style w:type="character" w:customStyle="1" w:styleId="Heading1Char">
    <w:name w:val="Heading 1 Char"/>
    <w:basedOn w:val="DefaultParagraphFont"/>
    <w:link w:val="Heading1"/>
    <w:rsid w:val="00143B3B"/>
    <w:rPr>
      <w:rFonts w:ascii="Times New Roman" w:eastAsia="Times New Roman" w:hAnsi="Times New Roman" w:cs="Times New Roman"/>
      <w:b/>
      <w:sz w:val="32"/>
      <w:szCs w:val="20"/>
      <w:lang w:eastAsia="en-US"/>
    </w:rPr>
  </w:style>
  <w:style w:type="paragraph" w:styleId="BodyText">
    <w:name w:val="Body Text"/>
    <w:basedOn w:val="Normal"/>
    <w:link w:val="BodyTextChar"/>
    <w:rsid w:val="00143B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3B3B"/>
    <w:rPr>
      <w:rFonts w:ascii="Times New Roman" w:eastAsia="Times New Roman" w:hAnsi="Times New Roman" w:cs="Times New Roman"/>
      <w:sz w:val="24"/>
      <w:lang w:eastAsia="en-US"/>
    </w:rPr>
  </w:style>
  <w:style w:type="paragraph" w:styleId="ListBullet">
    <w:name w:val="List Bullet"/>
    <w:basedOn w:val="List"/>
    <w:rsid w:val="00143B3B"/>
    <w:pPr>
      <w:numPr>
        <w:numId w:val="12"/>
      </w:numPr>
      <w:tabs>
        <w:tab w:val="clear" w:pos="340"/>
      </w:tabs>
      <w:spacing w:before="40" w:after="40"/>
    </w:pPr>
  </w:style>
  <w:style w:type="character" w:customStyle="1" w:styleId="SpecialBold">
    <w:name w:val="Special Bold"/>
    <w:basedOn w:val="DefaultParagraphFont"/>
    <w:rsid w:val="00143B3B"/>
    <w:rPr>
      <w:b/>
      <w:spacing w:val="0"/>
    </w:rPr>
  </w:style>
  <w:style w:type="paragraph" w:styleId="ListBullet2">
    <w:name w:val="List Bullet 2"/>
    <w:basedOn w:val="List2"/>
    <w:rsid w:val="00143B3B"/>
    <w:pPr>
      <w:numPr>
        <w:numId w:val="13"/>
      </w:numPr>
      <w:tabs>
        <w:tab w:val="clear" w:pos="680"/>
      </w:tabs>
    </w:pPr>
  </w:style>
  <w:style w:type="paragraph" w:customStyle="1" w:styleId="SuperHeading">
    <w:name w:val="SuperHeading"/>
    <w:basedOn w:val="Normal"/>
    <w:rsid w:val="00143B3B"/>
    <w:pPr>
      <w:spacing w:before="240" w:after="120"/>
      <w:outlineLvl w:val="0"/>
    </w:pPr>
    <w:rPr>
      <w:rFonts w:ascii="Times New Roman" w:hAnsi="Times New Roman"/>
      <w:b/>
      <w:sz w:val="32"/>
    </w:rPr>
  </w:style>
  <w:style w:type="paragraph" w:customStyle="1" w:styleId="AllowPageBreak">
    <w:name w:val="AllowPageBreak"/>
    <w:rsid w:val="00143B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3B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3B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3B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3B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3B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3B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3B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3B3B"/>
    <w:rPr>
      <w:rFonts w:ascii="Courier New" w:eastAsia="Times New Roman" w:hAnsi="Courier New" w:cs="Times New Roman"/>
      <w:i/>
      <w:szCs w:val="20"/>
      <w:lang w:eastAsia="en-US"/>
    </w:rPr>
  </w:style>
  <w:style w:type="paragraph" w:customStyle="1" w:styleId="HeadingBase">
    <w:name w:val="Heading Base"/>
    <w:rsid w:val="00143B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3B3B"/>
    <w:pPr>
      <w:tabs>
        <w:tab w:val="right" w:leader="dot" w:pos="9072"/>
      </w:tabs>
      <w:ind w:left="567"/>
    </w:pPr>
    <w:rPr>
      <w:szCs w:val="22"/>
    </w:rPr>
  </w:style>
  <w:style w:type="paragraph" w:customStyle="1" w:styleId="TOCBase">
    <w:name w:val="TOC Base"/>
    <w:rsid w:val="00143B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3B3B"/>
    <w:pPr>
      <w:tabs>
        <w:tab w:val="right" w:leader="dot" w:pos="9072"/>
      </w:tabs>
      <w:spacing w:before="40" w:after="40"/>
      <w:ind w:left="284"/>
    </w:pPr>
    <w:rPr>
      <w:rFonts w:ascii="Times New Roman" w:hAnsi="Times New Roman"/>
    </w:rPr>
  </w:style>
  <w:style w:type="paragraph" w:styleId="TOC1">
    <w:name w:val="toc 1"/>
    <w:basedOn w:val="TOCBase"/>
    <w:next w:val="Normal"/>
    <w:rsid w:val="00143B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3B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3B3B"/>
    <w:rPr>
      <w:rFonts w:ascii="Times New Roman" w:eastAsia="Times New Roman" w:hAnsi="Times New Roman" w:cs="Times New Roman"/>
      <w:sz w:val="16"/>
      <w:lang w:eastAsia="en-US"/>
    </w:rPr>
  </w:style>
  <w:style w:type="paragraph" w:styleId="Title">
    <w:name w:val="Title"/>
    <w:basedOn w:val="HeadingBase"/>
    <w:link w:val="TitleChar"/>
    <w:qFormat/>
    <w:rsid w:val="00143B3B"/>
    <w:pPr>
      <w:spacing w:before="5040"/>
      <w:jc w:val="center"/>
    </w:pPr>
    <w:rPr>
      <w:sz w:val="48"/>
      <w:szCs w:val="72"/>
      <w:lang w:val="en-US"/>
    </w:rPr>
  </w:style>
  <w:style w:type="character" w:customStyle="1" w:styleId="TitleChar">
    <w:name w:val="Title Char"/>
    <w:basedOn w:val="DefaultParagraphFont"/>
    <w:link w:val="Title"/>
    <w:rsid w:val="00143B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3B3B"/>
    <w:pPr>
      <w:tabs>
        <w:tab w:val="left" w:pos="3600"/>
        <w:tab w:val="left" w:pos="3958"/>
      </w:tabs>
    </w:pPr>
  </w:style>
  <w:style w:type="paragraph" w:styleId="List">
    <w:name w:val="List"/>
    <w:basedOn w:val="BodyText"/>
    <w:next w:val="BodyText"/>
    <w:rsid w:val="00143B3B"/>
    <w:pPr>
      <w:tabs>
        <w:tab w:val="left" w:pos="340"/>
      </w:tabs>
      <w:spacing w:before="60" w:after="60"/>
      <w:ind w:left="340" w:hanging="340"/>
    </w:pPr>
  </w:style>
  <w:style w:type="paragraph" w:customStyle="1" w:styleId="Note">
    <w:name w:val="Note"/>
    <w:basedOn w:val="BodyText"/>
    <w:rsid w:val="00143B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3B3B"/>
    <w:pPr>
      <w:framePr w:wrap="auto" w:hAnchor="text" w:y="6049"/>
    </w:pPr>
    <w:rPr>
      <w:color w:val="000000"/>
      <w:sz w:val="40"/>
    </w:rPr>
  </w:style>
  <w:style w:type="paragraph" w:customStyle="1" w:styleId="TOCTitle">
    <w:name w:val="TOCTitle"/>
    <w:basedOn w:val="Heading1"/>
    <w:rsid w:val="00143B3B"/>
    <w:pPr>
      <w:spacing w:after="240"/>
      <w:jc w:val="center"/>
      <w:outlineLvl w:val="9"/>
    </w:pPr>
    <w:rPr>
      <w:caps/>
    </w:rPr>
  </w:style>
  <w:style w:type="paragraph" w:customStyle="1" w:styleId="Version">
    <w:name w:val="Version"/>
    <w:rsid w:val="00143B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3B3B"/>
    <w:pPr>
      <w:keepNext w:val="0"/>
      <w:tabs>
        <w:tab w:val="right" w:pos="4176"/>
      </w:tabs>
      <w:ind w:left="198" w:hanging="198"/>
    </w:pPr>
    <w:rPr>
      <w:rFonts w:ascii="Garamond" w:hAnsi="Garamond"/>
    </w:rPr>
  </w:style>
  <w:style w:type="paragraph" w:styleId="IndexHeading">
    <w:name w:val="index heading"/>
    <w:basedOn w:val="Normal"/>
    <w:next w:val="Index1"/>
    <w:semiHidden/>
    <w:rsid w:val="00143B3B"/>
    <w:pPr>
      <w:spacing w:before="120" w:after="120"/>
    </w:pPr>
    <w:rPr>
      <w:rFonts w:ascii="Arial" w:hAnsi="Arial"/>
      <w:b/>
      <w:color w:val="918585"/>
      <w:sz w:val="24"/>
    </w:rPr>
  </w:style>
  <w:style w:type="paragraph" w:styleId="Header">
    <w:name w:val="header"/>
    <w:basedOn w:val="Normal"/>
    <w:link w:val="HeaderChar"/>
    <w:rsid w:val="00143B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3B3B"/>
    <w:rPr>
      <w:rFonts w:ascii="Times New Roman" w:eastAsia="Times New Roman" w:hAnsi="Times New Roman" w:cs="Times New Roman"/>
      <w:sz w:val="16"/>
      <w:szCs w:val="20"/>
      <w:lang w:val="en-GB" w:eastAsia="en-US"/>
    </w:rPr>
  </w:style>
  <w:style w:type="paragraph" w:customStyle="1" w:styleId="Chapter">
    <w:name w:val="Chapter"/>
    <w:basedOn w:val="Normal"/>
    <w:rsid w:val="00143B3B"/>
    <w:pPr>
      <w:spacing w:before="240"/>
    </w:pPr>
    <w:rPr>
      <w:rFonts w:ascii="Times New Roman" w:hAnsi="Times New Roman"/>
      <w:smallCaps/>
      <w:spacing w:val="80"/>
      <w:sz w:val="28"/>
    </w:rPr>
  </w:style>
  <w:style w:type="paragraph" w:customStyle="1" w:styleId="InChapter">
    <w:name w:val="InChapter"/>
    <w:basedOn w:val="Heading3"/>
    <w:rsid w:val="00143B3B"/>
    <w:pPr>
      <w:spacing w:after="240"/>
      <w:outlineLvl w:val="9"/>
    </w:pPr>
    <w:rPr>
      <w:noProof/>
    </w:rPr>
  </w:style>
  <w:style w:type="paragraph" w:styleId="Index2">
    <w:name w:val="index 2"/>
    <w:basedOn w:val="Normal"/>
    <w:next w:val="Normal"/>
    <w:semiHidden/>
    <w:rsid w:val="00143B3B"/>
    <w:pPr>
      <w:tabs>
        <w:tab w:val="right" w:pos="4176"/>
      </w:tabs>
      <w:ind w:left="568" w:hanging="284"/>
    </w:pPr>
    <w:rPr>
      <w:rFonts w:ascii="Garamond" w:hAnsi="Garamond"/>
    </w:rPr>
  </w:style>
  <w:style w:type="paragraph" w:customStyle="1" w:styleId="Byline">
    <w:name w:val="Byline"/>
    <w:rsid w:val="00143B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3B3B"/>
    <w:pPr>
      <w:tabs>
        <w:tab w:val="clear" w:pos="3600"/>
        <w:tab w:val="clear" w:pos="3958"/>
      </w:tabs>
      <w:jc w:val="right"/>
    </w:pPr>
  </w:style>
  <w:style w:type="character" w:styleId="Emphasis">
    <w:name w:val="Emphasis"/>
    <w:basedOn w:val="DefaultParagraphFont"/>
    <w:qFormat/>
    <w:rsid w:val="00143B3B"/>
    <w:rPr>
      <w:i/>
    </w:rPr>
  </w:style>
  <w:style w:type="paragraph" w:styleId="Caption">
    <w:name w:val="caption"/>
    <w:basedOn w:val="BodyText"/>
    <w:next w:val="Normal"/>
    <w:qFormat/>
    <w:rsid w:val="00143B3B"/>
    <w:pPr>
      <w:framePr w:w="2268" w:hSpace="181" w:vSpace="181" w:wrap="around" w:vAnchor="text" w:hAnchor="page" w:x="1135" w:y="285" w:anchorLock="1"/>
    </w:pPr>
    <w:rPr>
      <w:i/>
    </w:rPr>
  </w:style>
  <w:style w:type="paragraph" w:customStyle="1" w:styleId="MiniTOCTitle">
    <w:name w:val="MiniTOCTitle"/>
    <w:basedOn w:val="Heading4"/>
    <w:rsid w:val="00143B3B"/>
    <w:pPr>
      <w:spacing w:before="240"/>
      <w:outlineLvl w:val="9"/>
    </w:pPr>
    <w:rPr>
      <w:noProof/>
      <w:sz w:val="24"/>
    </w:rPr>
  </w:style>
  <w:style w:type="paragraph" w:customStyle="1" w:styleId="MiniTOCItem">
    <w:name w:val="MiniTOCItem"/>
    <w:basedOn w:val="ListBullet"/>
    <w:rsid w:val="00143B3B"/>
    <w:pPr>
      <w:numPr>
        <w:numId w:val="0"/>
      </w:numPr>
      <w:tabs>
        <w:tab w:val="right" w:leader="dot" w:pos="6521"/>
      </w:tabs>
      <w:spacing w:before="0" w:after="0"/>
    </w:pPr>
  </w:style>
  <w:style w:type="paragraph" w:customStyle="1" w:styleId="TOFTitle">
    <w:name w:val="TOFTitle"/>
    <w:basedOn w:val="TOCTitle"/>
    <w:rsid w:val="00143B3B"/>
  </w:style>
  <w:style w:type="paragraph" w:styleId="TableofFigures">
    <w:name w:val="table of figures"/>
    <w:basedOn w:val="Normal"/>
    <w:next w:val="Normal"/>
    <w:semiHidden/>
    <w:rsid w:val="00143B3B"/>
    <w:pPr>
      <w:tabs>
        <w:tab w:val="right" w:leader="dot" w:pos="9072"/>
      </w:tabs>
      <w:ind w:left="970" w:hanging="403"/>
    </w:pPr>
    <w:rPr>
      <w:rFonts w:ascii="Times New Roman" w:hAnsi="Times New Roman"/>
      <w:b/>
    </w:rPr>
  </w:style>
  <w:style w:type="paragraph" w:styleId="ListNumber">
    <w:name w:val="List Number"/>
    <w:basedOn w:val="List"/>
    <w:rsid w:val="00143B3B"/>
    <w:pPr>
      <w:numPr>
        <w:numId w:val="15"/>
      </w:numPr>
      <w:tabs>
        <w:tab w:val="clear" w:pos="340"/>
      </w:tabs>
    </w:pPr>
  </w:style>
  <w:style w:type="character" w:customStyle="1" w:styleId="WingdingSymbols">
    <w:name w:val="Wingding Symbols"/>
    <w:rsid w:val="00143B3B"/>
    <w:rPr>
      <w:rFonts w:ascii="Wingdings" w:hAnsi="Wingdings"/>
    </w:rPr>
  </w:style>
  <w:style w:type="paragraph" w:customStyle="1" w:styleId="TableHeading">
    <w:name w:val="Table Heading"/>
    <w:basedOn w:val="HeadingBase"/>
    <w:rsid w:val="00143B3B"/>
    <w:pPr>
      <w:keepLines/>
      <w:pBdr>
        <w:bottom w:val="single" w:sz="6" w:space="1" w:color="918585"/>
      </w:pBdr>
      <w:spacing w:before="240"/>
    </w:pPr>
  </w:style>
  <w:style w:type="character" w:customStyle="1" w:styleId="HotSpot">
    <w:name w:val="HotSpot"/>
    <w:rsid w:val="00143B3B"/>
    <w:rPr>
      <w:color w:val="0033CC"/>
      <w:u w:val="none"/>
    </w:rPr>
  </w:style>
  <w:style w:type="paragraph" w:customStyle="1" w:styleId="BodyTextRight">
    <w:name w:val="Body Text Right"/>
    <w:basedOn w:val="BodyText"/>
    <w:rsid w:val="00143B3B"/>
    <w:pPr>
      <w:spacing w:before="0" w:after="0"/>
      <w:jc w:val="right"/>
    </w:pPr>
  </w:style>
  <w:style w:type="paragraph" w:styleId="Index3">
    <w:name w:val="index 3"/>
    <w:basedOn w:val="ListNumber2"/>
    <w:next w:val="Normal"/>
    <w:semiHidden/>
    <w:rsid w:val="00143B3B"/>
    <w:pPr>
      <w:numPr>
        <w:numId w:val="0"/>
      </w:numPr>
      <w:tabs>
        <w:tab w:val="right" w:leader="dot" w:pos="4176"/>
      </w:tabs>
    </w:pPr>
  </w:style>
  <w:style w:type="paragraph" w:styleId="ListNumber2">
    <w:name w:val="List Number 2"/>
    <w:basedOn w:val="List2"/>
    <w:rsid w:val="00143B3B"/>
    <w:pPr>
      <w:numPr>
        <w:numId w:val="10"/>
      </w:numPr>
      <w:tabs>
        <w:tab w:val="clear" w:pos="1060"/>
      </w:tabs>
    </w:pPr>
  </w:style>
  <w:style w:type="paragraph" w:customStyle="1" w:styleId="MarginNote">
    <w:name w:val="Margin Note"/>
    <w:basedOn w:val="BodyText"/>
    <w:rsid w:val="00143B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3B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3B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3B3B"/>
    <w:rPr>
      <w:sz w:val="32"/>
    </w:rPr>
  </w:style>
  <w:style w:type="paragraph" w:customStyle="1" w:styleId="HeadingProcedure">
    <w:name w:val="Heading Procedure"/>
    <w:basedOn w:val="HeadingBase"/>
    <w:next w:val="Normal"/>
    <w:rsid w:val="00143B3B"/>
    <w:pPr>
      <w:tabs>
        <w:tab w:val="left" w:pos="0"/>
      </w:tabs>
      <w:spacing w:before="120" w:after="60"/>
    </w:pPr>
    <w:rPr>
      <w:i/>
      <w:color w:val="918585"/>
      <w:sz w:val="22"/>
    </w:rPr>
  </w:style>
  <w:style w:type="paragraph" w:customStyle="1" w:styleId="TableBodyText">
    <w:name w:val="Table Body Text"/>
    <w:basedOn w:val="BodyText"/>
    <w:rsid w:val="00143B3B"/>
    <w:pPr>
      <w:spacing w:before="60" w:after="60"/>
    </w:pPr>
  </w:style>
  <w:style w:type="paragraph" w:styleId="ListContinue">
    <w:name w:val="List Continue"/>
    <w:basedOn w:val="List"/>
    <w:rsid w:val="00143B3B"/>
    <w:pPr>
      <w:ind w:firstLine="0"/>
    </w:pPr>
  </w:style>
  <w:style w:type="paragraph" w:customStyle="1" w:styleId="ListNote">
    <w:name w:val="List Note"/>
    <w:basedOn w:val="List"/>
    <w:rsid w:val="00143B3B"/>
    <w:pPr>
      <w:pBdr>
        <w:top w:val="single" w:sz="6" w:space="2" w:color="918585"/>
        <w:bottom w:val="single" w:sz="6" w:space="2" w:color="918585"/>
      </w:pBdr>
      <w:tabs>
        <w:tab w:val="left" w:pos="1021"/>
      </w:tabs>
      <w:ind w:firstLine="0"/>
    </w:pPr>
  </w:style>
  <w:style w:type="paragraph" w:customStyle="1" w:styleId="Warning">
    <w:name w:val="Warning"/>
    <w:basedOn w:val="BodyText"/>
    <w:rsid w:val="00143B3B"/>
    <w:pPr>
      <w:shd w:val="clear" w:color="auto" w:fill="D9D9D9"/>
      <w:tabs>
        <w:tab w:val="left" w:pos="992"/>
      </w:tabs>
      <w:ind w:left="119" w:right="119"/>
    </w:pPr>
    <w:rPr>
      <w:sz w:val="20"/>
    </w:rPr>
  </w:style>
  <w:style w:type="paragraph" w:customStyle="1" w:styleId="MarginIcons">
    <w:name w:val="Margin Icons"/>
    <w:basedOn w:val="BodyText"/>
    <w:rsid w:val="00143B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3B3B"/>
    <w:rPr>
      <w:rFonts w:ascii="Courier New" w:hAnsi="Courier New"/>
    </w:rPr>
  </w:style>
  <w:style w:type="paragraph" w:customStyle="1" w:styleId="NoteBullet">
    <w:name w:val="Note Bullet"/>
    <w:basedOn w:val="Note"/>
    <w:rsid w:val="00143B3B"/>
    <w:pPr>
      <w:tabs>
        <w:tab w:val="clear" w:pos="680"/>
      </w:tabs>
      <w:spacing w:before="60" w:after="60"/>
    </w:pPr>
  </w:style>
  <w:style w:type="paragraph" w:customStyle="1" w:styleId="SubHeading2">
    <w:name w:val="SubHeading2"/>
    <w:basedOn w:val="HeadingBase"/>
    <w:rsid w:val="00143B3B"/>
    <w:pPr>
      <w:spacing w:before="240" w:after="60"/>
    </w:pPr>
    <w:rPr>
      <w:sz w:val="20"/>
    </w:rPr>
  </w:style>
  <w:style w:type="paragraph" w:customStyle="1" w:styleId="SubHeading1">
    <w:name w:val="SubHeading1"/>
    <w:basedOn w:val="HeadingBase"/>
    <w:rsid w:val="00143B3B"/>
    <w:pPr>
      <w:spacing w:before="240" w:after="60"/>
    </w:pPr>
    <w:rPr>
      <w:color w:val="918585"/>
      <w:sz w:val="22"/>
    </w:rPr>
  </w:style>
  <w:style w:type="paragraph" w:customStyle="1" w:styleId="SideHeading">
    <w:name w:val="Side Heading"/>
    <w:basedOn w:val="HeadingBase"/>
    <w:rsid w:val="00143B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3B3B"/>
    <w:pPr>
      <w:tabs>
        <w:tab w:val="num" w:pos="360"/>
      </w:tabs>
    </w:pPr>
  </w:style>
  <w:style w:type="paragraph" w:styleId="PlainText">
    <w:name w:val="Plain Text"/>
    <w:basedOn w:val="Normal"/>
    <w:link w:val="PlainTextChar"/>
    <w:rsid w:val="00143B3B"/>
    <w:rPr>
      <w:sz w:val="20"/>
    </w:rPr>
  </w:style>
  <w:style w:type="character" w:customStyle="1" w:styleId="PlainTextChar">
    <w:name w:val="Plain Text Char"/>
    <w:basedOn w:val="DefaultParagraphFont"/>
    <w:link w:val="PlainText"/>
    <w:rsid w:val="00143B3B"/>
    <w:rPr>
      <w:rFonts w:ascii="Courier New" w:eastAsia="Times New Roman" w:hAnsi="Courier New" w:cs="Times New Roman"/>
      <w:sz w:val="20"/>
      <w:szCs w:val="20"/>
      <w:lang w:eastAsia="en-US"/>
    </w:rPr>
  </w:style>
  <w:style w:type="character" w:customStyle="1" w:styleId="MenuOption">
    <w:name w:val="Menu Option"/>
    <w:basedOn w:val="DefaultParagraphFont"/>
    <w:rsid w:val="00143B3B"/>
    <w:rPr>
      <w:b/>
      <w:smallCaps/>
    </w:rPr>
  </w:style>
  <w:style w:type="paragraph" w:customStyle="1" w:styleId="TableListNumber">
    <w:name w:val="Table List Number"/>
    <w:basedOn w:val="ListNumber"/>
    <w:rsid w:val="00143B3B"/>
    <w:pPr>
      <w:numPr>
        <w:numId w:val="0"/>
      </w:numPr>
    </w:pPr>
  </w:style>
  <w:style w:type="paragraph" w:styleId="TOC4">
    <w:name w:val="toc 4"/>
    <w:basedOn w:val="TOCBase"/>
    <w:next w:val="Normal"/>
    <w:semiHidden/>
    <w:rsid w:val="00143B3B"/>
    <w:pPr>
      <w:tabs>
        <w:tab w:val="right" w:leader="dot" w:pos="9071"/>
      </w:tabs>
      <w:ind w:left="1701"/>
    </w:pPr>
  </w:style>
  <w:style w:type="paragraph" w:customStyle="1" w:styleId="ListAlpha">
    <w:name w:val="List Alpha"/>
    <w:basedOn w:val="List"/>
    <w:rsid w:val="00143B3B"/>
    <w:pPr>
      <w:numPr>
        <w:numId w:val="9"/>
      </w:numPr>
    </w:pPr>
  </w:style>
  <w:style w:type="paragraph" w:customStyle="1" w:styleId="ListAlpha2">
    <w:name w:val="List Alpha 2"/>
    <w:basedOn w:val="List2"/>
    <w:rsid w:val="00143B3B"/>
    <w:pPr>
      <w:numPr>
        <w:numId w:val="8"/>
      </w:numPr>
    </w:pPr>
  </w:style>
  <w:style w:type="paragraph" w:styleId="List2">
    <w:name w:val="List 2"/>
    <w:basedOn w:val="BodyText"/>
    <w:rsid w:val="00143B3B"/>
    <w:pPr>
      <w:tabs>
        <w:tab w:val="left" w:pos="680"/>
      </w:tabs>
      <w:spacing w:before="60" w:after="60"/>
      <w:ind w:left="680" w:hanging="340"/>
    </w:pPr>
  </w:style>
  <w:style w:type="paragraph" w:styleId="List3">
    <w:name w:val="List 3"/>
    <w:basedOn w:val="BodyText"/>
    <w:rsid w:val="00143B3B"/>
    <w:pPr>
      <w:tabs>
        <w:tab w:val="left" w:pos="1021"/>
      </w:tabs>
      <w:spacing w:before="60" w:after="60"/>
      <w:ind w:left="1020" w:hanging="340"/>
    </w:pPr>
  </w:style>
  <w:style w:type="paragraph" w:styleId="List4">
    <w:name w:val="List 4"/>
    <w:basedOn w:val="BodyText"/>
    <w:rsid w:val="00143B3B"/>
    <w:pPr>
      <w:tabs>
        <w:tab w:val="left" w:pos="1361"/>
      </w:tabs>
      <w:spacing w:before="60" w:after="60"/>
      <w:ind w:left="1361" w:hanging="340"/>
    </w:pPr>
  </w:style>
  <w:style w:type="paragraph" w:styleId="List5">
    <w:name w:val="List 5"/>
    <w:basedOn w:val="BodyText"/>
    <w:rsid w:val="00143B3B"/>
    <w:pPr>
      <w:tabs>
        <w:tab w:val="left" w:pos="1701"/>
      </w:tabs>
      <w:spacing w:before="60" w:after="60"/>
      <w:ind w:left="1701" w:hanging="340"/>
    </w:pPr>
  </w:style>
  <w:style w:type="paragraph" w:styleId="ListBullet3">
    <w:name w:val="List Bullet 3"/>
    <w:basedOn w:val="List3"/>
    <w:rsid w:val="00143B3B"/>
    <w:pPr>
      <w:numPr>
        <w:numId w:val="14"/>
      </w:numPr>
      <w:tabs>
        <w:tab w:val="clear" w:pos="1021"/>
      </w:tabs>
      <w:ind w:left="1037" w:hanging="357"/>
    </w:pPr>
  </w:style>
  <w:style w:type="paragraph" w:styleId="ListBullet4">
    <w:name w:val="List Bullet 4"/>
    <w:basedOn w:val="List4"/>
    <w:rsid w:val="00143B3B"/>
    <w:pPr>
      <w:numPr>
        <w:numId w:val="3"/>
      </w:numPr>
      <w:tabs>
        <w:tab w:val="clear" w:pos="1361"/>
      </w:tabs>
    </w:pPr>
  </w:style>
  <w:style w:type="paragraph" w:styleId="ListBullet5">
    <w:name w:val="List Bullet 5"/>
    <w:basedOn w:val="List5"/>
    <w:rsid w:val="00143B3B"/>
    <w:pPr>
      <w:numPr>
        <w:numId w:val="4"/>
      </w:numPr>
    </w:pPr>
  </w:style>
  <w:style w:type="paragraph" w:styleId="ListContinue2">
    <w:name w:val="List Continue 2"/>
    <w:basedOn w:val="List2"/>
    <w:rsid w:val="00143B3B"/>
    <w:pPr>
      <w:ind w:firstLine="0"/>
    </w:pPr>
  </w:style>
  <w:style w:type="paragraph" w:styleId="ListContinue3">
    <w:name w:val="List Continue 3"/>
    <w:basedOn w:val="List3"/>
    <w:rsid w:val="00143B3B"/>
    <w:pPr>
      <w:ind w:left="1021" w:firstLine="0"/>
    </w:pPr>
  </w:style>
  <w:style w:type="paragraph" w:styleId="ListContinue4">
    <w:name w:val="List Continue 4"/>
    <w:basedOn w:val="List4"/>
    <w:rsid w:val="00143B3B"/>
    <w:pPr>
      <w:ind w:firstLine="0"/>
    </w:pPr>
  </w:style>
  <w:style w:type="paragraph" w:styleId="ListContinue5">
    <w:name w:val="List Continue 5"/>
    <w:basedOn w:val="List5"/>
    <w:rsid w:val="00143B3B"/>
    <w:pPr>
      <w:ind w:firstLine="0"/>
    </w:pPr>
  </w:style>
  <w:style w:type="paragraph" w:styleId="ListNumber3">
    <w:name w:val="List Number 3"/>
    <w:basedOn w:val="List3"/>
    <w:rsid w:val="00143B3B"/>
    <w:pPr>
      <w:numPr>
        <w:numId w:val="5"/>
      </w:numPr>
    </w:pPr>
  </w:style>
  <w:style w:type="paragraph" w:styleId="ListNumber4">
    <w:name w:val="List Number 4"/>
    <w:basedOn w:val="List4"/>
    <w:rsid w:val="00143B3B"/>
    <w:pPr>
      <w:numPr>
        <w:numId w:val="6"/>
      </w:numPr>
    </w:pPr>
  </w:style>
  <w:style w:type="paragraph" w:styleId="ListNumber5">
    <w:name w:val="List Number 5"/>
    <w:basedOn w:val="List5"/>
    <w:rsid w:val="00143B3B"/>
    <w:pPr>
      <w:numPr>
        <w:numId w:val="7"/>
      </w:numPr>
    </w:pPr>
  </w:style>
  <w:style w:type="paragraph" w:styleId="BlockText">
    <w:name w:val="Block Text"/>
    <w:basedOn w:val="Normal"/>
    <w:rsid w:val="00143B3B"/>
    <w:pPr>
      <w:spacing w:after="120"/>
      <w:ind w:left="1440" w:right="1440"/>
    </w:pPr>
  </w:style>
  <w:style w:type="character" w:customStyle="1" w:styleId="Subscript">
    <w:name w:val="Subscript"/>
    <w:basedOn w:val="DefaultParagraphFont"/>
    <w:rsid w:val="00143B3B"/>
    <w:rPr>
      <w:sz w:val="16"/>
      <w:vertAlign w:val="subscript"/>
    </w:rPr>
  </w:style>
  <w:style w:type="character" w:customStyle="1" w:styleId="Superscript">
    <w:name w:val="Superscript"/>
    <w:basedOn w:val="DefaultParagraphFont"/>
    <w:rsid w:val="00143B3B"/>
    <w:rPr>
      <w:sz w:val="16"/>
      <w:vertAlign w:val="superscript"/>
    </w:rPr>
  </w:style>
  <w:style w:type="character" w:customStyle="1" w:styleId="Symbols">
    <w:name w:val="Symbols"/>
    <w:basedOn w:val="DefaultParagraphFont"/>
    <w:rsid w:val="00143B3B"/>
    <w:rPr>
      <w:rFonts w:ascii="Symbol" w:hAnsi="Symbol"/>
    </w:rPr>
  </w:style>
  <w:style w:type="character" w:customStyle="1" w:styleId="MenuOptions">
    <w:name w:val="Menu Options"/>
    <w:basedOn w:val="DefaultParagraphFont"/>
    <w:rsid w:val="00143B3B"/>
    <w:rPr>
      <w:rFonts w:ascii="Arial Narrow" w:hAnsi="Arial Narrow"/>
      <w:smallCaps/>
    </w:rPr>
  </w:style>
  <w:style w:type="character" w:customStyle="1" w:styleId="Buttons">
    <w:name w:val="Buttons"/>
    <w:basedOn w:val="DefaultParagraphFont"/>
    <w:rsid w:val="00143B3B"/>
    <w:rPr>
      <w:b/>
    </w:rPr>
  </w:style>
  <w:style w:type="character" w:customStyle="1" w:styleId="Underlined">
    <w:name w:val="Underlined"/>
    <w:basedOn w:val="DefaultParagraphFont"/>
    <w:rsid w:val="00143B3B"/>
    <w:rPr>
      <w:u w:val="single"/>
    </w:rPr>
  </w:style>
  <w:style w:type="paragraph" w:customStyle="1" w:styleId="TableBodyTextRight">
    <w:name w:val="Table Body Text Right"/>
    <w:basedOn w:val="TableBodyText"/>
    <w:rsid w:val="00143B3B"/>
    <w:pPr>
      <w:widowControl w:val="0"/>
      <w:autoSpaceDE w:val="0"/>
      <w:autoSpaceDN w:val="0"/>
      <w:adjustRightInd w:val="0"/>
      <w:jc w:val="right"/>
    </w:pPr>
    <w:rPr>
      <w:rFonts w:cs="Arial"/>
      <w:szCs w:val="18"/>
    </w:rPr>
  </w:style>
  <w:style w:type="paragraph" w:customStyle="1" w:styleId="CopyrightText">
    <w:name w:val="Copyright Text"/>
    <w:basedOn w:val="BodyText"/>
    <w:rsid w:val="00143B3B"/>
    <w:rPr>
      <w:sz w:val="18"/>
    </w:rPr>
  </w:style>
  <w:style w:type="paragraph" w:customStyle="1" w:styleId="BodySmallRight">
    <w:name w:val="Body Small Right"/>
    <w:basedOn w:val="BodyTextRight"/>
    <w:rsid w:val="00143B3B"/>
    <w:rPr>
      <w:sz w:val="18"/>
      <w:szCs w:val="18"/>
    </w:rPr>
  </w:style>
  <w:style w:type="paragraph" w:customStyle="1" w:styleId="MarginEdition">
    <w:name w:val="Margin Edition"/>
    <w:basedOn w:val="MarginNote"/>
    <w:rsid w:val="00143B3B"/>
    <w:pPr>
      <w:spacing w:before="0" w:after="0"/>
    </w:pPr>
    <w:rPr>
      <w:rFonts w:ascii="Times New Roman" w:hAnsi="Times New Roman"/>
      <w:color w:val="999999"/>
    </w:rPr>
  </w:style>
  <w:style w:type="paragraph" w:customStyle="1" w:styleId="Spacer">
    <w:name w:val="Spacer"/>
    <w:basedOn w:val="Normal"/>
    <w:rsid w:val="00143B3B"/>
    <w:rPr>
      <w:sz w:val="2"/>
      <w:szCs w:val="2"/>
    </w:rPr>
  </w:style>
  <w:style w:type="character" w:customStyle="1" w:styleId="Small">
    <w:name w:val="Small"/>
    <w:basedOn w:val="DefaultParagraphFont"/>
    <w:rsid w:val="00143B3B"/>
    <w:rPr>
      <w:sz w:val="16"/>
    </w:rPr>
  </w:style>
  <w:style w:type="paragraph" w:customStyle="1" w:styleId="WideTable">
    <w:name w:val="Wide Table"/>
    <w:basedOn w:val="Normal"/>
    <w:rsid w:val="00143B3B"/>
    <w:pPr>
      <w:ind w:left="-1418"/>
    </w:pPr>
    <w:rPr>
      <w:sz w:val="2"/>
      <w:szCs w:val="2"/>
    </w:rPr>
  </w:style>
  <w:style w:type="character" w:styleId="PageNumber">
    <w:name w:val="page number"/>
    <w:basedOn w:val="DefaultParagraphFont"/>
    <w:rsid w:val="00143B3B"/>
  </w:style>
  <w:style w:type="paragraph" w:styleId="Quote">
    <w:name w:val="Quote"/>
    <w:basedOn w:val="Heading1"/>
    <w:link w:val="QuoteChar"/>
    <w:qFormat/>
    <w:rsid w:val="00143B3B"/>
    <w:rPr>
      <w:b w:val="0"/>
      <w:sz w:val="72"/>
      <w:szCs w:val="72"/>
      <w:lang w:val="en-NZ"/>
    </w:rPr>
  </w:style>
  <w:style w:type="character" w:customStyle="1" w:styleId="QuoteChar">
    <w:name w:val="Quote Char"/>
    <w:basedOn w:val="DefaultParagraphFont"/>
    <w:link w:val="Quote"/>
    <w:rsid w:val="00143B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3B3B"/>
    <w:pPr>
      <w:pageBreakBefore/>
    </w:pPr>
  </w:style>
  <w:style w:type="paragraph" w:customStyle="1" w:styleId="Border">
    <w:name w:val="Border"/>
    <w:basedOn w:val="Normal"/>
    <w:qFormat/>
    <w:rsid w:val="00143B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3B3B"/>
    <w:rPr>
      <w:b/>
      <w:bCs/>
      <w:i/>
      <w:iCs/>
      <w:color w:val="auto"/>
    </w:rPr>
  </w:style>
  <w:style w:type="paragraph" w:styleId="IntenseQuote">
    <w:name w:val="Intense Quote"/>
    <w:basedOn w:val="Normal"/>
    <w:next w:val="Normal"/>
    <w:link w:val="IntenseQuoteChar"/>
    <w:uiPriority w:val="30"/>
    <w:qFormat/>
    <w:rsid w:val="00143B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3B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3B3B"/>
    <w:rPr>
      <w:smallCaps/>
      <w:color w:val="auto"/>
      <w:u w:val="single"/>
    </w:rPr>
  </w:style>
  <w:style w:type="character" w:styleId="IntenseReference">
    <w:name w:val="Intense Reference"/>
    <w:basedOn w:val="DefaultParagraphFont"/>
    <w:uiPriority w:val="32"/>
    <w:qFormat/>
    <w:rsid w:val="00143B3B"/>
    <w:rPr>
      <w:b/>
      <w:bCs/>
      <w:smallCaps/>
      <w:color w:val="auto"/>
      <w:spacing w:val="5"/>
      <w:u w:val="single"/>
    </w:rPr>
  </w:style>
  <w:style w:type="paragraph" w:customStyle="1" w:styleId="2ColumnHeading">
    <w:name w:val="2Column Heading"/>
    <w:basedOn w:val="BodyText"/>
    <w:qFormat/>
    <w:rsid w:val="00143B3B"/>
    <w:pPr>
      <w:spacing w:after="60"/>
      <w:ind w:left="-2268"/>
    </w:pPr>
    <w:rPr>
      <w:b/>
    </w:rPr>
  </w:style>
  <w:style w:type="paragraph" w:customStyle="1" w:styleId="Heading1TOC">
    <w:name w:val="Heading1 TOC"/>
    <w:basedOn w:val="Normal"/>
    <w:qFormat/>
    <w:rsid w:val="00143B3B"/>
    <w:pPr>
      <w:spacing w:before="240" w:after="120"/>
    </w:pPr>
    <w:rPr>
      <w:rFonts w:ascii="Times New Roman" w:hAnsi="Times New Roman"/>
      <w:b/>
      <w:sz w:val="32"/>
    </w:rPr>
  </w:style>
  <w:style w:type="paragraph" w:customStyle="1" w:styleId="Heading2TOC">
    <w:name w:val="Heading2 TOC"/>
    <w:basedOn w:val="Normal"/>
    <w:qFormat/>
    <w:rsid w:val="00143B3B"/>
    <w:pPr>
      <w:spacing w:before="240" w:after="60"/>
    </w:pPr>
    <w:rPr>
      <w:rFonts w:ascii="Times New Roman" w:hAnsi="Times New Roman"/>
      <w:b/>
      <w:sz w:val="28"/>
    </w:rPr>
  </w:style>
  <w:style w:type="character" w:customStyle="1" w:styleId="Underline">
    <w:name w:val="Underline"/>
    <w:basedOn w:val="DefaultParagraphFont"/>
    <w:qFormat/>
    <w:rsid w:val="00143B3B"/>
    <w:rPr>
      <w:u w:val="single"/>
    </w:rPr>
  </w:style>
  <w:style w:type="character" w:customStyle="1" w:styleId="BoldandItalics">
    <w:name w:val="Bold and Italics"/>
    <w:qFormat/>
    <w:rsid w:val="00143B3B"/>
    <w:rPr>
      <w:b/>
      <w:i/>
      <w:u w:val="none"/>
    </w:rPr>
  </w:style>
  <w:style w:type="paragraph" w:styleId="BalloonText">
    <w:name w:val="Balloon Text"/>
    <w:basedOn w:val="Normal"/>
    <w:link w:val="BalloonTextChar"/>
    <w:rsid w:val="00143B3B"/>
    <w:rPr>
      <w:rFonts w:ascii="Tahoma" w:hAnsi="Tahoma" w:cs="Tahoma"/>
      <w:sz w:val="16"/>
      <w:szCs w:val="16"/>
    </w:rPr>
  </w:style>
  <w:style w:type="character" w:customStyle="1" w:styleId="BalloonTextChar">
    <w:name w:val="Balloon Text Char"/>
    <w:basedOn w:val="DefaultParagraphFont"/>
    <w:link w:val="BalloonText"/>
    <w:rsid w:val="00143B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3B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3B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3B3B"/>
    <w:rPr>
      <w:b/>
      <w:color w:val="660033"/>
      <w:spacing w:val="0"/>
    </w:rPr>
  </w:style>
  <w:style w:type="paragraph" w:customStyle="1" w:styleId="Nameditemlist">
    <w:name w:val="Named item list"/>
    <w:basedOn w:val="BodyText"/>
    <w:qFormat/>
    <w:rsid w:val="00143B3B"/>
    <w:pPr>
      <w:tabs>
        <w:tab w:val="left" w:pos="2835"/>
      </w:tabs>
      <w:ind w:left="2835" w:hanging="2835"/>
    </w:pPr>
  </w:style>
  <w:style w:type="paragraph" w:customStyle="1" w:styleId="BodyTextnopadding">
    <w:name w:val="Body Text no padding"/>
    <w:basedOn w:val="BodyText"/>
    <w:qFormat/>
    <w:rsid w:val="00143B3B"/>
    <w:pPr>
      <w:spacing w:before="0" w:after="0"/>
    </w:pPr>
  </w:style>
  <w:style w:type="paragraph" w:customStyle="1" w:styleId="BodyTextBold">
    <w:name w:val="Body Text Bold"/>
    <w:basedOn w:val="BodyText"/>
    <w:qFormat/>
    <w:rsid w:val="00143B3B"/>
    <w:rPr>
      <w:b/>
    </w:rPr>
  </w:style>
  <w:style w:type="character" w:styleId="Hyperlink">
    <w:name w:val="Hyperlink"/>
    <w:basedOn w:val="DefaultParagraphFont"/>
    <w:uiPriority w:val="99"/>
    <w:unhideWhenUsed/>
    <w:rsid w:val="002A42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707</Words>
  <Characters>4398</Characters>
  <Application>Microsoft Office Word</Application>
  <DocSecurity>0</DocSecurity>
  <Lines>219</Lines>
  <Paragraphs>127</Paragraphs>
  <ScaleCrop>false</ScaleCrop>
  <Company>Author-it Software Corporation Ltd.</Company>
  <LinksUpToDate>false</LinksUpToDate>
  <CharactersWithSpaces>4978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MARA008 Contribute to safe anchor handling and towing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2020-10-27T00:58:00Z</dcterms:created>
  <dcterms:modified xsi:type="dcterms:W3CDTF">2020-10-27T00:58:00Z</dcterms:modified>
</cp:coreProperties>
</file>