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DBA" w:rsidP="00497DBA">
      <w:pPr>
        <w:pStyle w:val="Title"/>
      </w:pPr>
      <w:r>
        <w:fldChar w:fldCharType="begin"/>
      </w:r>
      <w:r>
        <w:instrText xml:space="preserve"> TITLE   \* MERGEFORMAT </w:instrText>
      </w:r>
      <w:r>
        <w:fldChar w:fldCharType="separate"/>
      </w:r>
      <w:r>
        <w:t>MARA006 Monitor loading, unloading and stowage of cargo</w:t>
      </w:r>
      <w:r>
        <w:fldChar w:fldCharType="end"/>
      </w:r>
    </w:p>
    <w:p w:rsidR="00497DBA" w:rsidP="00497DBA">
      <w:pPr>
        <w:pStyle w:val="Version"/>
        <w:sectPr w:rsidSect="00BC35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5E7" w:rsidP="00BC35E7">
      <w:pPr>
        <w:pStyle w:val="SuperHeading"/>
      </w:pPr>
      <w:r w:rsidRPr="00BC35E7">
        <w:t>MARA006 Monitor loading, unloading and stowage of cargo</w:t>
      </w:r>
    </w:p>
    <w:p w:rsidR="00000000" w:rsidRPr="00BC35E7" w:rsidP="00BC35E7">
      <w:pPr>
        <w:pStyle w:val="Heading1"/>
      </w:pPr>
      <w:bookmarkStart w:id="1" w:name="O_595656"/>
      <w:bookmarkEnd w:id="1"/>
      <w:r w:rsidRPr="00BC35E7">
        <w:t>Modification History</w:t>
      </w:r>
    </w:p>
    <w:p w:rsidR="00000000" w:rsidRPr="00BC35E7" w:rsidP="00497DBA">
      <w:pPr>
        <w:pStyle w:val="BodyText"/>
      </w:pPr>
      <w:r w:rsidRPr="00BC35E7">
        <w:t>Release 1. New unit of competency.</w:t>
      </w:r>
    </w:p>
    <w:p w:rsidR="00000000" w:rsidRPr="00BC35E7" w:rsidP="00BC35E7">
      <w:pPr>
        <w:pStyle w:val="Heading1"/>
      </w:pPr>
      <w:bookmarkStart w:id="2" w:name="O_595657"/>
      <w:bookmarkEnd w:id="2"/>
      <w:r w:rsidRPr="00BC35E7">
        <w:t>Application</w:t>
      </w:r>
    </w:p>
    <w:p w:rsidR="00000000" w:rsidRPr="00BC35E7" w:rsidP="00497DBA">
      <w:pPr>
        <w:pStyle w:val="BodyText"/>
      </w:pPr>
      <w:r w:rsidRPr="00BC35E7">
        <w:t>This unit involves the skills and knowledge required to monitor the loading, stowage, securing and care of cargo during the voyage and the unloading of car</w:t>
      </w:r>
      <w:r w:rsidRPr="00BC35E7">
        <w:t>go according to the cargo plan, organisational procedures and vessel stowage limitations.</w:t>
      </w:r>
    </w:p>
    <w:p w:rsidR="00000000" w:rsidRPr="00BC35E7" w:rsidP="00497DBA">
      <w:pPr>
        <w:pStyle w:val="BodyText"/>
      </w:pPr>
      <w:r w:rsidRPr="00BC35E7">
        <w:t>This unit applies to the work of a Watchkeeper Deck, Master up to 500 gross tonnage and Master up to 80 metres Near Coastal.</w:t>
      </w:r>
    </w:p>
    <w:p w:rsidR="00000000" w:rsidRPr="00BC35E7" w:rsidP="00497DBA">
      <w:pPr>
        <w:pStyle w:val="BodyText"/>
      </w:pPr>
      <w:r w:rsidRPr="00BC35E7">
        <w:t xml:space="preserve">This unit has links to legislative and </w:t>
      </w:r>
      <w:r w:rsidRPr="00BC35E7">
        <w:t>certification requirements.</w:t>
      </w:r>
    </w:p>
    <w:p w:rsidR="00000000" w:rsidRPr="00BC35E7" w:rsidP="00BC35E7">
      <w:pPr>
        <w:pStyle w:val="Heading1"/>
      </w:pPr>
      <w:bookmarkStart w:id="3" w:name="O_595658"/>
      <w:bookmarkEnd w:id="3"/>
      <w:r w:rsidRPr="00BC35E7">
        <w:t>Pre-requisite Unit</w:t>
      </w:r>
    </w:p>
    <w:p w:rsidR="00000000" w:rsidRPr="00BC35E7" w:rsidP="00497DBA">
      <w:pPr>
        <w:pStyle w:val="BodyText"/>
      </w:pPr>
      <w:r w:rsidRPr="00BC35E7">
        <w:t>Not applicable.</w:t>
      </w:r>
    </w:p>
    <w:p w:rsidR="00000000" w:rsidRPr="00BC35E7" w:rsidP="00BC35E7">
      <w:pPr>
        <w:pStyle w:val="Heading1"/>
      </w:pPr>
      <w:bookmarkStart w:id="4" w:name="O_595659"/>
      <w:bookmarkEnd w:id="4"/>
      <w:r w:rsidRPr="00BC35E7">
        <w:t>Competency Field</w:t>
      </w:r>
    </w:p>
    <w:p w:rsidR="00000000" w:rsidRPr="00BC35E7" w:rsidP="00497DBA">
      <w:pPr>
        <w:pStyle w:val="BodyText"/>
      </w:pPr>
      <w:r w:rsidRPr="00BC35E7">
        <w:t>A – Handling Cargo and Vessel Stability</w:t>
      </w:r>
    </w:p>
    <w:p w:rsidR="00000000" w:rsidRPr="00BC35E7" w:rsidP="00BC35E7">
      <w:pPr>
        <w:pStyle w:val="Heading1"/>
      </w:pPr>
      <w:bookmarkStart w:id="5" w:name="O_595660"/>
      <w:bookmarkEnd w:id="5"/>
      <w:r w:rsidRPr="00BC35E7">
        <w:t>Unit Sector</w:t>
      </w:r>
    </w:p>
    <w:p w:rsidR="00000000" w:rsidRPr="00BC35E7" w:rsidP="00497DBA">
      <w:pPr>
        <w:pStyle w:val="BodyText"/>
      </w:pPr>
      <w:r w:rsidRPr="00BC35E7">
        <w:t>Not applicable.</w:t>
      </w:r>
    </w:p>
    <w:p w:rsidR="00000000" w:rsidRPr="00BC35E7" w:rsidP="00BC35E7">
      <w:pPr>
        <w:pStyle w:val="Heading1"/>
      </w:pPr>
      <w:bookmarkStart w:id="6" w:name="O_595661"/>
      <w:bookmarkEnd w:id="6"/>
      <w:r w:rsidRPr="00BC35E7">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97DB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Elemen</w:t>
            </w:r>
            <w:r w:rsidRPr="00BC35E7">
              <w:t>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Performance criteria describe the performance needed to demonstrate achievement of the element.</w:t>
            </w:r>
          </w:p>
        </w:tc>
      </w:tr>
      <w:tr w:rsidTr="00497DB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C35E7" w:rsidP="00BC35E7">
            <w:pPr>
              <w:pStyle w:val="BodyText"/>
            </w:pPr>
            <w:r w:rsidRPr="00BC35E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rPr>
                <w:rStyle w:val="SpecialBold"/>
              </w:rPr>
              <w:t>Review cargo plan</w:t>
            </w:r>
          </w:p>
        </w:tc>
        <w:tc>
          <w:tcPr>
            <w:tcW w:w="719"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1.1</w:t>
            </w:r>
          </w:p>
        </w:tc>
        <w:tc>
          <w:tcPr>
            <w:tcW w:w="604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Cargo plan is interpreted to determine required cargo operations</w:t>
            </w:r>
          </w:p>
        </w:tc>
      </w:tr>
      <w:tr w:rsidTr="00497D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1.2</w:t>
            </w:r>
          </w:p>
        </w:tc>
        <w:tc>
          <w:tcPr>
            <w:tcW w:w="604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Cargo plan is checked to ensure cargo is evenly distributed</w:t>
            </w:r>
          </w:p>
        </w:tc>
      </w:tr>
      <w:tr w:rsidTr="00497D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1.3</w:t>
            </w:r>
          </w:p>
        </w:tc>
        <w:tc>
          <w:tcPr>
            <w:tcW w:w="604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Cargo plan is assessed to ensure incompatible cargo stowage is avoided</w:t>
            </w:r>
          </w:p>
        </w:tc>
      </w:tr>
      <w:tr w:rsidTr="00497D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1.4</w:t>
            </w:r>
          </w:p>
        </w:tc>
        <w:tc>
          <w:tcPr>
            <w:tcW w:w="604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Cargo plan is evaluated to ensure regulations relating to hazardous materials/dangerous goods are observed, where appropriate</w:t>
            </w:r>
          </w:p>
        </w:tc>
      </w:tr>
      <w:tr w:rsidTr="00497D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1.5</w:t>
            </w:r>
          </w:p>
        </w:tc>
        <w:tc>
          <w:tcPr>
            <w:tcW w:w="604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Cargo plan is checked to ensure unloading sequence is effective</w:t>
            </w:r>
          </w:p>
        </w:tc>
      </w:tr>
      <w:tr w:rsidTr="00497DB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C35E7" w:rsidP="00BC35E7">
            <w:pPr>
              <w:pStyle w:val="BodyText"/>
            </w:pPr>
            <w:r w:rsidRPr="00BC35E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rPr>
                <w:rStyle w:val="SpecialBold"/>
              </w:rPr>
              <w:t>Prepare for loading</w:t>
            </w:r>
          </w:p>
        </w:tc>
        <w:tc>
          <w:tcPr>
            <w:tcW w:w="719"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2.1</w:t>
            </w:r>
          </w:p>
        </w:tc>
        <w:tc>
          <w:tcPr>
            <w:tcW w:w="604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Holds are checked to ensure they</w:t>
            </w:r>
            <w:r w:rsidRPr="00BC35E7">
              <w:t xml:space="preserve"> are clean, dry and free of smell</w:t>
            </w:r>
          </w:p>
        </w:tc>
      </w:tr>
      <w:tr w:rsidTr="00497D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2.2</w:t>
            </w:r>
          </w:p>
        </w:tc>
        <w:tc>
          <w:tcPr>
            <w:tcW w:w="604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 xml:space="preserve">Safety arrangements in holds are verified to ensure they are operational </w:t>
            </w:r>
          </w:p>
        </w:tc>
      </w:tr>
      <w:tr w:rsidTr="00497D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2.3</w:t>
            </w:r>
          </w:p>
        </w:tc>
        <w:tc>
          <w:tcPr>
            <w:tcW w:w="604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Supplies of cargo protection and securing material are reviewed to ensure there are sufficient available</w:t>
            </w:r>
          </w:p>
        </w:tc>
      </w:tr>
      <w:tr w:rsidTr="00497D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2.4</w:t>
            </w:r>
          </w:p>
        </w:tc>
        <w:tc>
          <w:tcPr>
            <w:tcW w:w="604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Bilge suctions are protected before loading</w:t>
            </w:r>
          </w:p>
        </w:tc>
      </w:tr>
      <w:tr w:rsidTr="00497D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2.5</w:t>
            </w:r>
          </w:p>
        </w:tc>
        <w:tc>
          <w:tcPr>
            <w:tcW w:w="604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Checks are made to ensure cargo is correctly identified, inspected and confirmed against documentation</w:t>
            </w:r>
          </w:p>
        </w:tc>
      </w:tr>
      <w:tr w:rsidTr="00497D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2.6</w:t>
            </w:r>
          </w:p>
        </w:tc>
        <w:tc>
          <w:tcPr>
            <w:tcW w:w="604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Preparations for loading are monitored according to stowage plan and organisational procedures</w:t>
            </w:r>
          </w:p>
        </w:tc>
      </w:tr>
      <w:tr w:rsidTr="00497D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2.7</w:t>
            </w:r>
          </w:p>
        </w:tc>
        <w:tc>
          <w:tcPr>
            <w:tcW w:w="604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Ballast discharge plan is identified and understood and appropriate actions to support this plan are undertaken</w:t>
            </w:r>
          </w:p>
        </w:tc>
      </w:tr>
      <w:tr w:rsidTr="00497DB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C35E7" w:rsidP="00BC35E7">
            <w:pPr>
              <w:pStyle w:val="BodyText"/>
            </w:pPr>
            <w:r w:rsidRPr="00BC35E7">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rPr>
                <w:rStyle w:val="SpecialBold"/>
              </w:rPr>
              <w:t>Supervise loading/ unloading of cargo</w:t>
            </w:r>
          </w:p>
        </w:tc>
        <w:tc>
          <w:tcPr>
            <w:tcW w:w="719"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3.1</w:t>
            </w:r>
          </w:p>
        </w:tc>
        <w:tc>
          <w:tcPr>
            <w:tcW w:w="604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 xml:space="preserve">Instructions are given to crew and stevedores involved in cargo loading/unloading according </w:t>
            </w:r>
            <w:r w:rsidRPr="00BC35E7">
              <w:t>to cargo stowage plan</w:t>
            </w:r>
          </w:p>
        </w:tc>
      </w:tr>
      <w:tr w:rsidTr="00497D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3.2</w:t>
            </w:r>
          </w:p>
        </w:tc>
        <w:tc>
          <w:tcPr>
            <w:tcW w:w="604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Compliance with regulations, procedures and instructions pertaining to type of cargo being handled is managed during loading/unloading operations</w:t>
            </w:r>
          </w:p>
        </w:tc>
      </w:tr>
      <w:tr w:rsidTr="00497D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3.3</w:t>
            </w:r>
          </w:p>
        </w:tc>
        <w:tc>
          <w:tcPr>
            <w:tcW w:w="604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Loading/unloading is monitored to ensure the loading rate is not exceeded in the case of bulk or liquid cargo</w:t>
            </w:r>
          </w:p>
        </w:tc>
      </w:tr>
      <w:tr w:rsidTr="00497D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3.4</w:t>
            </w:r>
          </w:p>
        </w:tc>
        <w:tc>
          <w:tcPr>
            <w:tcW w:w="604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Vessel stability is observed during loading/unloading operations</w:t>
            </w:r>
          </w:p>
        </w:tc>
      </w:tr>
      <w:tr w:rsidTr="00497D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3.5</w:t>
            </w:r>
          </w:p>
        </w:tc>
        <w:tc>
          <w:tcPr>
            <w:tcW w:w="604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Loading/unloading operations are checked against stowage plan</w:t>
            </w:r>
          </w:p>
        </w:tc>
      </w:tr>
      <w:tr w:rsidTr="00497D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3.6</w:t>
            </w:r>
          </w:p>
        </w:tc>
        <w:tc>
          <w:tcPr>
            <w:tcW w:w="604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Cargo is secured and lashed according to lashing plan</w:t>
            </w:r>
          </w:p>
        </w:tc>
      </w:tr>
      <w:tr w:rsidTr="00497D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3.7</w:t>
            </w:r>
          </w:p>
        </w:tc>
        <w:tc>
          <w:tcPr>
            <w:tcW w:w="604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Cargo handling documentation is completed according to organisational procedures and regulatory requirements</w:t>
            </w:r>
          </w:p>
        </w:tc>
      </w:tr>
      <w:tr w:rsidTr="00497DB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C35E7" w:rsidP="00BC35E7">
            <w:pPr>
              <w:pStyle w:val="BodyText"/>
            </w:pPr>
            <w:r w:rsidRPr="00BC35E7">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rPr>
                <w:rStyle w:val="SpecialBold"/>
              </w:rPr>
              <w:t xml:space="preserve">Monitor care of </w:t>
            </w:r>
            <w:r w:rsidRPr="00BC35E7">
              <w:rPr>
                <w:rStyle w:val="SpecialBold"/>
              </w:rPr>
              <w:t>cargo during voyage</w:t>
            </w:r>
          </w:p>
        </w:tc>
        <w:tc>
          <w:tcPr>
            <w:tcW w:w="719"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4.1</w:t>
            </w:r>
          </w:p>
        </w:tc>
        <w:tc>
          <w:tcPr>
            <w:tcW w:w="604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Vessel plan for care of cargo during vo</w:t>
            </w:r>
            <w:r w:rsidRPr="00BC35E7">
              <w:t xml:space="preserve">yage is implemented according to organisational and customer requirements, and </w:t>
            </w:r>
            <w:r w:rsidRPr="00BC35E7">
              <w:t>relevant regulations</w:t>
            </w:r>
          </w:p>
        </w:tc>
      </w:tr>
      <w:tr w:rsidTr="00497D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4.2</w:t>
            </w:r>
          </w:p>
        </w:tc>
        <w:tc>
          <w:tcPr>
            <w:tcW w:w="604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Ventilation and humidity control systems are checked</w:t>
            </w:r>
          </w:p>
        </w:tc>
      </w:tr>
      <w:tr w:rsidTr="00497D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4.3</w:t>
            </w:r>
          </w:p>
        </w:tc>
        <w:tc>
          <w:tcPr>
            <w:tcW w:w="604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Actions required to maintain the wellbeing of cargo during the voyage are initiated according to customer requirements and organisational procedures</w:t>
            </w:r>
          </w:p>
        </w:tc>
      </w:tr>
      <w:tr w:rsidTr="00497D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4.4</w:t>
            </w:r>
          </w:p>
        </w:tc>
        <w:tc>
          <w:tcPr>
            <w:tcW w:w="604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Compliance with safety and hazard minimisation procedures and regulations related to cargo care is m</w:t>
            </w:r>
            <w:r w:rsidRPr="00BC35E7">
              <w:t>anaged at all times during the voyage to maintain the safety of personnel, cargo and vessel</w:t>
            </w:r>
          </w:p>
        </w:tc>
      </w:tr>
      <w:tr w:rsidTr="00497DB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4.5</w:t>
            </w:r>
          </w:p>
        </w:tc>
        <w:tc>
          <w:tcPr>
            <w:tcW w:w="6045" w:type="dxa"/>
            <w:tcBorders>
              <w:top w:val="nil"/>
              <w:left w:val="nil"/>
              <w:bottom w:val="nil"/>
              <w:right w:val="nil"/>
            </w:tcBorders>
            <w:tcMar>
              <w:top w:w="0" w:type="dxa"/>
              <w:left w:w="62" w:type="dxa"/>
              <w:bottom w:w="0" w:type="dxa"/>
              <w:right w:w="62" w:type="dxa"/>
            </w:tcMar>
          </w:tcPr>
          <w:p w:rsidR="00000000" w:rsidRPr="00BC35E7" w:rsidP="00BC35E7">
            <w:pPr>
              <w:pStyle w:val="BodyText"/>
            </w:pPr>
            <w:r w:rsidRPr="00BC35E7">
              <w:t>Appropriate action is taken when defects or damage to cargo are detected</w:t>
            </w:r>
          </w:p>
        </w:tc>
      </w:tr>
    </w:tbl>
    <w:p w:rsidR="00000000" w:rsidRPr="00BC35E7" w:rsidP="00BC35E7">
      <w:pPr>
        <w:pStyle w:val="BodyText"/>
      </w:pPr>
    </w:p>
    <w:p w:rsidR="00000000" w:rsidRPr="00BC35E7" w:rsidP="00BC35E7">
      <w:pPr>
        <w:pStyle w:val="AllowPageBreak"/>
      </w:pPr>
    </w:p>
    <w:p w:rsidR="00000000" w:rsidRPr="00BC35E7" w:rsidP="00BC35E7">
      <w:pPr>
        <w:pStyle w:val="Heading1"/>
      </w:pPr>
      <w:bookmarkStart w:id="7" w:name="O_595662"/>
      <w:bookmarkEnd w:id="7"/>
      <w:r w:rsidRPr="00BC35E7">
        <w:t>Foundation Skills</w:t>
      </w:r>
    </w:p>
    <w:tbl>
      <w:tblPr>
        <w:tblW w:w="9498" w:type="dxa"/>
        <w:tblLayout w:type="fixed"/>
        <w:tblCellMar>
          <w:left w:w="62" w:type="dxa"/>
          <w:right w:w="62" w:type="dxa"/>
        </w:tblCellMar>
        <w:tblLook w:val="0000"/>
      </w:tblPr>
      <w:tblGrid>
        <w:gridCol w:w="9498"/>
      </w:tblGrid>
      <w:tr w:rsidTr="00BC35E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This section describes those language, literacy, numeracy and employment skills that are essential to performance.</w:t>
            </w:r>
          </w:p>
        </w:tc>
      </w:tr>
      <w:tr w:rsidTr="00BC35E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C35E7" w:rsidP="00BC35E7">
            <w:pPr>
              <w:pStyle w:val="BodyText"/>
            </w:pPr>
            <w:r w:rsidRPr="00BC35E7">
              <w:t xml:space="preserve">Foundation skills essential to performance are explicit in the performance criteria of this unit of competency. </w:t>
            </w:r>
          </w:p>
        </w:tc>
      </w:tr>
    </w:tbl>
    <w:p w:rsidR="00000000" w:rsidRPr="00BC35E7" w:rsidP="00BC35E7">
      <w:pPr>
        <w:pStyle w:val="BodyText"/>
      </w:pPr>
    </w:p>
    <w:p w:rsidR="00000000" w:rsidRPr="00BC35E7" w:rsidP="00BC35E7">
      <w:pPr>
        <w:pStyle w:val="AllowPageBreak"/>
      </w:pPr>
    </w:p>
    <w:p w:rsidR="00000000" w:rsidRPr="00BC35E7" w:rsidP="00BC35E7">
      <w:pPr>
        <w:pStyle w:val="Heading1"/>
      </w:pPr>
      <w:bookmarkStart w:id="8" w:name="O_595663"/>
      <w:bookmarkEnd w:id="8"/>
      <w:r w:rsidRPr="00BC35E7">
        <w:t>Range of</w:t>
      </w:r>
      <w:r w:rsidRPr="00BC35E7">
        <w:t xml:space="preserve"> Conditions</w:t>
      </w:r>
    </w:p>
    <w:tbl>
      <w:tblPr>
        <w:tblW w:w="9498" w:type="dxa"/>
        <w:tblLayout w:type="fixed"/>
        <w:tblCellMar>
          <w:left w:w="62" w:type="dxa"/>
          <w:right w:w="62" w:type="dxa"/>
        </w:tblCellMar>
        <w:tblLook w:val="0000"/>
      </w:tblPr>
      <w:tblGrid>
        <w:gridCol w:w="2735"/>
        <w:gridCol w:w="6763"/>
      </w:tblGrid>
      <w:tr w:rsidTr="00497DBA">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BC35E7" w:rsidP="00BC35E7">
            <w:pPr>
              <w:pStyle w:val="BodyText"/>
            </w:pPr>
            <w:r w:rsidRPr="00BC35E7">
              <w:t>Specifies different work environments and conditions that may affect performance. Essential operating conditions that may be present (depending on the work situation, needs of the candidate, accessibility of the item, and local industry and reg</w:t>
            </w:r>
            <w:r w:rsidRPr="00BC35E7">
              <w:t>ional contexts) are included.</w:t>
            </w:r>
          </w:p>
          <w:p w:rsidR="00000000" w:rsidRPr="00BC35E7" w:rsidP="00BC35E7">
            <w:pPr>
              <w:pStyle w:val="BodyText"/>
            </w:pPr>
          </w:p>
          <w:p w:rsidR="00000000" w:rsidP="00BC35E7">
            <w:pPr>
              <w:pStyle w:val="BodyText"/>
              <w:rPr>
                <w:lang w:val="en-NZ"/>
              </w:rPr>
            </w:pPr>
            <w:r w:rsidRPr="00BC35E7">
              <w:t>Range is restricted to essential operating conditions and any other variables essential to the work environment.</w:t>
            </w:r>
          </w:p>
        </w:tc>
      </w:tr>
      <w:tr w:rsidTr="00497DB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Cargo plan must include:</w:t>
            </w:r>
          </w:p>
        </w:tc>
        <w:tc>
          <w:tcPr>
            <w:tcW w:w="6763" w:type="dxa"/>
            <w:tcBorders>
              <w:top w:val="nil"/>
              <w:left w:val="nil"/>
              <w:bottom w:val="nil"/>
              <w:right w:val="nil"/>
            </w:tcBorders>
            <w:tcMar>
              <w:top w:w="0" w:type="dxa"/>
              <w:left w:w="62" w:type="dxa"/>
              <w:bottom w:w="0" w:type="dxa"/>
              <w:right w:w="62" w:type="dxa"/>
            </w:tcMar>
          </w:tcPr>
          <w:p w:rsidR="00000000" w:rsidRPr="00BC35E7" w:rsidP="00BC35E7">
            <w:pPr>
              <w:pStyle w:val="ListBullet"/>
            </w:pPr>
            <w:r w:rsidRPr="00BC35E7">
              <w:t>cargo weight</w:t>
            </w:r>
          </w:p>
          <w:p w:rsidR="00000000" w:rsidRPr="00BC35E7" w:rsidP="00BC35E7">
            <w:pPr>
              <w:pStyle w:val="ListBullet"/>
            </w:pPr>
            <w:r w:rsidRPr="00BC35E7">
              <w:t>correct description and stowage of hazardous and dangerous goods</w:t>
            </w:r>
          </w:p>
          <w:p w:rsidR="00000000" w:rsidRPr="00BC35E7" w:rsidP="00BC35E7">
            <w:pPr>
              <w:pStyle w:val="ListBullet"/>
            </w:pPr>
            <w:r w:rsidRPr="00BC35E7">
              <w:t>description of cargo to be loaded</w:t>
            </w:r>
          </w:p>
          <w:p w:rsidR="00000000" w:rsidRPr="00BC35E7" w:rsidP="00BC35E7">
            <w:pPr>
              <w:pStyle w:val="ListBullet"/>
            </w:pPr>
            <w:r w:rsidRPr="00BC35E7">
              <w:t>load/discharge port</w:t>
            </w:r>
          </w:p>
          <w:p w:rsidR="00000000" w:rsidRPr="00BC35E7" w:rsidP="00BC35E7">
            <w:pPr>
              <w:pStyle w:val="ListBullet"/>
            </w:pPr>
            <w:r w:rsidRPr="00BC35E7">
              <w:t>segregation of non compatible cargo</w:t>
            </w:r>
          </w:p>
          <w:p w:rsidR="00000000" w:rsidP="00BC35E7">
            <w:pPr>
              <w:pStyle w:val="ListBullet"/>
              <w:rPr>
                <w:lang w:val="en-NZ"/>
              </w:rPr>
            </w:pPr>
            <w:r w:rsidRPr="00BC35E7">
              <w:t>stowage of refrigerated containers</w:t>
            </w:r>
          </w:p>
        </w:tc>
      </w:tr>
      <w:tr w:rsidTr="00497DB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p>
        </w:tc>
      </w:tr>
      <w:tr w:rsidTr="00497DB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Incompatible cargo stowage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C35E7" w:rsidP="00BC35E7">
            <w:pPr>
              <w:pStyle w:val="ListBullet"/>
            </w:pPr>
            <w:r w:rsidRPr="00BC35E7">
              <w:t xml:space="preserve">cargo liable to taint </w:t>
            </w:r>
          </w:p>
          <w:p w:rsidR="00000000" w:rsidP="00BC35E7">
            <w:pPr>
              <w:pStyle w:val="ListBullet"/>
              <w:rPr>
                <w:lang w:val="en-NZ"/>
              </w:rPr>
            </w:pPr>
            <w:r w:rsidRPr="00BC35E7">
              <w:t>dangerous and hazardous goods</w:t>
            </w:r>
          </w:p>
        </w:tc>
      </w:tr>
      <w:tr w:rsidTr="00497DB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p>
        </w:tc>
      </w:tr>
      <w:tr w:rsidTr="00497DB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Hazardous materials/dangerous goods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P="00BC35E7">
            <w:pPr>
              <w:pStyle w:val="ListBullet"/>
              <w:rPr>
                <w:lang w:val="en-NZ"/>
              </w:rPr>
            </w:pPr>
            <w:r w:rsidRPr="00BC35E7">
              <w:t>any cargo described in the International Maritime Dangerous Goods (IMDG) Code as hazardous or dangerous</w:t>
            </w:r>
          </w:p>
        </w:tc>
      </w:tr>
      <w:tr w:rsidTr="00497DB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p>
        </w:tc>
      </w:tr>
      <w:tr w:rsidTr="00497DB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Cargo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C35E7" w:rsidP="00BC35E7">
            <w:pPr>
              <w:pStyle w:val="ListBullet"/>
            </w:pPr>
            <w:r w:rsidRPr="00BC35E7">
              <w:t>bulk cargo</w:t>
            </w:r>
          </w:p>
          <w:p w:rsidR="00000000" w:rsidRPr="00BC35E7" w:rsidP="00BC35E7">
            <w:pPr>
              <w:pStyle w:val="ListBullet"/>
            </w:pPr>
            <w:r w:rsidRPr="00BC35E7">
              <w:t>containerised c</w:t>
            </w:r>
            <w:r w:rsidRPr="00BC35E7">
              <w:t>argo</w:t>
            </w:r>
          </w:p>
          <w:p w:rsidR="00000000" w:rsidRPr="00BC35E7" w:rsidP="00BC35E7">
            <w:pPr>
              <w:pStyle w:val="ListBullet"/>
            </w:pPr>
            <w:r w:rsidRPr="00BC35E7">
              <w:t>deck cargo</w:t>
            </w:r>
          </w:p>
          <w:p w:rsidR="00000000" w:rsidRPr="00BC35E7" w:rsidP="00BC35E7">
            <w:pPr>
              <w:pStyle w:val="ListBullet"/>
            </w:pPr>
            <w:r w:rsidRPr="00BC35E7">
              <w:t>heavy lift cargo</w:t>
            </w:r>
          </w:p>
          <w:p w:rsidR="00000000" w:rsidRPr="00BC35E7" w:rsidP="00BC35E7">
            <w:pPr>
              <w:pStyle w:val="ListBullet"/>
            </w:pPr>
            <w:r w:rsidRPr="00BC35E7">
              <w:t>liquid cargo</w:t>
            </w:r>
          </w:p>
          <w:p w:rsidR="00000000" w:rsidRPr="00BC35E7" w:rsidP="00BC35E7">
            <w:pPr>
              <w:pStyle w:val="ListBullet"/>
            </w:pPr>
            <w:r w:rsidRPr="00BC35E7">
              <w:t>refrigerated cargo</w:t>
            </w:r>
          </w:p>
          <w:p w:rsidR="00000000" w:rsidP="00BC35E7">
            <w:pPr>
              <w:pStyle w:val="ListBullet"/>
              <w:rPr>
                <w:lang w:val="en-NZ"/>
              </w:rPr>
            </w:pPr>
            <w:r w:rsidRPr="00BC35E7">
              <w:t>any other material, equipment or machinery that may be safely handled and stowed on vessel</w:t>
            </w:r>
          </w:p>
        </w:tc>
      </w:tr>
      <w:tr w:rsidTr="00497DB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p>
        </w:tc>
      </w:tr>
      <w:tr w:rsidTr="00497DB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Cargo handling documentation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C35E7" w:rsidP="00BC35E7">
            <w:pPr>
              <w:pStyle w:val="ListBullet"/>
            </w:pPr>
            <w:r w:rsidRPr="00BC35E7">
              <w:t>cargo gear register</w:t>
            </w:r>
          </w:p>
          <w:p w:rsidR="00000000" w:rsidRPr="00BC35E7" w:rsidP="00BC35E7">
            <w:pPr>
              <w:pStyle w:val="ListBullet"/>
            </w:pPr>
            <w:r w:rsidRPr="00BC35E7">
              <w:t>cargo receipts</w:t>
            </w:r>
          </w:p>
          <w:p w:rsidR="00000000" w:rsidRPr="00BC35E7" w:rsidP="00BC35E7">
            <w:pPr>
              <w:pStyle w:val="ListBullet"/>
            </w:pPr>
            <w:r w:rsidRPr="00BC35E7">
              <w:t>Cargo Securing Manual</w:t>
            </w:r>
          </w:p>
          <w:p w:rsidR="00000000" w:rsidRPr="00BC35E7" w:rsidP="00BC35E7">
            <w:pPr>
              <w:pStyle w:val="ListBullet"/>
            </w:pPr>
            <w:r w:rsidRPr="00BC35E7">
              <w:t>logbook entries</w:t>
            </w:r>
          </w:p>
          <w:p w:rsidR="00000000" w:rsidRPr="00BC35E7" w:rsidP="00BC35E7">
            <w:pPr>
              <w:pStyle w:val="ListBullet"/>
            </w:pPr>
            <w:r w:rsidRPr="00BC35E7">
              <w:t xml:space="preserve">Note of Protest </w:t>
            </w:r>
          </w:p>
          <w:p w:rsidR="00000000" w:rsidRPr="00BC35E7" w:rsidP="00BC35E7">
            <w:pPr>
              <w:pStyle w:val="ListBullet"/>
            </w:pPr>
            <w:r w:rsidRPr="00BC35E7">
              <w:t>Notice of Readiness to load or discharge</w:t>
            </w:r>
          </w:p>
          <w:p w:rsidR="00000000" w:rsidRPr="00BC35E7" w:rsidP="00BC35E7">
            <w:pPr>
              <w:pStyle w:val="ListBullet"/>
            </w:pPr>
            <w:r w:rsidRPr="00BC35E7">
              <w:t xml:space="preserve">operation orders and instructions </w:t>
            </w:r>
          </w:p>
          <w:p w:rsidR="00000000" w:rsidRPr="00BC35E7" w:rsidP="00BC35E7">
            <w:pPr>
              <w:pStyle w:val="ListBullet"/>
            </w:pPr>
            <w:r w:rsidRPr="00BC35E7">
              <w:t>safety data sheets (SDS)/material safety data sheets (MSDS)</w:t>
            </w:r>
          </w:p>
          <w:p w:rsidR="00000000" w:rsidRPr="00BC35E7" w:rsidP="00BC35E7">
            <w:pPr>
              <w:pStyle w:val="ListBullet"/>
            </w:pPr>
            <w:r w:rsidRPr="00BC35E7">
              <w:t>safety management system relating to cargo carriag</w:t>
            </w:r>
            <w:r w:rsidRPr="00BC35E7">
              <w:t>e</w:t>
            </w:r>
          </w:p>
          <w:p w:rsidR="00000000" w:rsidP="00BC35E7">
            <w:pPr>
              <w:pStyle w:val="ListBullet"/>
              <w:rPr>
                <w:lang w:val="en-NZ"/>
              </w:rPr>
            </w:pPr>
            <w:r w:rsidRPr="00BC35E7">
              <w:t>ship/shore safety checklists</w:t>
            </w:r>
          </w:p>
        </w:tc>
      </w:tr>
      <w:tr w:rsidTr="00497DB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p>
        </w:tc>
      </w:tr>
      <w:tr w:rsidTr="00497DB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Actions required to maintain the wellbeing of cargo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C35E7" w:rsidP="00BC35E7">
            <w:pPr>
              <w:pStyle w:val="ListBullet"/>
            </w:pPr>
            <w:r w:rsidRPr="00BC35E7">
              <w:t>maintaining adequate ventilation</w:t>
            </w:r>
          </w:p>
          <w:p w:rsidR="00000000" w:rsidRPr="00BC35E7" w:rsidP="00BC35E7">
            <w:pPr>
              <w:pStyle w:val="ListBullet"/>
            </w:pPr>
            <w:r w:rsidRPr="00BC35E7">
              <w:t xml:space="preserve">monitoring cargo spaces </w:t>
            </w:r>
          </w:p>
          <w:p w:rsidR="00000000" w:rsidP="00BC35E7">
            <w:pPr>
              <w:pStyle w:val="ListBullet"/>
              <w:rPr>
                <w:lang w:val="en-NZ"/>
              </w:rPr>
            </w:pPr>
            <w:r w:rsidRPr="00BC35E7">
              <w:t>temperature control of refrigerated or cooled cargo</w:t>
            </w:r>
          </w:p>
        </w:tc>
      </w:tr>
      <w:tr w:rsidTr="00497DB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p>
        </w:tc>
      </w:tr>
      <w:tr w:rsidTr="00497DB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C35E7">
            <w:pPr>
              <w:pStyle w:val="BodyText"/>
              <w:rPr>
                <w:lang w:val="en-NZ"/>
              </w:rPr>
            </w:pPr>
            <w:r w:rsidRPr="00BC35E7">
              <w:t>Defects or damage to cargo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C35E7" w:rsidP="00BC35E7">
            <w:pPr>
              <w:pStyle w:val="ListBullet"/>
            </w:pPr>
            <w:r w:rsidRPr="00BC35E7">
              <w:t>damage caused by cargo movement</w:t>
            </w:r>
          </w:p>
          <w:p w:rsidR="00000000" w:rsidRPr="00BC35E7" w:rsidP="00BC35E7">
            <w:pPr>
              <w:pStyle w:val="ListBullet"/>
            </w:pPr>
            <w:r w:rsidRPr="00BC35E7">
              <w:t xml:space="preserve">deterioration of perishable cargo </w:t>
            </w:r>
          </w:p>
          <w:p w:rsidR="00000000" w:rsidRPr="00BC35E7" w:rsidP="00BC35E7">
            <w:pPr>
              <w:pStyle w:val="ListBullet"/>
            </w:pPr>
            <w:r w:rsidRPr="00BC35E7">
              <w:t>water ingress</w:t>
            </w:r>
          </w:p>
        </w:tc>
      </w:tr>
    </w:tbl>
    <w:p w:rsidR="00000000" w:rsidRPr="00BC35E7" w:rsidP="00BC35E7">
      <w:pPr>
        <w:pStyle w:val="BodyText"/>
      </w:pPr>
    </w:p>
    <w:p w:rsidR="00000000" w:rsidRPr="00BC35E7" w:rsidP="00BC35E7">
      <w:pPr>
        <w:pStyle w:val="AllowPageBreak"/>
      </w:pPr>
    </w:p>
    <w:p w:rsidR="00000000" w:rsidRPr="00BC35E7" w:rsidP="00BC35E7">
      <w:pPr>
        <w:pStyle w:val="Heading1"/>
      </w:pPr>
      <w:bookmarkStart w:id="9" w:name="O_595664"/>
      <w:bookmarkEnd w:id="9"/>
      <w:r w:rsidRPr="00BC35E7">
        <w:t>Unit Mapping Information</w:t>
      </w:r>
    </w:p>
    <w:p w:rsidR="00000000" w:rsidRPr="00BC35E7" w:rsidP="00497DBA">
      <w:pPr>
        <w:pStyle w:val="BodyText"/>
      </w:pPr>
      <w:r w:rsidRPr="00BC35E7">
        <w:t>This is a new unit. This unit is equivalent to MARA5002A Monitor loading, unloading and stowage of cargo.</w:t>
      </w:r>
    </w:p>
    <w:p w:rsidR="00000000" w:rsidRPr="00BC35E7" w:rsidP="00BC35E7">
      <w:pPr>
        <w:pStyle w:val="Heading1"/>
      </w:pPr>
      <w:bookmarkStart w:id="10" w:name="O_595671"/>
      <w:bookmarkEnd w:id="10"/>
      <w:r w:rsidRPr="00BC35E7">
        <w:t>Links</w:t>
      </w:r>
    </w:p>
    <w:p w:rsidR="00000000" w:rsidRPr="00BC35E7" w:rsidP="00497DBA">
      <w:pPr>
        <w:pStyle w:val="BodyText"/>
      </w:pPr>
      <w:r w:rsidRPr="00BC35E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43D52">
        <w:rPr>
          <w:rStyle w:val="Hyperlink"/>
        </w:rPr>
        <w:t>https://vetnet.gov.au/Pages/TrainingDocs.aspx?q=772efb7b-4cce-47fe-9bbd-ee3b1d1eb4c2</w:t>
      </w:r>
      <w:r>
        <w:fldChar w:fldCharType="end"/>
      </w:r>
    </w:p>
    <w:p w:rsidR="00000000" w:rsidRPr="00BC35E7" w:rsidP="00BC35E7"/>
    <w:sectPr w:rsidSect="00BC35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E7" w:rsidRPr="00497DBA" w:rsidP="00497D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DBA" w:rsidP="00BC35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7DBA" w:rsidP="00BC35E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97DBA" w:rsidP="00BC35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D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35E7" w:rsidRPr="00497DBA" w:rsidP="00497D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DBA" w:rsidRPr="002D2AF8" w:rsidP="00BC35E7">
    <w:pPr>
      <w:pStyle w:val="Header"/>
      <w:framePr w:wrap="around"/>
    </w:pPr>
    <w:r>
      <w:fldChar w:fldCharType="begin"/>
    </w:r>
    <w:r>
      <w:instrText xml:space="preserve"> TITLE   \* MERGEFORMAT </w:instrText>
    </w:r>
    <w:r>
      <w:fldChar w:fldCharType="separate"/>
    </w:r>
    <w:r>
      <w:t>MARA006 Monitor loading, unloading and stowage of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497DBA" w:rsidP="00BC35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582C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021F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5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35E7"/>
    <w:pPr>
      <w:spacing w:before="360" w:after="60"/>
      <w:outlineLvl w:val="0"/>
    </w:pPr>
    <w:rPr>
      <w:sz w:val="32"/>
    </w:rPr>
  </w:style>
  <w:style w:type="paragraph" w:styleId="Heading2">
    <w:name w:val="heading 2"/>
    <w:basedOn w:val="HeadingBase"/>
    <w:next w:val="BodyText"/>
    <w:link w:val="Heading2Char"/>
    <w:qFormat/>
    <w:rsid w:val="00BC35E7"/>
    <w:pPr>
      <w:keepLines/>
      <w:spacing w:before="240" w:after="120"/>
      <w:outlineLvl w:val="1"/>
    </w:pPr>
    <w:rPr>
      <w:sz w:val="28"/>
      <w:szCs w:val="40"/>
    </w:rPr>
  </w:style>
  <w:style w:type="paragraph" w:styleId="Heading3">
    <w:name w:val="heading 3"/>
    <w:basedOn w:val="HeadingBase"/>
    <w:next w:val="BodyText"/>
    <w:link w:val="Heading3Char"/>
    <w:qFormat/>
    <w:rsid w:val="00BC35E7"/>
    <w:pPr>
      <w:spacing w:before="180" w:after="120"/>
      <w:outlineLvl w:val="2"/>
    </w:pPr>
    <w:rPr>
      <w:spacing w:val="-10"/>
      <w:kern w:val="32"/>
    </w:rPr>
  </w:style>
  <w:style w:type="paragraph" w:styleId="Heading4">
    <w:name w:val="heading 4"/>
    <w:basedOn w:val="HeadingBase"/>
    <w:next w:val="BodyText"/>
    <w:link w:val="Heading4Char"/>
    <w:qFormat/>
    <w:rsid w:val="00BC35E7"/>
    <w:pPr>
      <w:spacing w:before="160" w:after="120"/>
      <w:outlineLvl w:val="3"/>
    </w:pPr>
    <w:rPr>
      <w:sz w:val="22"/>
    </w:rPr>
  </w:style>
  <w:style w:type="paragraph" w:styleId="Heading5">
    <w:name w:val="heading 5"/>
    <w:basedOn w:val="HeadingBase"/>
    <w:next w:val="Normal"/>
    <w:link w:val="Heading5Char"/>
    <w:qFormat/>
    <w:rsid w:val="00BC35E7"/>
    <w:pPr>
      <w:spacing w:before="80"/>
      <w:outlineLvl w:val="4"/>
    </w:pPr>
    <w:rPr>
      <w:color w:val="918585"/>
      <w:sz w:val="20"/>
    </w:rPr>
  </w:style>
  <w:style w:type="paragraph" w:styleId="Heading6">
    <w:name w:val="heading 6"/>
    <w:basedOn w:val="HeadingBase"/>
    <w:next w:val="Normal"/>
    <w:link w:val="Heading6Char"/>
    <w:qFormat/>
    <w:rsid w:val="00BC35E7"/>
    <w:pPr>
      <w:spacing w:before="60"/>
      <w:outlineLvl w:val="5"/>
    </w:pPr>
    <w:rPr>
      <w:color w:val="918585"/>
      <w:sz w:val="20"/>
    </w:rPr>
  </w:style>
  <w:style w:type="paragraph" w:styleId="Heading7">
    <w:name w:val="heading 7"/>
    <w:basedOn w:val="Normal"/>
    <w:next w:val="Normal"/>
    <w:link w:val="Heading7Char"/>
    <w:qFormat/>
    <w:rsid w:val="00BC35E7"/>
    <w:pPr>
      <w:ind w:left="720"/>
      <w:outlineLvl w:val="6"/>
    </w:pPr>
    <w:rPr>
      <w:i/>
    </w:rPr>
  </w:style>
  <w:style w:type="paragraph" w:styleId="Heading8">
    <w:name w:val="heading 8"/>
    <w:basedOn w:val="Normal"/>
    <w:next w:val="Normal"/>
    <w:link w:val="Heading8Char"/>
    <w:qFormat/>
    <w:rsid w:val="00BC35E7"/>
    <w:pPr>
      <w:ind w:left="720"/>
      <w:outlineLvl w:val="7"/>
    </w:pPr>
    <w:rPr>
      <w:i/>
    </w:rPr>
  </w:style>
  <w:style w:type="paragraph" w:styleId="Heading9">
    <w:name w:val="heading 9"/>
    <w:basedOn w:val="Normal"/>
    <w:next w:val="Normal"/>
    <w:link w:val="Heading9Char"/>
    <w:qFormat/>
    <w:rsid w:val="00BC35E7"/>
    <w:pPr>
      <w:ind w:left="720"/>
      <w:outlineLvl w:val="8"/>
    </w:pPr>
    <w:rPr>
      <w:i/>
    </w:rPr>
  </w:style>
  <w:style w:type="character" w:default="1" w:styleId="DefaultParagraphFont">
    <w:name w:val="Default Paragraph Font"/>
    <w:uiPriority w:val="1"/>
    <w:unhideWhenUsed/>
    <w:rsid w:val="00BC35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5E7"/>
  </w:style>
  <w:style w:type="character" w:customStyle="1" w:styleId="Heading1Char">
    <w:name w:val="Heading 1 Char"/>
    <w:basedOn w:val="DefaultParagraphFont"/>
    <w:link w:val="Heading1"/>
    <w:rsid w:val="00BC35E7"/>
    <w:rPr>
      <w:rFonts w:ascii="Times New Roman" w:eastAsia="Times New Roman" w:hAnsi="Times New Roman" w:cs="Times New Roman"/>
      <w:b/>
      <w:sz w:val="32"/>
      <w:szCs w:val="20"/>
      <w:lang w:eastAsia="en-US"/>
    </w:rPr>
  </w:style>
  <w:style w:type="paragraph" w:styleId="BodyText">
    <w:name w:val="Body Text"/>
    <w:basedOn w:val="Normal"/>
    <w:link w:val="BodyTextChar"/>
    <w:rsid w:val="00BC35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35E7"/>
    <w:rPr>
      <w:rFonts w:ascii="Times New Roman" w:eastAsia="Times New Roman" w:hAnsi="Times New Roman" w:cs="Times New Roman"/>
      <w:sz w:val="24"/>
      <w:lang w:eastAsia="en-US"/>
    </w:rPr>
  </w:style>
  <w:style w:type="paragraph" w:styleId="ListBullet">
    <w:name w:val="List Bullet"/>
    <w:basedOn w:val="List"/>
    <w:rsid w:val="00BC35E7"/>
    <w:pPr>
      <w:numPr>
        <w:numId w:val="11"/>
      </w:numPr>
      <w:tabs>
        <w:tab w:val="clear" w:pos="340"/>
      </w:tabs>
      <w:spacing w:before="40" w:after="40"/>
    </w:pPr>
  </w:style>
  <w:style w:type="character" w:customStyle="1" w:styleId="SpecialBold">
    <w:name w:val="Special Bold"/>
    <w:basedOn w:val="DefaultParagraphFont"/>
    <w:rsid w:val="00BC35E7"/>
    <w:rPr>
      <w:b/>
      <w:spacing w:val="0"/>
    </w:rPr>
  </w:style>
  <w:style w:type="paragraph" w:customStyle="1" w:styleId="SuperHeading">
    <w:name w:val="SuperHeading"/>
    <w:basedOn w:val="Normal"/>
    <w:rsid w:val="00BC35E7"/>
    <w:pPr>
      <w:spacing w:before="240" w:after="120"/>
      <w:outlineLvl w:val="0"/>
    </w:pPr>
    <w:rPr>
      <w:rFonts w:ascii="Times New Roman" w:hAnsi="Times New Roman"/>
      <w:b/>
      <w:sz w:val="32"/>
    </w:rPr>
  </w:style>
  <w:style w:type="paragraph" w:customStyle="1" w:styleId="AllowPageBreak">
    <w:name w:val="AllowPageBreak"/>
    <w:rsid w:val="00BC35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35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5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5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5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5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5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35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35E7"/>
    <w:rPr>
      <w:rFonts w:ascii="Courier New" w:eastAsia="Times New Roman" w:hAnsi="Courier New" w:cs="Times New Roman"/>
      <w:i/>
      <w:szCs w:val="20"/>
      <w:lang w:eastAsia="en-US"/>
    </w:rPr>
  </w:style>
  <w:style w:type="paragraph" w:customStyle="1" w:styleId="HeadingBase">
    <w:name w:val="Heading Base"/>
    <w:rsid w:val="00BC35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5E7"/>
    <w:pPr>
      <w:tabs>
        <w:tab w:val="right" w:leader="dot" w:pos="9072"/>
      </w:tabs>
      <w:ind w:left="567"/>
    </w:pPr>
    <w:rPr>
      <w:szCs w:val="22"/>
    </w:rPr>
  </w:style>
  <w:style w:type="paragraph" w:customStyle="1" w:styleId="TOCBase">
    <w:name w:val="TOC Base"/>
    <w:rsid w:val="00BC35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5E7"/>
    <w:pPr>
      <w:tabs>
        <w:tab w:val="right" w:leader="dot" w:pos="9072"/>
      </w:tabs>
      <w:spacing w:before="40" w:after="40"/>
      <w:ind w:left="284"/>
    </w:pPr>
    <w:rPr>
      <w:rFonts w:ascii="Times New Roman" w:hAnsi="Times New Roman"/>
    </w:rPr>
  </w:style>
  <w:style w:type="paragraph" w:styleId="TOC1">
    <w:name w:val="toc 1"/>
    <w:basedOn w:val="TOCBase"/>
    <w:next w:val="Normal"/>
    <w:rsid w:val="00BC35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35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5E7"/>
    <w:rPr>
      <w:rFonts w:ascii="Times New Roman" w:eastAsia="Times New Roman" w:hAnsi="Times New Roman" w:cs="Times New Roman"/>
      <w:sz w:val="16"/>
      <w:lang w:eastAsia="en-US"/>
    </w:rPr>
  </w:style>
  <w:style w:type="paragraph" w:styleId="Title">
    <w:name w:val="Title"/>
    <w:basedOn w:val="HeadingBase"/>
    <w:link w:val="TitleChar"/>
    <w:qFormat/>
    <w:rsid w:val="00BC35E7"/>
    <w:pPr>
      <w:spacing w:before="5040"/>
      <w:jc w:val="center"/>
    </w:pPr>
    <w:rPr>
      <w:sz w:val="48"/>
      <w:szCs w:val="72"/>
      <w:lang w:val="en-US"/>
    </w:rPr>
  </w:style>
  <w:style w:type="character" w:customStyle="1" w:styleId="TitleChar">
    <w:name w:val="Title Char"/>
    <w:basedOn w:val="DefaultParagraphFont"/>
    <w:link w:val="Title"/>
    <w:rsid w:val="00BC35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5E7"/>
    <w:pPr>
      <w:tabs>
        <w:tab w:val="left" w:pos="3600"/>
        <w:tab w:val="left" w:pos="3958"/>
      </w:tabs>
    </w:pPr>
  </w:style>
  <w:style w:type="paragraph" w:styleId="List">
    <w:name w:val="List"/>
    <w:basedOn w:val="BodyText"/>
    <w:next w:val="BodyText"/>
    <w:rsid w:val="00BC35E7"/>
    <w:pPr>
      <w:tabs>
        <w:tab w:val="left" w:pos="340"/>
      </w:tabs>
      <w:spacing w:before="60" w:after="60"/>
      <w:ind w:left="340" w:hanging="340"/>
    </w:pPr>
  </w:style>
  <w:style w:type="paragraph" w:customStyle="1" w:styleId="Note">
    <w:name w:val="Note"/>
    <w:basedOn w:val="BodyText"/>
    <w:rsid w:val="00BC35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35E7"/>
    <w:pPr>
      <w:framePr w:wrap="auto" w:hAnchor="text" w:y="6049"/>
    </w:pPr>
    <w:rPr>
      <w:color w:val="000000"/>
      <w:sz w:val="40"/>
    </w:rPr>
  </w:style>
  <w:style w:type="paragraph" w:customStyle="1" w:styleId="TOCTitle">
    <w:name w:val="TOCTitle"/>
    <w:basedOn w:val="Heading1"/>
    <w:rsid w:val="00BC35E7"/>
    <w:pPr>
      <w:spacing w:after="240"/>
      <w:jc w:val="center"/>
      <w:outlineLvl w:val="9"/>
    </w:pPr>
    <w:rPr>
      <w:caps/>
    </w:rPr>
  </w:style>
  <w:style w:type="paragraph" w:customStyle="1" w:styleId="Version">
    <w:name w:val="Version"/>
    <w:rsid w:val="00BC35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35E7"/>
    <w:pPr>
      <w:numPr>
        <w:numId w:val="12"/>
      </w:numPr>
      <w:tabs>
        <w:tab w:val="clear" w:pos="680"/>
      </w:tabs>
    </w:pPr>
  </w:style>
  <w:style w:type="paragraph" w:styleId="Index1">
    <w:name w:val="index 1"/>
    <w:basedOn w:val="Normal"/>
    <w:next w:val="Normal"/>
    <w:semiHidden/>
    <w:rsid w:val="00BC35E7"/>
    <w:pPr>
      <w:keepNext w:val="0"/>
      <w:tabs>
        <w:tab w:val="right" w:pos="4176"/>
      </w:tabs>
      <w:ind w:left="198" w:hanging="198"/>
    </w:pPr>
    <w:rPr>
      <w:rFonts w:ascii="Garamond" w:hAnsi="Garamond"/>
    </w:rPr>
  </w:style>
  <w:style w:type="paragraph" w:styleId="IndexHeading">
    <w:name w:val="index heading"/>
    <w:basedOn w:val="Normal"/>
    <w:next w:val="Index1"/>
    <w:semiHidden/>
    <w:rsid w:val="00BC35E7"/>
    <w:pPr>
      <w:spacing w:before="120" w:after="120"/>
    </w:pPr>
    <w:rPr>
      <w:rFonts w:ascii="Arial" w:hAnsi="Arial"/>
      <w:b/>
      <w:color w:val="918585"/>
      <w:sz w:val="24"/>
    </w:rPr>
  </w:style>
  <w:style w:type="paragraph" w:styleId="Header">
    <w:name w:val="header"/>
    <w:basedOn w:val="Normal"/>
    <w:link w:val="HeaderChar"/>
    <w:rsid w:val="00BC35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5E7"/>
    <w:rPr>
      <w:rFonts w:ascii="Times New Roman" w:eastAsia="Times New Roman" w:hAnsi="Times New Roman" w:cs="Times New Roman"/>
      <w:sz w:val="16"/>
      <w:szCs w:val="20"/>
      <w:lang w:val="en-GB" w:eastAsia="en-US"/>
    </w:rPr>
  </w:style>
  <w:style w:type="paragraph" w:customStyle="1" w:styleId="Chapter">
    <w:name w:val="Chapter"/>
    <w:basedOn w:val="Normal"/>
    <w:rsid w:val="00BC35E7"/>
    <w:pPr>
      <w:spacing w:before="240"/>
    </w:pPr>
    <w:rPr>
      <w:rFonts w:ascii="Times New Roman" w:hAnsi="Times New Roman"/>
      <w:smallCaps/>
      <w:spacing w:val="80"/>
      <w:sz w:val="28"/>
    </w:rPr>
  </w:style>
  <w:style w:type="paragraph" w:customStyle="1" w:styleId="InChapter">
    <w:name w:val="InChapter"/>
    <w:basedOn w:val="Heading3"/>
    <w:rsid w:val="00BC35E7"/>
    <w:pPr>
      <w:spacing w:after="240"/>
      <w:outlineLvl w:val="9"/>
    </w:pPr>
    <w:rPr>
      <w:noProof/>
    </w:rPr>
  </w:style>
  <w:style w:type="paragraph" w:styleId="Index2">
    <w:name w:val="index 2"/>
    <w:basedOn w:val="Normal"/>
    <w:next w:val="Normal"/>
    <w:semiHidden/>
    <w:rsid w:val="00BC35E7"/>
    <w:pPr>
      <w:tabs>
        <w:tab w:val="right" w:pos="4176"/>
      </w:tabs>
      <w:ind w:left="568" w:hanging="284"/>
    </w:pPr>
    <w:rPr>
      <w:rFonts w:ascii="Garamond" w:hAnsi="Garamond"/>
    </w:rPr>
  </w:style>
  <w:style w:type="paragraph" w:customStyle="1" w:styleId="Byline">
    <w:name w:val="Byline"/>
    <w:rsid w:val="00BC35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5E7"/>
    <w:pPr>
      <w:tabs>
        <w:tab w:val="clear" w:pos="3600"/>
        <w:tab w:val="clear" w:pos="3958"/>
      </w:tabs>
      <w:jc w:val="right"/>
    </w:pPr>
  </w:style>
  <w:style w:type="character" w:styleId="Emphasis">
    <w:name w:val="Emphasis"/>
    <w:basedOn w:val="DefaultParagraphFont"/>
    <w:qFormat/>
    <w:rsid w:val="00BC35E7"/>
    <w:rPr>
      <w:i/>
    </w:rPr>
  </w:style>
  <w:style w:type="paragraph" w:styleId="Caption">
    <w:name w:val="caption"/>
    <w:basedOn w:val="BodyText"/>
    <w:next w:val="Normal"/>
    <w:qFormat/>
    <w:rsid w:val="00BC35E7"/>
    <w:pPr>
      <w:framePr w:w="2268" w:hSpace="181" w:vSpace="181" w:wrap="around" w:vAnchor="text" w:hAnchor="page" w:x="1135" w:y="285" w:anchorLock="1"/>
    </w:pPr>
    <w:rPr>
      <w:i/>
    </w:rPr>
  </w:style>
  <w:style w:type="paragraph" w:customStyle="1" w:styleId="MiniTOCTitle">
    <w:name w:val="MiniTOCTitle"/>
    <w:basedOn w:val="Heading4"/>
    <w:rsid w:val="00BC35E7"/>
    <w:pPr>
      <w:spacing w:before="240"/>
      <w:outlineLvl w:val="9"/>
    </w:pPr>
    <w:rPr>
      <w:noProof/>
      <w:sz w:val="24"/>
    </w:rPr>
  </w:style>
  <w:style w:type="paragraph" w:customStyle="1" w:styleId="MiniTOCItem">
    <w:name w:val="MiniTOCItem"/>
    <w:basedOn w:val="ListBullet"/>
    <w:rsid w:val="00BC35E7"/>
    <w:pPr>
      <w:numPr>
        <w:numId w:val="0"/>
      </w:numPr>
      <w:tabs>
        <w:tab w:val="right" w:leader="dot" w:pos="6521"/>
      </w:tabs>
      <w:spacing w:before="0" w:after="0"/>
    </w:pPr>
  </w:style>
  <w:style w:type="paragraph" w:customStyle="1" w:styleId="TOFTitle">
    <w:name w:val="TOFTitle"/>
    <w:basedOn w:val="TOCTitle"/>
    <w:rsid w:val="00BC35E7"/>
  </w:style>
  <w:style w:type="paragraph" w:styleId="TableofFigures">
    <w:name w:val="table of figures"/>
    <w:basedOn w:val="Normal"/>
    <w:next w:val="Normal"/>
    <w:semiHidden/>
    <w:rsid w:val="00BC35E7"/>
    <w:pPr>
      <w:tabs>
        <w:tab w:val="right" w:leader="dot" w:pos="9072"/>
      </w:tabs>
      <w:ind w:left="970" w:hanging="403"/>
    </w:pPr>
    <w:rPr>
      <w:rFonts w:ascii="Times New Roman" w:hAnsi="Times New Roman"/>
      <w:b/>
    </w:rPr>
  </w:style>
  <w:style w:type="paragraph" w:styleId="ListNumber">
    <w:name w:val="List Number"/>
    <w:basedOn w:val="List"/>
    <w:rsid w:val="00BC35E7"/>
    <w:pPr>
      <w:numPr>
        <w:numId w:val="14"/>
      </w:numPr>
      <w:tabs>
        <w:tab w:val="clear" w:pos="340"/>
      </w:tabs>
    </w:pPr>
  </w:style>
  <w:style w:type="character" w:customStyle="1" w:styleId="WingdingSymbols">
    <w:name w:val="Wingding Symbols"/>
    <w:rsid w:val="00BC35E7"/>
    <w:rPr>
      <w:rFonts w:ascii="Wingdings" w:hAnsi="Wingdings"/>
    </w:rPr>
  </w:style>
  <w:style w:type="paragraph" w:customStyle="1" w:styleId="TableHeading">
    <w:name w:val="Table Heading"/>
    <w:basedOn w:val="HeadingBase"/>
    <w:rsid w:val="00BC35E7"/>
    <w:pPr>
      <w:keepLines/>
      <w:pBdr>
        <w:bottom w:val="single" w:sz="6" w:space="1" w:color="918585"/>
      </w:pBdr>
      <w:spacing w:before="240"/>
    </w:pPr>
  </w:style>
  <w:style w:type="character" w:customStyle="1" w:styleId="HotSpot">
    <w:name w:val="HotSpot"/>
    <w:rsid w:val="00BC35E7"/>
    <w:rPr>
      <w:color w:val="0033CC"/>
      <w:u w:val="none"/>
    </w:rPr>
  </w:style>
  <w:style w:type="paragraph" w:customStyle="1" w:styleId="BodyTextRight">
    <w:name w:val="Body Text Right"/>
    <w:basedOn w:val="BodyText"/>
    <w:rsid w:val="00BC35E7"/>
    <w:pPr>
      <w:spacing w:before="0" w:after="0"/>
      <w:jc w:val="right"/>
    </w:pPr>
  </w:style>
  <w:style w:type="paragraph" w:styleId="Index3">
    <w:name w:val="index 3"/>
    <w:basedOn w:val="ListNumber2"/>
    <w:next w:val="Normal"/>
    <w:semiHidden/>
    <w:rsid w:val="00BC35E7"/>
    <w:pPr>
      <w:numPr>
        <w:numId w:val="0"/>
      </w:numPr>
      <w:tabs>
        <w:tab w:val="right" w:leader="dot" w:pos="4176"/>
      </w:tabs>
    </w:pPr>
  </w:style>
  <w:style w:type="paragraph" w:styleId="ListNumber2">
    <w:name w:val="List Number 2"/>
    <w:basedOn w:val="List2"/>
    <w:rsid w:val="00BC35E7"/>
    <w:pPr>
      <w:numPr>
        <w:numId w:val="9"/>
      </w:numPr>
      <w:tabs>
        <w:tab w:val="clear" w:pos="1060"/>
      </w:tabs>
    </w:pPr>
  </w:style>
  <w:style w:type="paragraph" w:customStyle="1" w:styleId="MarginNote">
    <w:name w:val="Margin Note"/>
    <w:basedOn w:val="BodyText"/>
    <w:rsid w:val="00BC35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5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5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35E7"/>
    <w:rPr>
      <w:sz w:val="32"/>
    </w:rPr>
  </w:style>
  <w:style w:type="paragraph" w:customStyle="1" w:styleId="HeadingProcedure">
    <w:name w:val="Heading Procedure"/>
    <w:basedOn w:val="HeadingBase"/>
    <w:next w:val="Normal"/>
    <w:rsid w:val="00BC35E7"/>
    <w:pPr>
      <w:tabs>
        <w:tab w:val="left" w:pos="0"/>
      </w:tabs>
      <w:spacing w:before="120" w:after="60"/>
    </w:pPr>
    <w:rPr>
      <w:i/>
      <w:color w:val="918585"/>
      <w:sz w:val="22"/>
    </w:rPr>
  </w:style>
  <w:style w:type="paragraph" w:customStyle="1" w:styleId="TableBodyText">
    <w:name w:val="Table Body Text"/>
    <w:basedOn w:val="BodyText"/>
    <w:rsid w:val="00BC35E7"/>
    <w:pPr>
      <w:spacing w:before="60" w:after="60"/>
    </w:pPr>
  </w:style>
  <w:style w:type="paragraph" w:styleId="ListContinue">
    <w:name w:val="List Continue"/>
    <w:basedOn w:val="List"/>
    <w:rsid w:val="00BC35E7"/>
    <w:pPr>
      <w:ind w:firstLine="0"/>
    </w:pPr>
  </w:style>
  <w:style w:type="paragraph" w:customStyle="1" w:styleId="ListNote">
    <w:name w:val="List Note"/>
    <w:basedOn w:val="List"/>
    <w:rsid w:val="00BC35E7"/>
    <w:pPr>
      <w:pBdr>
        <w:top w:val="single" w:sz="6" w:space="2" w:color="918585"/>
        <w:bottom w:val="single" w:sz="6" w:space="2" w:color="918585"/>
      </w:pBdr>
      <w:tabs>
        <w:tab w:val="left" w:pos="1021"/>
      </w:tabs>
      <w:ind w:firstLine="0"/>
    </w:pPr>
  </w:style>
  <w:style w:type="paragraph" w:customStyle="1" w:styleId="Warning">
    <w:name w:val="Warning"/>
    <w:basedOn w:val="BodyText"/>
    <w:rsid w:val="00BC35E7"/>
    <w:pPr>
      <w:shd w:val="clear" w:color="auto" w:fill="D9D9D9"/>
      <w:tabs>
        <w:tab w:val="left" w:pos="992"/>
      </w:tabs>
      <w:ind w:left="119" w:right="119"/>
    </w:pPr>
    <w:rPr>
      <w:sz w:val="20"/>
    </w:rPr>
  </w:style>
  <w:style w:type="paragraph" w:customStyle="1" w:styleId="MarginIcons">
    <w:name w:val="Margin Icons"/>
    <w:basedOn w:val="BodyText"/>
    <w:rsid w:val="00BC35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5E7"/>
    <w:rPr>
      <w:rFonts w:ascii="Courier New" w:hAnsi="Courier New"/>
    </w:rPr>
  </w:style>
  <w:style w:type="paragraph" w:customStyle="1" w:styleId="NoteBullet">
    <w:name w:val="Note Bullet"/>
    <w:basedOn w:val="Note"/>
    <w:rsid w:val="00BC35E7"/>
    <w:pPr>
      <w:tabs>
        <w:tab w:val="clear" w:pos="680"/>
      </w:tabs>
      <w:spacing w:before="60" w:after="60"/>
    </w:pPr>
  </w:style>
  <w:style w:type="paragraph" w:customStyle="1" w:styleId="SubHeading2">
    <w:name w:val="SubHeading2"/>
    <w:basedOn w:val="HeadingBase"/>
    <w:rsid w:val="00BC35E7"/>
    <w:pPr>
      <w:spacing w:before="240" w:after="60"/>
    </w:pPr>
    <w:rPr>
      <w:sz w:val="20"/>
    </w:rPr>
  </w:style>
  <w:style w:type="paragraph" w:customStyle="1" w:styleId="SubHeading1">
    <w:name w:val="SubHeading1"/>
    <w:basedOn w:val="HeadingBase"/>
    <w:rsid w:val="00BC35E7"/>
    <w:pPr>
      <w:spacing w:before="240" w:after="60"/>
    </w:pPr>
    <w:rPr>
      <w:color w:val="918585"/>
      <w:sz w:val="22"/>
    </w:rPr>
  </w:style>
  <w:style w:type="paragraph" w:customStyle="1" w:styleId="SideHeading">
    <w:name w:val="Side Heading"/>
    <w:basedOn w:val="HeadingBase"/>
    <w:rsid w:val="00BC35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5E7"/>
    <w:pPr>
      <w:numPr>
        <w:numId w:val="10"/>
      </w:numPr>
    </w:pPr>
  </w:style>
  <w:style w:type="paragraph" w:styleId="PlainText">
    <w:name w:val="Plain Text"/>
    <w:basedOn w:val="Normal"/>
    <w:link w:val="PlainTextChar"/>
    <w:rsid w:val="00BC35E7"/>
    <w:rPr>
      <w:sz w:val="20"/>
    </w:rPr>
  </w:style>
  <w:style w:type="character" w:customStyle="1" w:styleId="PlainTextChar">
    <w:name w:val="Plain Text Char"/>
    <w:basedOn w:val="DefaultParagraphFont"/>
    <w:link w:val="PlainText"/>
    <w:rsid w:val="00BC35E7"/>
    <w:rPr>
      <w:rFonts w:ascii="Courier New" w:eastAsia="Times New Roman" w:hAnsi="Courier New" w:cs="Times New Roman"/>
      <w:sz w:val="20"/>
      <w:szCs w:val="20"/>
      <w:lang w:eastAsia="en-US"/>
    </w:rPr>
  </w:style>
  <w:style w:type="character" w:customStyle="1" w:styleId="MenuOption">
    <w:name w:val="Menu Option"/>
    <w:basedOn w:val="DefaultParagraphFont"/>
    <w:rsid w:val="00BC35E7"/>
    <w:rPr>
      <w:b/>
      <w:smallCaps/>
    </w:rPr>
  </w:style>
  <w:style w:type="paragraph" w:customStyle="1" w:styleId="TableListNumber">
    <w:name w:val="Table List Number"/>
    <w:basedOn w:val="ListNumber"/>
    <w:rsid w:val="00BC35E7"/>
    <w:pPr>
      <w:numPr>
        <w:numId w:val="0"/>
      </w:numPr>
    </w:pPr>
  </w:style>
  <w:style w:type="paragraph" w:styleId="TOC4">
    <w:name w:val="toc 4"/>
    <w:basedOn w:val="TOCBase"/>
    <w:next w:val="Normal"/>
    <w:semiHidden/>
    <w:rsid w:val="00BC35E7"/>
    <w:pPr>
      <w:tabs>
        <w:tab w:val="right" w:leader="dot" w:pos="9071"/>
      </w:tabs>
      <w:ind w:left="1701"/>
    </w:pPr>
  </w:style>
  <w:style w:type="paragraph" w:customStyle="1" w:styleId="ListAlpha">
    <w:name w:val="List Alpha"/>
    <w:basedOn w:val="List"/>
    <w:rsid w:val="00BC35E7"/>
    <w:pPr>
      <w:numPr>
        <w:numId w:val="8"/>
      </w:numPr>
    </w:pPr>
  </w:style>
  <w:style w:type="paragraph" w:customStyle="1" w:styleId="ListAlpha2">
    <w:name w:val="List Alpha 2"/>
    <w:basedOn w:val="List2"/>
    <w:rsid w:val="00BC35E7"/>
    <w:pPr>
      <w:numPr>
        <w:numId w:val="7"/>
      </w:numPr>
    </w:pPr>
  </w:style>
  <w:style w:type="paragraph" w:styleId="List2">
    <w:name w:val="List 2"/>
    <w:basedOn w:val="BodyText"/>
    <w:rsid w:val="00BC35E7"/>
    <w:pPr>
      <w:tabs>
        <w:tab w:val="left" w:pos="680"/>
      </w:tabs>
      <w:spacing w:before="60" w:after="60"/>
      <w:ind w:left="680" w:hanging="340"/>
    </w:pPr>
  </w:style>
  <w:style w:type="paragraph" w:styleId="List3">
    <w:name w:val="List 3"/>
    <w:basedOn w:val="BodyText"/>
    <w:rsid w:val="00BC35E7"/>
    <w:pPr>
      <w:tabs>
        <w:tab w:val="left" w:pos="1021"/>
      </w:tabs>
      <w:spacing w:before="60" w:after="60"/>
      <w:ind w:left="1020" w:hanging="340"/>
    </w:pPr>
  </w:style>
  <w:style w:type="paragraph" w:styleId="List4">
    <w:name w:val="List 4"/>
    <w:basedOn w:val="BodyText"/>
    <w:rsid w:val="00BC35E7"/>
    <w:pPr>
      <w:tabs>
        <w:tab w:val="left" w:pos="1361"/>
      </w:tabs>
      <w:spacing w:before="60" w:after="60"/>
      <w:ind w:left="1361" w:hanging="340"/>
    </w:pPr>
  </w:style>
  <w:style w:type="paragraph" w:styleId="List5">
    <w:name w:val="List 5"/>
    <w:basedOn w:val="BodyText"/>
    <w:rsid w:val="00BC35E7"/>
    <w:pPr>
      <w:tabs>
        <w:tab w:val="left" w:pos="1701"/>
      </w:tabs>
      <w:spacing w:before="60" w:after="60"/>
      <w:ind w:left="1701" w:hanging="340"/>
    </w:pPr>
  </w:style>
  <w:style w:type="paragraph" w:styleId="ListBullet3">
    <w:name w:val="List Bullet 3"/>
    <w:basedOn w:val="List3"/>
    <w:rsid w:val="00BC35E7"/>
    <w:pPr>
      <w:numPr>
        <w:numId w:val="13"/>
      </w:numPr>
      <w:tabs>
        <w:tab w:val="clear" w:pos="1021"/>
      </w:tabs>
      <w:ind w:left="1037" w:hanging="357"/>
    </w:pPr>
  </w:style>
  <w:style w:type="paragraph" w:styleId="ListBullet4">
    <w:name w:val="List Bullet 4"/>
    <w:basedOn w:val="List4"/>
    <w:rsid w:val="00BC35E7"/>
    <w:pPr>
      <w:numPr>
        <w:numId w:val="2"/>
      </w:numPr>
      <w:tabs>
        <w:tab w:val="clear" w:pos="1361"/>
      </w:tabs>
    </w:pPr>
  </w:style>
  <w:style w:type="paragraph" w:styleId="ListBullet5">
    <w:name w:val="List Bullet 5"/>
    <w:basedOn w:val="List5"/>
    <w:rsid w:val="00BC35E7"/>
    <w:pPr>
      <w:numPr>
        <w:numId w:val="3"/>
      </w:numPr>
    </w:pPr>
  </w:style>
  <w:style w:type="paragraph" w:styleId="ListContinue2">
    <w:name w:val="List Continue 2"/>
    <w:basedOn w:val="List2"/>
    <w:rsid w:val="00BC35E7"/>
    <w:pPr>
      <w:ind w:firstLine="0"/>
    </w:pPr>
  </w:style>
  <w:style w:type="paragraph" w:styleId="ListContinue3">
    <w:name w:val="List Continue 3"/>
    <w:basedOn w:val="List3"/>
    <w:rsid w:val="00BC35E7"/>
    <w:pPr>
      <w:ind w:left="1021" w:firstLine="0"/>
    </w:pPr>
  </w:style>
  <w:style w:type="paragraph" w:styleId="ListContinue4">
    <w:name w:val="List Continue 4"/>
    <w:basedOn w:val="List4"/>
    <w:rsid w:val="00BC35E7"/>
    <w:pPr>
      <w:ind w:firstLine="0"/>
    </w:pPr>
  </w:style>
  <w:style w:type="paragraph" w:styleId="ListContinue5">
    <w:name w:val="List Continue 5"/>
    <w:basedOn w:val="List5"/>
    <w:rsid w:val="00BC35E7"/>
    <w:pPr>
      <w:ind w:firstLine="0"/>
    </w:pPr>
  </w:style>
  <w:style w:type="paragraph" w:styleId="ListNumber3">
    <w:name w:val="List Number 3"/>
    <w:basedOn w:val="List3"/>
    <w:rsid w:val="00BC35E7"/>
    <w:pPr>
      <w:numPr>
        <w:numId w:val="4"/>
      </w:numPr>
    </w:pPr>
  </w:style>
  <w:style w:type="paragraph" w:styleId="ListNumber4">
    <w:name w:val="List Number 4"/>
    <w:basedOn w:val="List4"/>
    <w:rsid w:val="00BC35E7"/>
    <w:pPr>
      <w:numPr>
        <w:numId w:val="5"/>
      </w:numPr>
    </w:pPr>
  </w:style>
  <w:style w:type="paragraph" w:styleId="ListNumber5">
    <w:name w:val="List Number 5"/>
    <w:basedOn w:val="List5"/>
    <w:rsid w:val="00BC35E7"/>
    <w:pPr>
      <w:numPr>
        <w:numId w:val="6"/>
      </w:numPr>
    </w:pPr>
  </w:style>
  <w:style w:type="paragraph" w:styleId="BlockText">
    <w:name w:val="Block Text"/>
    <w:basedOn w:val="Normal"/>
    <w:rsid w:val="00BC35E7"/>
    <w:pPr>
      <w:spacing w:after="120"/>
      <w:ind w:left="1440" w:right="1440"/>
    </w:pPr>
  </w:style>
  <w:style w:type="character" w:customStyle="1" w:styleId="Subscript">
    <w:name w:val="Subscript"/>
    <w:basedOn w:val="DefaultParagraphFont"/>
    <w:rsid w:val="00BC35E7"/>
    <w:rPr>
      <w:sz w:val="16"/>
      <w:vertAlign w:val="subscript"/>
    </w:rPr>
  </w:style>
  <w:style w:type="character" w:customStyle="1" w:styleId="Superscript">
    <w:name w:val="Superscript"/>
    <w:basedOn w:val="DefaultParagraphFont"/>
    <w:rsid w:val="00BC35E7"/>
    <w:rPr>
      <w:sz w:val="16"/>
      <w:vertAlign w:val="superscript"/>
    </w:rPr>
  </w:style>
  <w:style w:type="character" w:customStyle="1" w:styleId="Symbols">
    <w:name w:val="Symbols"/>
    <w:basedOn w:val="DefaultParagraphFont"/>
    <w:rsid w:val="00BC35E7"/>
    <w:rPr>
      <w:rFonts w:ascii="Symbol" w:hAnsi="Symbol"/>
    </w:rPr>
  </w:style>
  <w:style w:type="character" w:customStyle="1" w:styleId="MenuOptions">
    <w:name w:val="Menu Options"/>
    <w:basedOn w:val="DefaultParagraphFont"/>
    <w:rsid w:val="00BC35E7"/>
    <w:rPr>
      <w:rFonts w:ascii="Arial Narrow" w:hAnsi="Arial Narrow"/>
      <w:smallCaps/>
    </w:rPr>
  </w:style>
  <w:style w:type="character" w:customStyle="1" w:styleId="Buttons">
    <w:name w:val="Buttons"/>
    <w:basedOn w:val="DefaultParagraphFont"/>
    <w:rsid w:val="00BC35E7"/>
    <w:rPr>
      <w:b/>
    </w:rPr>
  </w:style>
  <w:style w:type="character" w:customStyle="1" w:styleId="Underlined">
    <w:name w:val="Underlined"/>
    <w:basedOn w:val="DefaultParagraphFont"/>
    <w:rsid w:val="00BC35E7"/>
    <w:rPr>
      <w:u w:val="single"/>
    </w:rPr>
  </w:style>
  <w:style w:type="paragraph" w:customStyle="1" w:styleId="TableBodyTextRight">
    <w:name w:val="Table Body Text Right"/>
    <w:basedOn w:val="TableBodyText"/>
    <w:rsid w:val="00BC35E7"/>
    <w:pPr>
      <w:widowControl w:val="0"/>
      <w:autoSpaceDE w:val="0"/>
      <w:autoSpaceDN w:val="0"/>
      <w:adjustRightInd w:val="0"/>
      <w:jc w:val="right"/>
    </w:pPr>
    <w:rPr>
      <w:rFonts w:cs="Arial"/>
      <w:szCs w:val="18"/>
    </w:rPr>
  </w:style>
  <w:style w:type="paragraph" w:customStyle="1" w:styleId="CopyrightText">
    <w:name w:val="Copyright Text"/>
    <w:basedOn w:val="BodyText"/>
    <w:rsid w:val="00BC35E7"/>
    <w:rPr>
      <w:sz w:val="18"/>
    </w:rPr>
  </w:style>
  <w:style w:type="paragraph" w:customStyle="1" w:styleId="BodySmallRight">
    <w:name w:val="Body Small Right"/>
    <w:basedOn w:val="BodyTextRight"/>
    <w:rsid w:val="00BC35E7"/>
    <w:rPr>
      <w:sz w:val="18"/>
      <w:szCs w:val="18"/>
    </w:rPr>
  </w:style>
  <w:style w:type="paragraph" w:customStyle="1" w:styleId="MarginEdition">
    <w:name w:val="Margin Edition"/>
    <w:basedOn w:val="MarginNote"/>
    <w:rsid w:val="00BC35E7"/>
    <w:pPr>
      <w:spacing w:before="0" w:after="0"/>
    </w:pPr>
    <w:rPr>
      <w:rFonts w:ascii="Times New Roman" w:hAnsi="Times New Roman"/>
      <w:color w:val="999999"/>
    </w:rPr>
  </w:style>
  <w:style w:type="paragraph" w:customStyle="1" w:styleId="Spacer">
    <w:name w:val="Spacer"/>
    <w:basedOn w:val="Normal"/>
    <w:rsid w:val="00BC35E7"/>
    <w:rPr>
      <w:sz w:val="2"/>
      <w:szCs w:val="2"/>
    </w:rPr>
  </w:style>
  <w:style w:type="character" w:customStyle="1" w:styleId="Small">
    <w:name w:val="Small"/>
    <w:basedOn w:val="DefaultParagraphFont"/>
    <w:rsid w:val="00BC35E7"/>
    <w:rPr>
      <w:sz w:val="16"/>
    </w:rPr>
  </w:style>
  <w:style w:type="paragraph" w:customStyle="1" w:styleId="WideTable">
    <w:name w:val="Wide Table"/>
    <w:basedOn w:val="Normal"/>
    <w:rsid w:val="00BC35E7"/>
    <w:pPr>
      <w:ind w:left="-1418"/>
    </w:pPr>
    <w:rPr>
      <w:sz w:val="2"/>
      <w:szCs w:val="2"/>
    </w:rPr>
  </w:style>
  <w:style w:type="character" w:styleId="PageNumber">
    <w:name w:val="page number"/>
    <w:basedOn w:val="DefaultParagraphFont"/>
    <w:rsid w:val="00BC35E7"/>
  </w:style>
  <w:style w:type="paragraph" w:styleId="Quote">
    <w:name w:val="Quote"/>
    <w:basedOn w:val="Heading1"/>
    <w:link w:val="QuoteChar"/>
    <w:qFormat/>
    <w:rsid w:val="00BC35E7"/>
    <w:rPr>
      <w:b w:val="0"/>
      <w:sz w:val="72"/>
      <w:szCs w:val="72"/>
      <w:lang w:val="en-NZ"/>
    </w:rPr>
  </w:style>
  <w:style w:type="character" w:customStyle="1" w:styleId="QuoteChar">
    <w:name w:val="Quote Char"/>
    <w:basedOn w:val="DefaultParagraphFont"/>
    <w:link w:val="Quote"/>
    <w:rsid w:val="00BC35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5E7"/>
    <w:pPr>
      <w:pageBreakBefore/>
    </w:pPr>
  </w:style>
  <w:style w:type="paragraph" w:customStyle="1" w:styleId="Border">
    <w:name w:val="Border"/>
    <w:basedOn w:val="Normal"/>
    <w:qFormat/>
    <w:rsid w:val="00BC35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5E7"/>
    <w:rPr>
      <w:b/>
      <w:bCs/>
      <w:i/>
      <w:iCs/>
      <w:color w:val="auto"/>
    </w:rPr>
  </w:style>
  <w:style w:type="paragraph" w:styleId="IntenseQuote">
    <w:name w:val="Intense Quote"/>
    <w:basedOn w:val="Normal"/>
    <w:next w:val="Normal"/>
    <w:link w:val="IntenseQuoteChar"/>
    <w:uiPriority w:val="30"/>
    <w:qFormat/>
    <w:rsid w:val="00BC35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5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35E7"/>
    <w:rPr>
      <w:smallCaps/>
      <w:color w:val="auto"/>
      <w:u w:val="single"/>
    </w:rPr>
  </w:style>
  <w:style w:type="character" w:styleId="IntenseReference">
    <w:name w:val="Intense Reference"/>
    <w:basedOn w:val="DefaultParagraphFont"/>
    <w:uiPriority w:val="32"/>
    <w:qFormat/>
    <w:rsid w:val="00BC35E7"/>
    <w:rPr>
      <w:b/>
      <w:bCs/>
      <w:smallCaps/>
      <w:color w:val="auto"/>
      <w:spacing w:val="5"/>
      <w:u w:val="single"/>
    </w:rPr>
  </w:style>
  <w:style w:type="paragraph" w:customStyle="1" w:styleId="2ColumnHeading">
    <w:name w:val="2Column Heading"/>
    <w:basedOn w:val="BodyText"/>
    <w:qFormat/>
    <w:rsid w:val="00BC35E7"/>
    <w:pPr>
      <w:spacing w:after="60"/>
      <w:ind w:left="-2268"/>
    </w:pPr>
    <w:rPr>
      <w:b/>
    </w:rPr>
  </w:style>
  <w:style w:type="paragraph" w:customStyle="1" w:styleId="Heading1TOC">
    <w:name w:val="Heading1 TOC"/>
    <w:basedOn w:val="Normal"/>
    <w:qFormat/>
    <w:rsid w:val="00BC35E7"/>
    <w:pPr>
      <w:spacing w:before="240" w:after="120"/>
    </w:pPr>
    <w:rPr>
      <w:rFonts w:ascii="Times New Roman" w:hAnsi="Times New Roman"/>
      <w:b/>
      <w:sz w:val="32"/>
    </w:rPr>
  </w:style>
  <w:style w:type="paragraph" w:customStyle="1" w:styleId="Heading2TOC">
    <w:name w:val="Heading2 TOC"/>
    <w:basedOn w:val="Normal"/>
    <w:qFormat/>
    <w:rsid w:val="00BC35E7"/>
    <w:pPr>
      <w:spacing w:before="240" w:after="60"/>
    </w:pPr>
    <w:rPr>
      <w:rFonts w:ascii="Times New Roman" w:hAnsi="Times New Roman"/>
      <w:b/>
      <w:sz w:val="28"/>
    </w:rPr>
  </w:style>
  <w:style w:type="character" w:customStyle="1" w:styleId="Underline">
    <w:name w:val="Underline"/>
    <w:basedOn w:val="DefaultParagraphFont"/>
    <w:qFormat/>
    <w:rsid w:val="00BC35E7"/>
    <w:rPr>
      <w:u w:val="single"/>
    </w:rPr>
  </w:style>
  <w:style w:type="character" w:customStyle="1" w:styleId="BoldandItalics">
    <w:name w:val="Bold and Italics"/>
    <w:qFormat/>
    <w:rsid w:val="00BC35E7"/>
    <w:rPr>
      <w:b/>
      <w:i/>
      <w:u w:val="none"/>
    </w:rPr>
  </w:style>
  <w:style w:type="paragraph" w:styleId="BalloonText">
    <w:name w:val="Balloon Text"/>
    <w:basedOn w:val="Normal"/>
    <w:link w:val="BalloonTextChar"/>
    <w:rsid w:val="00BC35E7"/>
    <w:rPr>
      <w:rFonts w:ascii="Tahoma" w:hAnsi="Tahoma" w:cs="Tahoma"/>
      <w:sz w:val="16"/>
      <w:szCs w:val="16"/>
    </w:rPr>
  </w:style>
  <w:style w:type="character" w:customStyle="1" w:styleId="BalloonTextChar">
    <w:name w:val="Balloon Text Char"/>
    <w:basedOn w:val="DefaultParagraphFont"/>
    <w:link w:val="BalloonText"/>
    <w:rsid w:val="00BC35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35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35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35E7"/>
    <w:rPr>
      <w:b/>
      <w:color w:val="660033"/>
      <w:spacing w:val="0"/>
    </w:rPr>
  </w:style>
  <w:style w:type="paragraph" w:customStyle="1" w:styleId="Nameditemlist">
    <w:name w:val="Named item list"/>
    <w:basedOn w:val="BodyText"/>
    <w:qFormat/>
    <w:rsid w:val="00BC35E7"/>
    <w:pPr>
      <w:tabs>
        <w:tab w:val="left" w:pos="2835"/>
      </w:tabs>
      <w:ind w:left="2835" w:hanging="2835"/>
    </w:pPr>
  </w:style>
  <w:style w:type="paragraph" w:customStyle="1" w:styleId="BodyTextnopadding">
    <w:name w:val="Body Text no padding"/>
    <w:basedOn w:val="BodyText"/>
    <w:qFormat/>
    <w:rsid w:val="00BC35E7"/>
    <w:pPr>
      <w:spacing w:before="0" w:after="0"/>
    </w:pPr>
  </w:style>
  <w:style w:type="paragraph" w:customStyle="1" w:styleId="BodyTextBold">
    <w:name w:val="Body Text Bold"/>
    <w:basedOn w:val="BodyText"/>
    <w:qFormat/>
    <w:rsid w:val="00BC35E7"/>
    <w:rPr>
      <w:b/>
    </w:rPr>
  </w:style>
  <w:style w:type="character" w:styleId="Hyperlink">
    <w:name w:val="Hyperlink"/>
    <w:basedOn w:val="DefaultParagraphFont"/>
    <w:uiPriority w:val="99"/>
    <w:unhideWhenUsed/>
    <w:rsid w:val="00497D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870</Words>
  <Characters>5198</Characters>
  <Application>Microsoft Office Word</Application>
  <DocSecurity>0</DocSecurity>
  <Lines>259</Lines>
  <Paragraphs>147</Paragraphs>
  <ScaleCrop>false</ScaleCrop>
  <Company>Author-it Software Corporation Ltd.</Company>
  <LinksUpToDate>false</LinksUpToDate>
  <CharactersWithSpaces>5921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MARA006 Monitor loading, unloading and stowage of cargo</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2020-10-27T01:35:00Z</dcterms:created>
  <dcterms:modified xsi:type="dcterms:W3CDTF">2020-10-27T01:35:00Z</dcterms:modified>
</cp:coreProperties>
</file>