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33A4" w:rsidP="00F933A4">
      <w:pPr>
        <w:pStyle w:val="Title"/>
      </w:pPr>
      <w:r>
        <w:fldChar w:fldCharType="begin"/>
      </w:r>
      <w:r>
        <w:instrText xml:space="preserve"> TITLE   \* MERGEFORMAT </w:instrText>
      </w:r>
      <w:r>
        <w:fldChar w:fldCharType="separate"/>
      </w:r>
      <w:r>
        <w:t>MARA003 Manage loading, discharging and stowing of cargo</w:t>
      </w:r>
      <w:r>
        <w:fldChar w:fldCharType="end"/>
      </w:r>
    </w:p>
    <w:p w:rsidR="00F933A4" w:rsidP="00F933A4">
      <w:pPr>
        <w:pStyle w:val="Version"/>
        <w:sectPr w:rsidSect="000933D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933DE" w:rsidP="000933DE">
      <w:pPr>
        <w:pStyle w:val="SuperHeading"/>
      </w:pPr>
      <w:r w:rsidRPr="000933DE">
        <w:t>MARA003 Manage loading, discharging and stowing of cargo</w:t>
      </w:r>
    </w:p>
    <w:p w:rsidR="00000000" w:rsidRPr="000933DE" w:rsidP="000933DE">
      <w:pPr>
        <w:pStyle w:val="Heading1"/>
      </w:pPr>
      <w:bookmarkStart w:id="1" w:name="O_595243"/>
      <w:bookmarkEnd w:id="1"/>
      <w:r w:rsidRPr="000933DE">
        <w:t>Modification History</w:t>
      </w:r>
    </w:p>
    <w:p w:rsidR="00000000" w:rsidRPr="000933DE" w:rsidP="00F933A4">
      <w:pPr>
        <w:pStyle w:val="BodyText"/>
      </w:pPr>
      <w:r w:rsidRPr="000933DE">
        <w:t>Release 1. New unit of competency.</w:t>
      </w:r>
    </w:p>
    <w:p w:rsidR="00000000" w:rsidRPr="000933DE" w:rsidP="000933DE">
      <w:pPr>
        <w:pStyle w:val="Heading1"/>
      </w:pPr>
      <w:bookmarkStart w:id="2" w:name="O_595244"/>
      <w:bookmarkEnd w:id="2"/>
      <w:r w:rsidRPr="000933DE">
        <w:t>Application</w:t>
      </w:r>
    </w:p>
    <w:p w:rsidR="00000000" w:rsidRPr="000933DE" w:rsidP="00F933A4">
      <w:pPr>
        <w:pStyle w:val="BodyText"/>
      </w:pPr>
      <w:r w:rsidRPr="000933DE">
        <w:t>This unit involves the skills and knowledge required to manage the loading, discharging and stowage of cargo to prevent damage or deterioration and to deli</w:t>
      </w:r>
      <w:r w:rsidRPr="000933DE">
        <w:t>ver it, as far as is possible, in as good a condition and order as it was when received aboard.</w:t>
      </w:r>
    </w:p>
    <w:p w:rsidR="00000000" w:rsidRPr="000933DE" w:rsidP="00F933A4">
      <w:pPr>
        <w:pStyle w:val="BodyText"/>
      </w:pPr>
      <w:r w:rsidRPr="000933DE">
        <w:t>This unit applies to people working in the maritime industry in the capacity of Master on a range of vessels up to 80 metres.</w:t>
      </w:r>
    </w:p>
    <w:p w:rsidR="00000000" w:rsidRPr="000933DE" w:rsidP="00F933A4">
      <w:pPr>
        <w:pStyle w:val="BodyText"/>
      </w:pPr>
      <w:r w:rsidRPr="000933DE">
        <w:t>This unit has links to legislative</w:t>
      </w:r>
      <w:r w:rsidRPr="000933DE">
        <w:t xml:space="preserve"> and certification requirements.</w:t>
      </w:r>
    </w:p>
    <w:p w:rsidR="00000000" w:rsidRPr="000933DE" w:rsidP="000933DE">
      <w:pPr>
        <w:pStyle w:val="Heading1"/>
      </w:pPr>
      <w:bookmarkStart w:id="3" w:name="O_595245"/>
      <w:bookmarkEnd w:id="3"/>
      <w:r w:rsidRPr="000933DE">
        <w:t>Pre-requisite Unit</w:t>
      </w:r>
    </w:p>
    <w:p w:rsidR="00000000" w:rsidRPr="000933DE" w:rsidP="00F933A4">
      <w:pPr>
        <w:pStyle w:val="BodyText"/>
      </w:pPr>
      <w:r w:rsidRPr="000933DE">
        <w:t>Not applicable.</w:t>
      </w:r>
    </w:p>
    <w:p w:rsidR="00000000" w:rsidRPr="000933DE" w:rsidP="000933DE">
      <w:pPr>
        <w:pStyle w:val="Heading1"/>
      </w:pPr>
      <w:bookmarkStart w:id="4" w:name="O_595246"/>
      <w:bookmarkEnd w:id="4"/>
      <w:r w:rsidRPr="000933DE">
        <w:t>Competency Field</w:t>
      </w:r>
    </w:p>
    <w:p w:rsidR="00000000" w:rsidRPr="000933DE" w:rsidP="00F933A4">
      <w:pPr>
        <w:pStyle w:val="BodyText"/>
      </w:pPr>
      <w:r w:rsidRPr="000933DE">
        <w:t>A – Handling Cargo and Vessel Stability</w:t>
      </w:r>
    </w:p>
    <w:p w:rsidR="00000000" w:rsidRPr="000933DE" w:rsidP="000933DE">
      <w:pPr>
        <w:pStyle w:val="Heading1"/>
      </w:pPr>
      <w:bookmarkStart w:id="5" w:name="O_595247"/>
      <w:bookmarkEnd w:id="5"/>
      <w:r w:rsidRPr="000933DE">
        <w:t>Unit Sector</w:t>
      </w:r>
    </w:p>
    <w:p w:rsidR="00000000" w:rsidRPr="000933DE" w:rsidP="00F933A4">
      <w:pPr>
        <w:pStyle w:val="BodyText"/>
      </w:pPr>
      <w:r w:rsidRPr="000933DE">
        <w:t>Not applicable.</w:t>
      </w:r>
    </w:p>
    <w:p w:rsidR="00000000" w:rsidRPr="000933DE" w:rsidP="000933DE">
      <w:pPr>
        <w:pStyle w:val="Heading1"/>
      </w:pPr>
      <w:bookmarkStart w:id="6" w:name="O_595248"/>
      <w:bookmarkEnd w:id="6"/>
      <w:r w:rsidRPr="000933DE">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F933A4">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0933DE">
            <w:pPr>
              <w:pStyle w:val="BodyText"/>
              <w:rPr>
                <w:lang w:val="en-NZ"/>
              </w:rPr>
            </w:pPr>
            <w:r w:rsidRPr="000933DE">
              <w:t>E</w:t>
            </w:r>
            <w:r w:rsidRPr="000933DE">
              <w:t>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0933DE">
            <w:pPr>
              <w:pStyle w:val="BodyText"/>
              <w:rPr>
                <w:lang w:val="en-NZ"/>
              </w:rPr>
            </w:pPr>
            <w:r w:rsidRPr="000933DE">
              <w:t>Performance criteria describe the performance needed to demonstrate achievement of the element.</w:t>
            </w:r>
          </w:p>
        </w:tc>
      </w:tr>
      <w:tr w:rsidTr="00F933A4">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0933DE" w:rsidP="000933DE">
            <w:pPr>
              <w:pStyle w:val="BodyText"/>
            </w:pPr>
            <w:r w:rsidRPr="000933DE">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0933DE">
            <w:pPr>
              <w:pStyle w:val="BodyText"/>
              <w:rPr>
                <w:lang w:val="en-NZ"/>
              </w:rPr>
            </w:pPr>
            <w:r w:rsidRPr="000933DE">
              <w:rPr>
                <w:rStyle w:val="SpecialBold"/>
              </w:rPr>
              <w:t>Plan the stow</w:t>
            </w:r>
          </w:p>
        </w:tc>
        <w:tc>
          <w:tcPr>
            <w:tcW w:w="719" w:type="dxa"/>
            <w:tcBorders>
              <w:top w:val="nil"/>
              <w:left w:val="nil"/>
              <w:bottom w:val="nil"/>
              <w:right w:val="nil"/>
            </w:tcBorders>
            <w:tcMar>
              <w:top w:w="0" w:type="dxa"/>
              <w:left w:w="62" w:type="dxa"/>
              <w:bottom w:w="0" w:type="dxa"/>
              <w:right w:w="62" w:type="dxa"/>
            </w:tcMar>
          </w:tcPr>
          <w:p w:rsidR="00000000" w:rsidP="000933DE">
            <w:pPr>
              <w:pStyle w:val="BodyText"/>
              <w:rPr>
                <w:lang w:val="en-NZ"/>
              </w:rPr>
            </w:pPr>
            <w:r w:rsidRPr="000933DE">
              <w:t>1.1</w:t>
            </w:r>
          </w:p>
        </w:tc>
        <w:tc>
          <w:tcPr>
            <w:tcW w:w="6045" w:type="dxa"/>
            <w:tcBorders>
              <w:top w:val="nil"/>
              <w:left w:val="nil"/>
              <w:bottom w:val="nil"/>
              <w:right w:val="nil"/>
            </w:tcBorders>
            <w:tcMar>
              <w:top w:w="0" w:type="dxa"/>
              <w:left w:w="62" w:type="dxa"/>
              <w:bottom w:w="0" w:type="dxa"/>
              <w:right w:w="62" w:type="dxa"/>
            </w:tcMar>
          </w:tcPr>
          <w:p w:rsidR="00000000" w:rsidP="000933DE">
            <w:pPr>
              <w:pStyle w:val="BodyText"/>
              <w:rPr>
                <w:lang w:val="en-NZ"/>
              </w:rPr>
            </w:pPr>
            <w:r w:rsidRPr="000933DE">
              <w:t>Loading manual is interpreted to determine operational loading conditions</w:t>
            </w:r>
          </w:p>
        </w:tc>
      </w:tr>
      <w:tr w:rsidTr="00F933A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933DE">
            <w:pPr>
              <w:pStyle w:val="BodyText"/>
              <w:rPr>
                <w:lang w:val="en-NZ"/>
              </w:rPr>
            </w:pPr>
            <w:r w:rsidRPr="000933DE">
              <w:t>1.2</w:t>
            </w:r>
          </w:p>
        </w:tc>
        <w:tc>
          <w:tcPr>
            <w:tcW w:w="6045" w:type="dxa"/>
            <w:tcBorders>
              <w:top w:val="nil"/>
              <w:left w:val="nil"/>
              <w:bottom w:val="nil"/>
              <w:right w:val="nil"/>
            </w:tcBorders>
            <w:tcMar>
              <w:top w:w="0" w:type="dxa"/>
              <w:left w:w="62" w:type="dxa"/>
              <w:bottom w:w="0" w:type="dxa"/>
              <w:right w:w="62" w:type="dxa"/>
            </w:tcMar>
          </w:tcPr>
          <w:p w:rsidR="00000000" w:rsidP="000933DE">
            <w:pPr>
              <w:pStyle w:val="BodyText"/>
              <w:rPr>
                <w:lang w:val="en-NZ"/>
              </w:rPr>
            </w:pPr>
            <w:r w:rsidRPr="000933DE">
              <w:t>Still water shear forces and bending moments in any load or ballast condition are known and not exceeded</w:t>
            </w:r>
          </w:p>
        </w:tc>
      </w:tr>
      <w:tr w:rsidTr="00F933A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933DE">
            <w:pPr>
              <w:pStyle w:val="BodyText"/>
              <w:rPr>
                <w:lang w:val="en-NZ"/>
              </w:rPr>
            </w:pPr>
            <w:r w:rsidRPr="000933DE">
              <w:t>1.3</w:t>
            </w:r>
          </w:p>
        </w:tc>
        <w:tc>
          <w:tcPr>
            <w:tcW w:w="6045" w:type="dxa"/>
            <w:tcBorders>
              <w:top w:val="nil"/>
              <w:left w:val="nil"/>
              <w:bottom w:val="nil"/>
              <w:right w:val="nil"/>
            </w:tcBorders>
            <w:tcMar>
              <w:top w:w="0" w:type="dxa"/>
              <w:left w:w="62" w:type="dxa"/>
              <w:bottom w:w="0" w:type="dxa"/>
              <w:right w:w="62" w:type="dxa"/>
            </w:tcMar>
          </w:tcPr>
          <w:p w:rsidR="00000000" w:rsidP="000933DE">
            <w:pPr>
              <w:pStyle w:val="BodyText"/>
              <w:rPr>
                <w:lang w:val="en-NZ"/>
              </w:rPr>
            </w:pPr>
            <w:r w:rsidRPr="000933DE">
              <w:t>Load is planned to ensure stresses in vessel are minimised by evenly distributing cargo</w:t>
            </w:r>
          </w:p>
        </w:tc>
      </w:tr>
      <w:tr w:rsidTr="00F933A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933DE">
            <w:pPr>
              <w:pStyle w:val="BodyText"/>
              <w:rPr>
                <w:lang w:val="en-NZ"/>
              </w:rPr>
            </w:pPr>
            <w:r w:rsidRPr="000933DE">
              <w:t>1.4</w:t>
            </w:r>
          </w:p>
        </w:tc>
        <w:tc>
          <w:tcPr>
            <w:tcW w:w="6045" w:type="dxa"/>
            <w:tcBorders>
              <w:top w:val="nil"/>
              <w:left w:val="nil"/>
              <w:bottom w:val="nil"/>
              <w:right w:val="nil"/>
            </w:tcBorders>
            <w:tcMar>
              <w:top w:w="0" w:type="dxa"/>
              <w:left w:w="62" w:type="dxa"/>
              <w:bottom w:w="0" w:type="dxa"/>
              <w:right w:w="62" w:type="dxa"/>
            </w:tcMar>
          </w:tcPr>
          <w:p w:rsidR="00000000" w:rsidP="000933DE">
            <w:pPr>
              <w:pStyle w:val="BodyText"/>
              <w:rPr>
                <w:lang w:val="en-NZ"/>
              </w:rPr>
            </w:pPr>
            <w:r w:rsidRPr="000933DE">
              <w:t>Load is planned to avoid incompatible cargo stowage</w:t>
            </w:r>
          </w:p>
        </w:tc>
      </w:tr>
      <w:tr w:rsidTr="00F933A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933DE">
            <w:pPr>
              <w:pStyle w:val="BodyText"/>
              <w:rPr>
                <w:lang w:val="en-NZ"/>
              </w:rPr>
            </w:pPr>
            <w:r w:rsidRPr="000933DE">
              <w:t>1.5</w:t>
            </w:r>
          </w:p>
        </w:tc>
        <w:tc>
          <w:tcPr>
            <w:tcW w:w="6045" w:type="dxa"/>
            <w:tcBorders>
              <w:top w:val="nil"/>
              <w:left w:val="nil"/>
              <w:bottom w:val="nil"/>
              <w:right w:val="nil"/>
            </w:tcBorders>
            <w:tcMar>
              <w:top w:w="0" w:type="dxa"/>
              <w:left w:w="62" w:type="dxa"/>
              <w:bottom w:w="0" w:type="dxa"/>
              <w:right w:w="62" w:type="dxa"/>
            </w:tcMar>
          </w:tcPr>
          <w:p w:rsidR="00000000" w:rsidP="000933DE">
            <w:pPr>
              <w:pStyle w:val="BodyText"/>
              <w:rPr>
                <w:lang w:val="en-NZ"/>
              </w:rPr>
            </w:pPr>
            <w:r w:rsidRPr="000933DE">
              <w:t>Regulations relating to hazardous materials/dangerous goods are observed, where appropriate</w:t>
            </w:r>
          </w:p>
        </w:tc>
      </w:tr>
      <w:tr w:rsidTr="00F933A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933DE">
            <w:pPr>
              <w:pStyle w:val="BodyText"/>
              <w:rPr>
                <w:lang w:val="en-NZ"/>
              </w:rPr>
            </w:pPr>
            <w:r w:rsidRPr="000933DE">
              <w:t>1.6</w:t>
            </w:r>
          </w:p>
        </w:tc>
        <w:tc>
          <w:tcPr>
            <w:tcW w:w="6045" w:type="dxa"/>
            <w:tcBorders>
              <w:top w:val="nil"/>
              <w:left w:val="nil"/>
              <w:bottom w:val="nil"/>
              <w:right w:val="nil"/>
            </w:tcBorders>
            <w:tcMar>
              <w:top w:w="0" w:type="dxa"/>
              <w:left w:w="62" w:type="dxa"/>
              <w:bottom w:w="0" w:type="dxa"/>
              <w:right w:w="62" w:type="dxa"/>
            </w:tcMar>
          </w:tcPr>
          <w:p w:rsidR="00000000" w:rsidP="000933DE">
            <w:pPr>
              <w:pStyle w:val="BodyText"/>
              <w:rPr>
                <w:lang w:val="en-NZ"/>
              </w:rPr>
            </w:pPr>
            <w:r w:rsidRPr="000933DE">
              <w:t>Load is planned for unloading sequence</w:t>
            </w:r>
          </w:p>
        </w:tc>
      </w:tr>
      <w:tr w:rsidTr="00F933A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933DE">
            <w:pPr>
              <w:pStyle w:val="BodyText"/>
              <w:rPr>
                <w:lang w:val="en-NZ"/>
              </w:rPr>
            </w:pPr>
            <w:r w:rsidRPr="000933DE">
              <w:t>1.7</w:t>
            </w:r>
          </w:p>
        </w:tc>
        <w:tc>
          <w:tcPr>
            <w:tcW w:w="6045" w:type="dxa"/>
            <w:tcBorders>
              <w:top w:val="nil"/>
              <w:left w:val="nil"/>
              <w:bottom w:val="nil"/>
              <w:right w:val="nil"/>
            </w:tcBorders>
            <w:tcMar>
              <w:top w:w="0" w:type="dxa"/>
              <w:left w:w="62" w:type="dxa"/>
              <w:bottom w:w="0" w:type="dxa"/>
              <w:right w:w="62" w:type="dxa"/>
            </w:tcMar>
          </w:tcPr>
          <w:p w:rsidR="00000000" w:rsidP="000933DE">
            <w:pPr>
              <w:pStyle w:val="BodyText"/>
              <w:rPr>
                <w:lang w:val="en-NZ"/>
              </w:rPr>
            </w:pPr>
            <w:r w:rsidRPr="000933DE">
              <w:t>Vessel cargo carrying capacity is not exceeded for appropriate load line</w:t>
            </w:r>
          </w:p>
        </w:tc>
      </w:tr>
      <w:tr w:rsidTr="00F933A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933DE">
            <w:pPr>
              <w:pStyle w:val="BodyText"/>
              <w:rPr>
                <w:lang w:val="en-NZ"/>
              </w:rPr>
            </w:pPr>
            <w:r w:rsidRPr="000933DE">
              <w:t>1.8</w:t>
            </w:r>
          </w:p>
        </w:tc>
        <w:tc>
          <w:tcPr>
            <w:tcW w:w="6045" w:type="dxa"/>
            <w:tcBorders>
              <w:top w:val="nil"/>
              <w:left w:val="nil"/>
              <w:bottom w:val="nil"/>
              <w:right w:val="nil"/>
            </w:tcBorders>
            <w:tcMar>
              <w:top w:w="0" w:type="dxa"/>
              <w:left w:w="62" w:type="dxa"/>
              <w:bottom w:w="0" w:type="dxa"/>
              <w:right w:w="62" w:type="dxa"/>
            </w:tcMar>
          </w:tcPr>
          <w:p w:rsidR="00000000" w:rsidP="000933DE">
            <w:pPr>
              <w:pStyle w:val="BodyText"/>
              <w:rPr>
                <w:lang w:val="en-NZ"/>
              </w:rPr>
            </w:pPr>
            <w:r w:rsidRPr="000933DE">
              <w:t>Vessel trim is calculated to allow for optimum vessel performance at sea</w:t>
            </w:r>
          </w:p>
        </w:tc>
      </w:tr>
      <w:tr w:rsidTr="00F933A4">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0933DE" w:rsidP="000933DE">
            <w:pPr>
              <w:pStyle w:val="BodyText"/>
            </w:pPr>
            <w:r w:rsidRPr="000933DE">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0933DE">
            <w:pPr>
              <w:pStyle w:val="BodyText"/>
              <w:rPr>
                <w:lang w:val="en-NZ"/>
              </w:rPr>
            </w:pPr>
            <w:r w:rsidRPr="000933DE">
              <w:rPr>
                <w:rStyle w:val="SpecialBold"/>
              </w:rPr>
              <w:t>Plan load/unload with stevedores</w:t>
            </w:r>
          </w:p>
        </w:tc>
        <w:tc>
          <w:tcPr>
            <w:tcW w:w="719" w:type="dxa"/>
            <w:tcBorders>
              <w:top w:val="nil"/>
              <w:left w:val="nil"/>
              <w:bottom w:val="nil"/>
              <w:right w:val="nil"/>
            </w:tcBorders>
            <w:tcMar>
              <w:top w:w="0" w:type="dxa"/>
              <w:left w:w="62" w:type="dxa"/>
              <w:bottom w:w="0" w:type="dxa"/>
              <w:right w:w="62" w:type="dxa"/>
            </w:tcMar>
          </w:tcPr>
          <w:p w:rsidR="00000000" w:rsidP="000933DE">
            <w:pPr>
              <w:pStyle w:val="BodyText"/>
              <w:rPr>
                <w:lang w:val="en-NZ"/>
              </w:rPr>
            </w:pPr>
            <w:r w:rsidRPr="000933DE">
              <w:t>2.1</w:t>
            </w:r>
          </w:p>
        </w:tc>
        <w:tc>
          <w:tcPr>
            <w:tcW w:w="6045" w:type="dxa"/>
            <w:tcBorders>
              <w:top w:val="nil"/>
              <w:left w:val="nil"/>
              <w:bottom w:val="nil"/>
              <w:right w:val="nil"/>
            </w:tcBorders>
            <w:tcMar>
              <w:top w:w="0" w:type="dxa"/>
              <w:left w:w="62" w:type="dxa"/>
              <w:bottom w:w="0" w:type="dxa"/>
              <w:right w:w="62" w:type="dxa"/>
            </w:tcMar>
          </w:tcPr>
          <w:p w:rsidR="00000000" w:rsidP="000933DE">
            <w:pPr>
              <w:pStyle w:val="BodyText"/>
              <w:rPr>
                <w:lang w:val="en-NZ"/>
              </w:rPr>
            </w:pPr>
            <w:r w:rsidRPr="000933DE">
              <w:t>Available port/vessel cargo handling gear and equipment is dete</w:t>
            </w:r>
            <w:r w:rsidRPr="000933DE">
              <w:t>rmined</w:t>
            </w:r>
          </w:p>
        </w:tc>
      </w:tr>
      <w:tr w:rsidTr="00F933A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933DE">
            <w:pPr>
              <w:pStyle w:val="BodyText"/>
              <w:rPr>
                <w:lang w:val="en-NZ"/>
              </w:rPr>
            </w:pPr>
            <w:r w:rsidRPr="000933DE">
              <w:t>2.2</w:t>
            </w:r>
          </w:p>
        </w:tc>
        <w:tc>
          <w:tcPr>
            <w:tcW w:w="6045" w:type="dxa"/>
            <w:tcBorders>
              <w:top w:val="nil"/>
              <w:left w:val="nil"/>
              <w:bottom w:val="nil"/>
              <w:right w:val="nil"/>
            </w:tcBorders>
            <w:tcMar>
              <w:top w:w="0" w:type="dxa"/>
              <w:left w:w="62" w:type="dxa"/>
              <w:bottom w:w="0" w:type="dxa"/>
              <w:right w:w="62" w:type="dxa"/>
            </w:tcMar>
          </w:tcPr>
          <w:p w:rsidR="00000000" w:rsidP="000933DE">
            <w:pPr>
              <w:pStyle w:val="BodyText"/>
              <w:rPr>
                <w:lang w:val="en-NZ"/>
              </w:rPr>
            </w:pPr>
            <w:r w:rsidRPr="000933DE">
              <w:t>Handling capacity of cargo handling gear and equipment is established</w:t>
            </w:r>
          </w:p>
        </w:tc>
      </w:tr>
      <w:tr w:rsidTr="00F933A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933DE">
            <w:pPr>
              <w:pStyle w:val="BodyText"/>
              <w:rPr>
                <w:lang w:val="en-NZ"/>
              </w:rPr>
            </w:pPr>
            <w:r w:rsidRPr="000933DE">
              <w:t>2.3</w:t>
            </w:r>
          </w:p>
        </w:tc>
        <w:tc>
          <w:tcPr>
            <w:tcW w:w="6045" w:type="dxa"/>
            <w:tcBorders>
              <w:top w:val="nil"/>
              <w:left w:val="nil"/>
              <w:bottom w:val="nil"/>
              <w:right w:val="nil"/>
            </w:tcBorders>
            <w:tcMar>
              <w:top w:w="0" w:type="dxa"/>
              <w:left w:w="62" w:type="dxa"/>
              <w:bottom w:w="0" w:type="dxa"/>
              <w:right w:w="62" w:type="dxa"/>
            </w:tcMar>
          </w:tcPr>
          <w:p w:rsidR="00000000" w:rsidP="000933DE">
            <w:pPr>
              <w:pStyle w:val="BodyText"/>
              <w:rPr>
                <w:lang w:val="en-NZ"/>
              </w:rPr>
            </w:pPr>
            <w:r w:rsidRPr="000933DE">
              <w:t>Pumping capacity of cargo pumps is verified</w:t>
            </w:r>
          </w:p>
        </w:tc>
      </w:tr>
      <w:tr w:rsidTr="00F933A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933DE">
            <w:pPr>
              <w:pStyle w:val="BodyText"/>
              <w:rPr>
                <w:lang w:val="en-NZ"/>
              </w:rPr>
            </w:pPr>
            <w:r w:rsidRPr="000933DE">
              <w:t>2.4</w:t>
            </w:r>
          </w:p>
        </w:tc>
        <w:tc>
          <w:tcPr>
            <w:tcW w:w="6045" w:type="dxa"/>
            <w:tcBorders>
              <w:top w:val="nil"/>
              <w:left w:val="nil"/>
              <w:bottom w:val="nil"/>
              <w:right w:val="nil"/>
            </w:tcBorders>
            <w:tcMar>
              <w:top w:w="0" w:type="dxa"/>
              <w:left w:w="62" w:type="dxa"/>
              <w:bottom w:w="0" w:type="dxa"/>
              <w:right w:w="62" w:type="dxa"/>
            </w:tcMar>
          </w:tcPr>
          <w:p w:rsidR="00000000" w:rsidP="000933DE">
            <w:pPr>
              <w:pStyle w:val="BodyText"/>
              <w:rPr>
                <w:lang w:val="en-NZ"/>
              </w:rPr>
            </w:pPr>
            <w:r w:rsidRPr="000933DE">
              <w:t>Availability and status of human resources is resolved</w:t>
            </w:r>
          </w:p>
        </w:tc>
      </w:tr>
      <w:tr w:rsidTr="00F933A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933DE">
            <w:pPr>
              <w:pStyle w:val="BodyText"/>
              <w:rPr>
                <w:lang w:val="en-NZ"/>
              </w:rPr>
            </w:pPr>
            <w:r w:rsidRPr="000933DE">
              <w:t>2.5</w:t>
            </w:r>
          </w:p>
        </w:tc>
        <w:tc>
          <w:tcPr>
            <w:tcW w:w="6045" w:type="dxa"/>
            <w:tcBorders>
              <w:top w:val="nil"/>
              <w:left w:val="nil"/>
              <w:bottom w:val="nil"/>
              <w:right w:val="nil"/>
            </w:tcBorders>
            <w:tcMar>
              <w:top w:w="0" w:type="dxa"/>
              <w:left w:w="62" w:type="dxa"/>
              <w:bottom w:w="0" w:type="dxa"/>
              <w:right w:w="62" w:type="dxa"/>
            </w:tcMar>
          </w:tcPr>
          <w:p w:rsidR="00000000" w:rsidP="000933DE">
            <w:pPr>
              <w:pStyle w:val="BodyText"/>
              <w:rPr>
                <w:lang w:val="en-NZ"/>
              </w:rPr>
            </w:pPr>
            <w:r w:rsidRPr="000933DE">
              <w:t>Cargo manifest is made available</w:t>
            </w:r>
          </w:p>
        </w:tc>
      </w:tr>
      <w:tr w:rsidTr="00F933A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933DE">
            <w:pPr>
              <w:pStyle w:val="BodyText"/>
              <w:rPr>
                <w:lang w:val="en-NZ"/>
              </w:rPr>
            </w:pPr>
            <w:r w:rsidRPr="000933DE">
              <w:t>2.6</w:t>
            </w:r>
          </w:p>
        </w:tc>
        <w:tc>
          <w:tcPr>
            <w:tcW w:w="6045" w:type="dxa"/>
            <w:tcBorders>
              <w:top w:val="nil"/>
              <w:left w:val="nil"/>
              <w:bottom w:val="nil"/>
              <w:right w:val="nil"/>
            </w:tcBorders>
            <w:tcMar>
              <w:top w:w="0" w:type="dxa"/>
              <w:left w:w="62" w:type="dxa"/>
              <w:bottom w:w="0" w:type="dxa"/>
              <w:right w:w="62" w:type="dxa"/>
            </w:tcMar>
          </w:tcPr>
          <w:p w:rsidR="00000000" w:rsidP="000933DE">
            <w:pPr>
              <w:pStyle w:val="BodyText"/>
              <w:rPr>
                <w:lang w:val="en-NZ"/>
              </w:rPr>
            </w:pPr>
            <w:r w:rsidRPr="000933DE">
              <w:t>Cargo stowage plan is completed and agreed with stevedores</w:t>
            </w:r>
          </w:p>
        </w:tc>
      </w:tr>
      <w:tr w:rsidTr="00F933A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933DE">
            <w:pPr>
              <w:pStyle w:val="BodyText"/>
              <w:rPr>
                <w:lang w:val="en-NZ"/>
              </w:rPr>
            </w:pPr>
            <w:r w:rsidRPr="000933DE">
              <w:t>2.7</w:t>
            </w:r>
          </w:p>
        </w:tc>
        <w:tc>
          <w:tcPr>
            <w:tcW w:w="6045" w:type="dxa"/>
            <w:tcBorders>
              <w:top w:val="nil"/>
              <w:left w:val="nil"/>
              <w:bottom w:val="nil"/>
              <w:right w:val="nil"/>
            </w:tcBorders>
            <w:tcMar>
              <w:top w:w="0" w:type="dxa"/>
              <w:left w:w="62" w:type="dxa"/>
              <w:bottom w:w="0" w:type="dxa"/>
              <w:right w:w="62" w:type="dxa"/>
            </w:tcMar>
          </w:tcPr>
          <w:p w:rsidR="00000000" w:rsidP="000933DE">
            <w:pPr>
              <w:pStyle w:val="BodyText"/>
              <w:rPr>
                <w:lang w:val="en-NZ"/>
              </w:rPr>
            </w:pPr>
            <w:r w:rsidRPr="000933DE">
              <w:t>Stability calculation is made and checked against vessel stability information manual</w:t>
            </w:r>
          </w:p>
        </w:tc>
      </w:tr>
      <w:tr w:rsidTr="00F933A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933DE">
            <w:pPr>
              <w:pStyle w:val="BodyText"/>
              <w:rPr>
                <w:lang w:val="en-NZ"/>
              </w:rPr>
            </w:pPr>
            <w:r w:rsidRPr="000933DE">
              <w:t>2.8</w:t>
            </w:r>
          </w:p>
        </w:tc>
        <w:tc>
          <w:tcPr>
            <w:tcW w:w="6045" w:type="dxa"/>
            <w:tcBorders>
              <w:top w:val="nil"/>
              <w:left w:val="nil"/>
              <w:bottom w:val="nil"/>
              <w:right w:val="nil"/>
            </w:tcBorders>
            <w:tcMar>
              <w:top w:w="0" w:type="dxa"/>
              <w:left w:w="62" w:type="dxa"/>
              <w:bottom w:w="0" w:type="dxa"/>
              <w:right w:w="62" w:type="dxa"/>
            </w:tcMar>
          </w:tcPr>
          <w:p w:rsidR="00000000" w:rsidP="000933DE">
            <w:pPr>
              <w:pStyle w:val="BodyText"/>
              <w:rPr>
                <w:lang w:val="en-NZ"/>
              </w:rPr>
            </w:pPr>
            <w:r w:rsidRPr="000933DE">
              <w:t xml:space="preserve">Notice of readiness to load/unload is provided </w:t>
            </w:r>
          </w:p>
        </w:tc>
      </w:tr>
      <w:tr w:rsidTr="00F933A4">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0933DE" w:rsidP="000933DE">
            <w:pPr>
              <w:pStyle w:val="BodyText"/>
            </w:pPr>
            <w:r w:rsidRPr="000933DE">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0933DE">
            <w:pPr>
              <w:pStyle w:val="BodyText"/>
              <w:rPr>
                <w:lang w:val="en-NZ"/>
              </w:rPr>
            </w:pPr>
            <w:r w:rsidRPr="000933DE">
              <w:rPr>
                <w:rStyle w:val="SpecialBold"/>
              </w:rPr>
              <w:t>Prepare for loading</w:t>
            </w:r>
          </w:p>
        </w:tc>
        <w:tc>
          <w:tcPr>
            <w:tcW w:w="719" w:type="dxa"/>
            <w:tcBorders>
              <w:top w:val="nil"/>
              <w:left w:val="nil"/>
              <w:bottom w:val="nil"/>
              <w:right w:val="nil"/>
            </w:tcBorders>
            <w:tcMar>
              <w:top w:w="0" w:type="dxa"/>
              <w:left w:w="62" w:type="dxa"/>
              <w:bottom w:w="0" w:type="dxa"/>
              <w:right w:w="62" w:type="dxa"/>
            </w:tcMar>
          </w:tcPr>
          <w:p w:rsidR="00000000" w:rsidP="000933DE">
            <w:pPr>
              <w:pStyle w:val="BodyText"/>
              <w:rPr>
                <w:lang w:val="en-NZ"/>
              </w:rPr>
            </w:pPr>
            <w:r w:rsidRPr="000933DE">
              <w:t>3.1</w:t>
            </w:r>
          </w:p>
        </w:tc>
        <w:tc>
          <w:tcPr>
            <w:tcW w:w="6045" w:type="dxa"/>
            <w:tcBorders>
              <w:top w:val="nil"/>
              <w:left w:val="nil"/>
              <w:bottom w:val="nil"/>
              <w:right w:val="nil"/>
            </w:tcBorders>
            <w:tcMar>
              <w:top w:w="0" w:type="dxa"/>
              <w:left w:w="62" w:type="dxa"/>
              <w:bottom w:w="0" w:type="dxa"/>
              <w:right w:w="62" w:type="dxa"/>
            </w:tcMar>
          </w:tcPr>
          <w:p w:rsidR="00000000" w:rsidP="000933DE">
            <w:pPr>
              <w:pStyle w:val="BodyText"/>
              <w:rPr>
                <w:lang w:val="en-NZ"/>
              </w:rPr>
            </w:pPr>
            <w:r w:rsidRPr="000933DE">
              <w:t>Holds are checked to ensure they are clean, dry and free of smell</w:t>
            </w:r>
          </w:p>
        </w:tc>
      </w:tr>
      <w:tr w:rsidTr="00F933A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933DE">
            <w:pPr>
              <w:pStyle w:val="BodyText"/>
              <w:rPr>
                <w:lang w:val="en-NZ"/>
              </w:rPr>
            </w:pPr>
            <w:r w:rsidRPr="000933DE">
              <w:t>3.2</w:t>
            </w:r>
          </w:p>
        </w:tc>
        <w:tc>
          <w:tcPr>
            <w:tcW w:w="6045" w:type="dxa"/>
            <w:tcBorders>
              <w:top w:val="nil"/>
              <w:left w:val="nil"/>
              <w:bottom w:val="nil"/>
              <w:right w:val="nil"/>
            </w:tcBorders>
            <w:tcMar>
              <w:top w:w="0" w:type="dxa"/>
              <w:left w:w="62" w:type="dxa"/>
              <w:bottom w:w="0" w:type="dxa"/>
              <w:right w:w="62" w:type="dxa"/>
            </w:tcMar>
          </w:tcPr>
          <w:p w:rsidR="00000000" w:rsidP="000933DE">
            <w:pPr>
              <w:pStyle w:val="BodyText"/>
              <w:rPr>
                <w:lang w:val="en-NZ"/>
              </w:rPr>
            </w:pPr>
            <w:r w:rsidRPr="000933DE">
              <w:t xml:space="preserve">Safety arrangements in holds are verified to ensure they are operational </w:t>
            </w:r>
          </w:p>
        </w:tc>
      </w:tr>
      <w:tr w:rsidTr="00F933A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933DE">
            <w:pPr>
              <w:pStyle w:val="BodyText"/>
              <w:rPr>
                <w:lang w:val="en-NZ"/>
              </w:rPr>
            </w:pPr>
            <w:r w:rsidRPr="000933DE">
              <w:t>3.3</w:t>
            </w:r>
          </w:p>
        </w:tc>
        <w:tc>
          <w:tcPr>
            <w:tcW w:w="6045" w:type="dxa"/>
            <w:tcBorders>
              <w:top w:val="nil"/>
              <w:left w:val="nil"/>
              <w:bottom w:val="nil"/>
              <w:right w:val="nil"/>
            </w:tcBorders>
            <w:tcMar>
              <w:top w:w="0" w:type="dxa"/>
              <w:left w:w="62" w:type="dxa"/>
              <w:bottom w:w="0" w:type="dxa"/>
              <w:right w:w="62" w:type="dxa"/>
            </w:tcMar>
          </w:tcPr>
          <w:p w:rsidR="00000000" w:rsidP="000933DE">
            <w:pPr>
              <w:pStyle w:val="BodyText"/>
              <w:rPr>
                <w:lang w:val="en-NZ"/>
              </w:rPr>
            </w:pPr>
            <w:r w:rsidRPr="000933DE">
              <w:t>Supplies of dunnage and mats are reviewed to ensure there are sufficient available</w:t>
            </w:r>
          </w:p>
        </w:tc>
      </w:tr>
      <w:tr w:rsidTr="00F933A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933DE">
            <w:pPr>
              <w:pStyle w:val="BodyText"/>
              <w:rPr>
                <w:lang w:val="en-NZ"/>
              </w:rPr>
            </w:pPr>
            <w:r w:rsidRPr="000933DE">
              <w:t>3.4</w:t>
            </w:r>
          </w:p>
        </w:tc>
        <w:tc>
          <w:tcPr>
            <w:tcW w:w="6045" w:type="dxa"/>
            <w:tcBorders>
              <w:top w:val="nil"/>
              <w:left w:val="nil"/>
              <w:bottom w:val="nil"/>
              <w:right w:val="nil"/>
            </w:tcBorders>
            <w:tcMar>
              <w:top w:w="0" w:type="dxa"/>
              <w:left w:w="62" w:type="dxa"/>
              <w:bottom w:w="0" w:type="dxa"/>
              <w:right w:w="62" w:type="dxa"/>
            </w:tcMar>
          </w:tcPr>
          <w:p w:rsidR="00000000" w:rsidP="000933DE">
            <w:pPr>
              <w:pStyle w:val="BodyText"/>
              <w:rPr>
                <w:lang w:val="en-NZ"/>
              </w:rPr>
            </w:pPr>
            <w:r w:rsidRPr="000933DE">
              <w:t>Bilges are covered with tarpaulins/wrappers before loading</w:t>
            </w:r>
          </w:p>
        </w:tc>
      </w:tr>
      <w:tr w:rsidTr="00F933A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933DE">
            <w:pPr>
              <w:pStyle w:val="BodyText"/>
              <w:rPr>
                <w:lang w:val="en-NZ"/>
              </w:rPr>
            </w:pPr>
            <w:r w:rsidRPr="000933DE">
              <w:t>3.5</w:t>
            </w:r>
          </w:p>
        </w:tc>
        <w:tc>
          <w:tcPr>
            <w:tcW w:w="6045" w:type="dxa"/>
            <w:tcBorders>
              <w:top w:val="nil"/>
              <w:left w:val="nil"/>
              <w:bottom w:val="nil"/>
              <w:right w:val="nil"/>
            </w:tcBorders>
            <w:tcMar>
              <w:top w:w="0" w:type="dxa"/>
              <w:left w:w="62" w:type="dxa"/>
              <w:bottom w:w="0" w:type="dxa"/>
              <w:right w:w="62" w:type="dxa"/>
            </w:tcMar>
          </w:tcPr>
          <w:p w:rsidR="00000000" w:rsidP="000933DE">
            <w:pPr>
              <w:pStyle w:val="BodyText"/>
              <w:rPr>
                <w:lang w:val="en-NZ"/>
              </w:rPr>
            </w:pPr>
            <w:r w:rsidRPr="000933DE">
              <w:t>Checks are made to ensure cargo is correctly identified, inspected and confirmed against documentation</w:t>
            </w:r>
          </w:p>
        </w:tc>
      </w:tr>
      <w:tr w:rsidTr="00F933A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933DE">
            <w:pPr>
              <w:pStyle w:val="BodyText"/>
              <w:rPr>
                <w:lang w:val="en-NZ"/>
              </w:rPr>
            </w:pPr>
            <w:r w:rsidRPr="000933DE">
              <w:t>3.6</w:t>
            </w:r>
          </w:p>
        </w:tc>
        <w:tc>
          <w:tcPr>
            <w:tcW w:w="6045" w:type="dxa"/>
            <w:tcBorders>
              <w:top w:val="nil"/>
              <w:left w:val="nil"/>
              <w:bottom w:val="nil"/>
              <w:right w:val="nil"/>
            </w:tcBorders>
            <w:tcMar>
              <w:top w:w="0" w:type="dxa"/>
              <w:left w:w="62" w:type="dxa"/>
              <w:bottom w:w="0" w:type="dxa"/>
              <w:right w:w="62" w:type="dxa"/>
            </w:tcMar>
          </w:tcPr>
          <w:p w:rsidR="00000000" w:rsidP="000933DE">
            <w:pPr>
              <w:pStyle w:val="BodyText"/>
              <w:rPr>
                <w:lang w:val="en-NZ"/>
              </w:rPr>
            </w:pPr>
            <w:r w:rsidRPr="000933DE">
              <w:t>Preparations for loading are monitored according to stowage plan and organisatio</w:t>
            </w:r>
            <w:r w:rsidRPr="000933DE">
              <w:t>nal procedures</w:t>
            </w:r>
          </w:p>
        </w:tc>
      </w:tr>
      <w:tr w:rsidTr="00F933A4">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0933DE" w:rsidP="000933DE">
            <w:pPr>
              <w:pStyle w:val="BodyText"/>
            </w:pPr>
            <w:r w:rsidRPr="000933DE">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0933DE">
            <w:pPr>
              <w:pStyle w:val="BodyText"/>
              <w:rPr>
                <w:lang w:val="en-NZ"/>
              </w:rPr>
            </w:pPr>
            <w:r w:rsidRPr="000933DE">
              <w:rPr>
                <w:rStyle w:val="SpecialBold"/>
              </w:rPr>
              <w:t xml:space="preserve">Control loading/unloading of </w:t>
            </w:r>
            <w:r w:rsidRPr="000933DE">
              <w:rPr>
                <w:rStyle w:val="SpecialBold"/>
              </w:rPr>
              <w:t>cargo</w:t>
            </w:r>
          </w:p>
        </w:tc>
        <w:tc>
          <w:tcPr>
            <w:tcW w:w="719" w:type="dxa"/>
            <w:tcBorders>
              <w:top w:val="nil"/>
              <w:left w:val="nil"/>
              <w:bottom w:val="nil"/>
              <w:right w:val="nil"/>
            </w:tcBorders>
            <w:tcMar>
              <w:top w:w="0" w:type="dxa"/>
              <w:left w:w="62" w:type="dxa"/>
              <w:bottom w:w="0" w:type="dxa"/>
              <w:right w:w="62" w:type="dxa"/>
            </w:tcMar>
          </w:tcPr>
          <w:p w:rsidR="00000000" w:rsidP="000933DE">
            <w:pPr>
              <w:pStyle w:val="BodyText"/>
              <w:rPr>
                <w:lang w:val="en-NZ"/>
              </w:rPr>
            </w:pPr>
            <w:r w:rsidRPr="000933DE">
              <w:t>4.1</w:t>
            </w:r>
          </w:p>
        </w:tc>
        <w:tc>
          <w:tcPr>
            <w:tcW w:w="6045" w:type="dxa"/>
            <w:tcBorders>
              <w:top w:val="nil"/>
              <w:left w:val="nil"/>
              <w:bottom w:val="nil"/>
              <w:right w:val="nil"/>
            </w:tcBorders>
            <w:tcMar>
              <w:top w:w="0" w:type="dxa"/>
              <w:left w:w="62" w:type="dxa"/>
              <w:bottom w:w="0" w:type="dxa"/>
              <w:right w:w="62" w:type="dxa"/>
            </w:tcMar>
          </w:tcPr>
          <w:p w:rsidR="00000000" w:rsidP="000933DE">
            <w:pPr>
              <w:pStyle w:val="BodyText"/>
              <w:rPr>
                <w:lang w:val="en-NZ"/>
              </w:rPr>
            </w:pPr>
            <w:r w:rsidRPr="000933DE">
              <w:t>Instructions are given to crew and stevedores involved in cargo loading/unloading according to cargo stowage plan</w:t>
            </w:r>
          </w:p>
        </w:tc>
      </w:tr>
      <w:tr w:rsidTr="00F933A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933DE">
            <w:pPr>
              <w:pStyle w:val="BodyText"/>
              <w:rPr>
                <w:lang w:val="en-NZ"/>
              </w:rPr>
            </w:pPr>
            <w:r w:rsidRPr="000933DE">
              <w:t>4.2</w:t>
            </w:r>
          </w:p>
        </w:tc>
        <w:tc>
          <w:tcPr>
            <w:tcW w:w="6045" w:type="dxa"/>
            <w:tcBorders>
              <w:top w:val="nil"/>
              <w:left w:val="nil"/>
              <w:bottom w:val="nil"/>
              <w:right w:val="nil"/>
            </w:tcBorders>
            <w:tcMar>
              <w:top w:w="0" w:type="dxa"/>
              <w:left w:w="62" w:type="dxa"/>
              <w:bottom w:w="0" w:type="dxa"/>
              <w:right w:w="62" w:type="dxa"/>
            </w:tcMar>
          </w:tcPr>
          <w:p w:rsidR="00000000" w:rsidP="000933DE">
            <w:pPr>
              <w:pStyle w:val="BodyText"/>
              <w:rPr>
                <w:lang w:val="en-NZ"/>
              </w:rPr>
            </w:pPr>
            <w:r w:rsidRPr="000933DE">
              <w:t>Compliance with regulations, procedures and instructions pertaining to type of cargo being handled is managed during loading/unloading operations</w:t>
            </w:r>
          </w:p>
        </w:tc>
      </w:tr>
      <w:tr w:rsidTr="00F933A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933DE">
            <w:pPr>
              <w:pStyle w:val="BodyText"/>
              <w:rPr>
                <w:lang w:val="en-NZ"/>
              </w:rPr>
            </w:pPr>
            <w:r w:rsidRPr="000933DE">
              <w:t>4.3</w:t>
            </w:r>
          </w:p>
        </w:tc>
        <w:tc>
          <w:tcPr>
            <w:tcW w:w="6045" w:type="dxa"/>
            <w:tcBorders>
              <w:top w:val="nil"/>
              <w:left w:val="nil"/>
              <w:bottom w:val="nil"/>
              <w:right w:val="nil"/>
            </w:tcBorders>
            <w:tcMar>
              <w:top w:w="0" w:type="dxa"/>
              <w:left w:w="62" w:type="dxa"/>
              <w:bottom w:w="0" w:type="dxa"/>
              <w:right w:w="62" w:type="dxa"/>
            </w:tcMar>
          </w:tcPr>
          <w:p w:rsidR="00000000" w:rsidP="000933DE">
            <w:pPr>
              <w:pStyle w:val="BodyText"/>
              <w:rPr>
                <w:lang w:val="en-NZ"/>
              </w:rPr>
            </w:pPr>
            <w:r w:rsidRPr="000933DE">
              <w:t>Loading/unloading is monitored to ensure loading rate is not exceeded in the case of bulk or liquid car</w:t>
            </w:r>
            <w:r w:rsidRPr="000933DE">
              <w:t>go</w:t>
            </w:r>
          </w:p>
        </w:tc>
      </w:tr>
      <w:tr w:rsidTr="00F933A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933DE">
            <w:pPr>
              <w:pStyle w:val="BodyText"/>
              <w:rPr>
                <w:lang w:val="en-NZ"/>
              </w:rPr>
            </w:pPr>
            <w:r w:rsidRPr="000933DE">
              <w:t>4.4</w:t>
            </w:r>
          </w:p>
        </w:tc>
        <w:tc>
          <w:tcPr>
            <w:tcW w:w="6045" w:type="dxa"/>
            <w:tcBorders>
              <w:top w:val="nil"/>
              <w:left w:val="nil"/>
              <w:bottom w:val="nil"/>
              <w:right w:val="nil"/>
            </w:tcBorders>
            <w:tcMar>
              <w:top w:w="0" w:type="dxa"/>
              <w:left w:w="62" w:type="dxa"/>
              <w:bottom w:w="0" w:type="dxa"/>
              <w:right w:w="62" w:type="dxa"/>
            </w:tcMar>
          </w:tcPr>
          <w:p w:rsidR="00000000" w:rsidP="000933DE">
            <w:pPr>
              <w:pStyle w:val="BodyText"/>
              <w:rPr>
                <w:lang w:val="en-NZ"/>
              </w:rPr>
            </w:pPr>
            <w:r w:rsidRPr="000933DE">
              <w:t>Vessel stability is observed during loading/unloading operations</w:t>
            </w:r>
          </w:p>
        </w:tc>
      </w:tr>
      <w:tr w:rsidTr="00F933A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933DE">
            <w:pPr>
              <w:pStyle w:val="BodyText"/>
              <w:rPr>
                <w:lang w:val="en-NZ"/>
              </w:rPr>
            </w:pPr>
            <w:r w:rsidRPr="000933DE">
              <w:t>4.5</w:t>
            </w:r>
          </w:p>
        </w:tc>
        <w:tc>
          <w:tcPr>
            <w:tcW w:w="6045" w:type="dxa"/>
            <w:tcBorders>
              <w:top w:val="nil"/>
              <w:left w:val="nil"/>
              <w:bottom w:val="nil"/>
              <w:right w:val="nil"/>
            </w:tcBorders>
            <w:tcMar>
              <w:top w:w="0" w:type="dxa"/>
              <w:left w:w="62" w:type="dxa"/>
              <w:bottom w:w="0" w:type="dxa"/>
              <w:right w:w="62" w:type="dxa"/>
            </w:tcMar>
          </w:tcPr>
          <w:p w:rsidR="00000000" w:rsidP="000933DE">
            <w:pPr>
              <w:pStyle w:val="BodyText"/>
              <w:rPr>
                <w:lang w:val="en-NZ"/>
              </w:rPr>
            </w:pPr>
            <w:r w:rsidRPr="000933DE">
              <w:t>Loading/unloading operations are checked against stowage plan</w:t>
            </w:r>
          </w:p>
        </w:tc>
      </w:tr>
      <w:tr w:rsidTr="00F933A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933DE">
            <w:pPr>
              <w:pStyle w:val="BodyText"/>
              <w:rPr>
                <w:lang w:val="en-NZ"/>
              </w:rPr>
            </w:pPr>
            <w:r w:rsidRPr="000933DE">
              <w:t>4.6</w:t>
            </w:r>
          </w:p>
        </w:tc>
        <w:tc>
          <w:tcPr>
            <w:tcW w:w="6045" w:type="dxa"/>
            <w:tcBorders>
              <w:top w:val="nil"/>
              <w:left w:val="nil"/>
              <w:bottom w:val="nil"/>
              <w:right w:val="nil"/>
            </w:tcBorders>
            <w:tcMar>
              <w:top w:w="0" w:type="dxa"/>
              <w:left w:w="62" w:type="dxa"/>
              <w:bottom w:w="0" w:type="dxa"/>
              <w:right w:w="62" w:type="dxa"/>
            </w:tcMar>
          </w:tcPr>
          <w:p w:rsidR="00000000" w:rsidP="000933DE">
            <w:pPr>
              <w:pStyle w:val="BodyText"/>
              <w:rPr>
                <w:lang w:val="en-NZ"/>
              </w:rPr>
            </w:pPr>
            <w:r w:rsidRPr="000933DE">
              <w:t>Cargo is secured and lashed according to lashing plan</w:t>
            </w:r>
          </w:p>
        </w:tc>
      </w:tr>
      <w:tr w:rsidTr="00F933A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933DE">
            <w:pPr>
              <w:pStyle w:val="BodyText"/>
              <w:rPr>
                <w:lang w:val="en-NZ"/>
              </w:rPr>
            </w:pPr>
            <w:r w:rsidRPr="000933DE">
              <w:t>4.7</w:t>
            </w:r>
          </w:p>
        </w:tc>
        <w:tc>
          <w:tcPr>
            <w:tcW w:w="6045" w:type="dxa"/>
            <w:tcBorders>
              <w:top w:val="nil"/>
              <w:left w:val="nil"/>
              <w:bottom w:val="nil"/>
              <w:right w:val="nil"/>
            </w:tcBorders>
            <w:tcMar>
              <w:top w:w="0" w:type="dxa"/>
              <w:left w:w="62" w:type="dxa"/>
              <w:bottom w:w="0" w:type="dxa"/>
              <w:right w:w="62" w:type="dxa"/>
            </w:tcMar>
          </w:tcPr>
          <w:p w:rsidR="00000000" w:rsidP="000933DE">
            <w:pPr>
              <w:pStyle w:val="BodyText"/>
              <w:rPr>
                <w:lang w:val="en-NZ"/>
              </w:rPr>
            </w:pPr>
            <w:r w:rsidRPr="000933DE">
              <w:t>All cargo handling documentation is completed according to organisational procedures and regulatory requirements</w:t>
            </w:r>
          </w:p>
        </w:tc>
      </w:tr>
      <w:tr w:rsidTr="00F933A4">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0933DE" w:rsidP="000933DE">
            <w:pPr>
              <w:pStyle w:val="BodyText"/>
            </w:pPr>
            <w:r w:rsidRPr="000933DE">
              <w:rPr>
                <w:rStyle w:val="SpecialBold"/>
              </w:rPr>
              <w:t>5</w:t>
            </w:r>
          </w:p>
        </w:tc>
        <w:tc>
          <w:tcPr>
            <w:tcW w:w="2303" w:type="dxa"/>
            <w:vMerge w:val="restart"/>
            <w:tcBorders>
              <w:top w:val="nil"/>
              <w:left w:val="nil"/>
              <w:bottom w:val="nil"/>
              <w:right w:val="nil"/>
            </w:tcBorders>
            <w:tcMar>
              <w:top w:w="0" w:type="dxa"/>
              <w:left w:w="62" w:type="dxa"/>
              <w:bottom w:w="0" w:type="dxa"/>
              <w:right w:w="62" w:type="dxa"/>
            </w:tcMar>
          </w:tcPr>
          <w:p w:rsidR="00000000" w:rsidP="000933DE">
            <w:pPr>
              <w:pStyle w:val="BodyText"/>
              <w:rPr>
                <w:lang w:val="en-NZ"/>
              </w:rPr>
            </w:pPr>
            <w:r w:rsidRPr="000933DE">
              <w:rPr>
                <w:rStyle w:val="SpecialBold"/>
              </w:rPr>
              <w:t>Manage ballast management operations</w:t>
            </w:r>
          </w:p>
        </w:tc>
        <w:tc>
          <w:tcPr>
            <w:tcW w:w="719" w:type="dxa"/>
            <w:tcBorders>
              <w:top w:val="nil"/>
              <w:left w:val="nil"/>
              <w:bottom w:val="nil"/>
              <w:right w:val="nil"/>
            </w:tcBorders>
            <w:tcMar>
              <w:top w:w="0" w:type="dxa"/>
              <w:left w:w="62" w:type="dxa"/>
              <w:bottom w:w="0" w:type="dxa"/>
              <w:right w:w="62" w:type="dxa"/>
            </w:tcMar>
          </w:tcPr>
          <w:p w:rsidR="00000000" w:rsidP="000933DE">
            <w:pPr>
              <w:pStyle w:val="BodyText"/>
              <w:rPr>
                <w:lang w:val="en-NZ"/>
              </w:rPr>
            </w:pPr>
            <w:r w:rsidRPr="000933DE">
              <w:t>5.1</w:t>
            </w:r>
          </w:p>
        </w:tc>
        <w:tc>
          <w:tcPr>
            <w:tcW w:w="6045" w:type="dxa"/>
            <w:tcBorders>
              <w:top w:val="nil"/>
              <w:left w:val="nil"/>
              <w:bottom w:val="nil"/>
              <w:right w:val="nil"/>
            </w:tcBorders>
            <w:tcMar>
              <w:top w:w="0" w:type="dxa"/>
              <w:left w:w="62" w:type="dxa"/>
              <w:bottom w:w="0" w:type="dxa"/>
              <w:right w:w="62" w:type="dxa"/>
            </w:tcMar>
          </w:tcPr>
          <w:p w:rsidR="00000000" w:rsidP="000933DE">
            <w:pPr>
              <w:pStyle w:val="BodyText"/>
              <w:rPr>
                <w:lang w:val="en-NZ"/>
              </w:rPr>
            </w:pPr>
            <w:r w:rsidRPr="000933DE">
              <w:t>Ballast discharge requirements of port authority are complied with</w:t>
            </w:r>
          </w:p>
        </w:tc>
      </w:tr>
      <w:tr w:rsidTr="00F933A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933DE">
            <w:pPr>
              <w:pStyle w:val="BodyText"/>
              <w:rPr>
                <w:lang w:val="en-NZ"/>
              </w:rPr>
            </w:pPr>
            <w:r w:rsidRPr="000933DE">
              <w:t>5.2</w:t>
            </w:r>
          </w:p>
        </w:tc>
        <w:tc>
          <w:tcPr>
            <w:tcW w:w="6045" w:type="dxa"/>
            <w:tcBorders>
              <w:top w:val="nil"/>
              <w:left w:val="nil"/>
              <w:bottom w:val="nil"/>
              <w:right w:val="nil"/>
            </w:tcBorders>
            <w:tcMar>
              <w:top w:w="0" w:type="dxa"/>
              <w:left w:w="62" w:type="dxa"/>
              <w:bottom w:w="0" w:type="dxa"/>
              <w:right w:w="62" w:type="dxa"/>
            </w:tcMar>
          </w:tcPr>
          <w:p w:rsidR="00000000" w:rsidP="000933DE">
            <w:pPr>
              <w:pStyle w:val="BodyText"/>
              <w:rPr>
                <w:lang w:val="en-NZ"/>
              </w:rPr>
            </w:pPr>
            <w:r w:rsidRPr="000933DE">
              <w:t>Ballast management activities are monitored according to organisational procedures and port authority requirements</w:t>
            </w:r>
          </w:p>
        </w:tc>
      </w:tr>
      <w:tr w:rsidTr="00F933A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933DE">
            <w:pPr>
              <w:pStyle w:val="BodyText"/>
              <w:rPr>
                <w:lang w:val="en-NZ"/>
              </w:rPr>
            </w:pPr>
            <w:r w:rsidRPr="000933DE">
              <w:t>5.3</w:t>
            </w:r>
          </w:p>
        </w:tc>
        <w:tc>
          <w:tcPr>
            <w:tcW w:w="6045" w:type="dxa"/>
            <w:tcBorders>
              <w:top w:val="nil"/>
              <w:left w:val="nil"/>
              <w:bottom w:val="nil"/>
              <w:right w:val="nil"/>
            </w:tcBorders>
            <w:tcMar>
              <w:top w:w="0" w:type="dxa"/>
              <w:left w:w="62" w:type="dxa"/>
              <w:bottom w:w="0" w:type="dxa"/>
              <w:right w:w="62" w:type="dxa"/>
            </w:tcMar>
          </w:tcPr>
          <w:p w:rsidR="00000000" w:rsidP="000933DE">
            <w:pPr>
              <w:pStyle w:val="BodyText"/>
              <w:rPr>
                <w:lang w:val="en-NZ"/>
              </w:rPr>
            </w:pPr>
            <w:r w:rsidRPr="000933DE">
              <w:t>Ballast management problems are identified and appropriate action is taken to minimise risk to the environment</w:t>
            </w:r>
          </w:p>
        </w:tc>
      </w:tr>
      <w:tr w:rsidTr="00F933A4">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0933DE" w:rsidP="000933DE">
            <w:pPr>
              <w:pStyle w:val="BodyText"/>
            </w:pPr>
            <w:r w:rsidRPr="000933DE">
              <w:rPr>
                <w:rStyle w:val="SpecialBold"/>
              </w:rPr>
              <w:t>6</w:t>
            </w:r>
          </w:p>
        </w:tc>
        <w:tc>
          <w:tcPr>
            <w:tcW w:w="2303" w:type="dxa"/>
            <w:vMerge w:val="restart"/>
            <w:tcBorders>
              <w:top w:val="nil"/>
              <w:left w:val="nil"/>
              <w:bottom w:val="nil"/>
              <w:right w:val="nil"/>
            </w:tcBorders>
            <w:tcMar>
              <w:top w:w="0" w:type="dxa"/>
              <w:left w:w="62" w:type="dxa"/>
              <w:bottom w:w="0" w:type="dxa"/>
              <w:right w:w="62" w:type="dxa"/>
            </w:tcMar>
          </w:tcPr>
          <w:p w:rsidR="00000000" w:rsidP="000933DE">
            <w:pPr>
              <w:pStyle w:val="BodyText"/>
              <w:rPr>
                <w:lang w:val="en-NZ"/>
              </w:rPr>
            </w:pPr>
            <w:r w:rsidRPr="000933DE">
              <w:rPr>
                <w:rStyle w:val="SpecialBold"/>
              </w:rPr>
              <w:t>Monitor care of carg</w:t>
            </w:r>
            <w:r w:rsidRPr="000933DE">
              <w:rPr>
                <w:rStyle w:val="SpecialBold"/>
              </w:rPr>
              <w:t>o during voyage</w:t>
            </w:r>
          </w:p>
        </w:tc>
        <w:tc>
          <w:tcPr>
            <w:tcW w:w="719" w:type="dxa"/>
            <w:tcBorders>
              <w:top w:val="nil"/>
              <w:left w:val="nil"/>
              <w:bottom w:val="nil"/>
              <w:right w:val="nil"/>
            </w:tcBorders>
            <w:tcMar>
              <w:top w:w="0" w:type="dxa"/>
              <w:left w:w="62" w:type="dxa"/>
              <w:bottom w:w="0" w:type="dxa"/>
              <w:right w:w="62" w:type="dxa"/>
            </w:tcMar>
          </w:tcPr>
          <w:p w:rsidR="00000000" w:rsidP="000933DE">
            <w:pPr>
              <w:pStyle w:val="BodyText"/>
              <w:rPr>
                <w:lang w:val="en-NZ"/>
              </w:rPr>
            </w:pPr>
            <w:r w:rsidRPr="000933DE">
              <w:t>6.1</w:t>
            </w:r>
          </w:p>
        </w:tc>
        <w:tc>
          <w:tcPr>
            <w:tcW w:w="6045" w:type="dxa"/>
            <w:tcBorders>
              <w:top w:val="nil"/>
              <w:left w:val="nil"/>
              <w:bottom w:val="nil"/>
              <w:right w:val="nil"/>
            </w:tcBorders>
            <w:tcMar>
              <w:top w:w="0" w:type="dxa"/>
              <w:left w:w="62" w:type="dxa"/>
              <w:bottom w:w="0" w:type="dxa"/>
              <w:right w:w="62" w:type="dxa"/>
            </w:tcMar>
          </w:tcPr>
          <w:p w:rsidR="00000000" w:rsidP="000933DE">
            <w:pPr>
              <w:pStyle w:val="BodyText"/>
              <w:rPr>
                <w:lang w:val="en-NZ"/>
              </w:rPr>
            </w:pPr>
            <w:r w:rsidRPr="000933DE">
              <w:t>Vessel plan for care of cargo during the voyage is implemented according to organisational and customer requirements, and relevant regulations</w:t>
            </w:r>
          </w:p>
        </w:tc>
      </w:tr>
      <w:tr w:rsidTr="00F933A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933DE">
            <w:pPr>
              <w:pStyle w:val="BodyText"/>
              <w:rPr>
                <w:lang w:val="en-NZ"/>
              </w:rPr>
            </w:pPr>
            <w:r w:rsidRPr="000933DE">
              <w:t>6.2</w:t>
            </w:r>
          </w:p>
        </w:tc>
        <w:tc>
          <w:tcPr>
            <w:tcW w:w="6045" w:type="dxa"/>
            <w:tcBorders>
              <w:top w:val="nil"/>
              <w:left w:val="nil"/>
              <w:bottom w:val="nil"/>
              <w:right w:val="nil"/>
            </w:tcBorders>
            <w:tcMar>
              <w:top w:w="0" w:type="dxa"/>
              <w:left w:w="62" w:type="dxa"/>
              <w:bottom w:w="0" w:type="dxa"/>
              <w:right w:w="62" w:type="dxa"/>
            </w:tcMar>
          </w:tcPr>
          <w:p w:rsidR="00000000" w:rsidP="000933DE">
            <w:pPr>
              <w:pStyle w:val="BodyText"/>
              <w:rPr>
                <w:lang w:val="en-NZ"/>
              </w:rPr>
            </w:pPr>
            <w:r w:rsidRPr="000933DE">
              <w:t>Ventilation and humidity control systems are checked</w:t>
            </w:r>
          </w:p>
        </w:tc>
      </w:tr>
      <w:tr w:rsidTr="00F933A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933DE">
            <w:pPr>
              <w:pStyle w:val="BodyText"/>
              <w:rPr>
                <w:lang w:val="en-NZ"/>
              </w:rPr>
            </w:pPr>
            <w:r w:rsidRPr="000933DE">
              <w:t>6.3</w:t>
            </w:r>
          </w:p>
        </w:tc>
        <w:tc>
          <w:tcPr>
            <w:tcW w:w="6045" w:type="dxa"/>
            <w:tcBorders>
              <w:top w:val="nil"/>
              <w:left w:val="nil"/>
              <w:bottom w:val="nil"/>
              <w:right w:val="nil"/>
            </w:tcBorders>
            <w:tcMar>
              <w:top w:w="0" w:type="dxa"/>
              <w:left w:w="62" w:type="dxa"/>
              <w:bottom w:w="0" w:type="dxa"/>
              <w:right w:w="62" w:type="dxa"/>
            </w:tcMar>
          </w:tcPr>
          <w:p w:rsidR="00000000" w:rsidP="000933DE">
            <w:pPr>
              <w:pStyle w:val="BodyText"/>
              <w:rPr>
                <w:lang w:val="en-NZ"/>
              </w:rPr>
            </w:pPr>
            <w:r w:rsidRPr="000933DE">
              <w:t>Action required to maintain the wellbeing of cargo during the voyage is initiated according to customer requirements and organisational procedures</w:t>
            </w:r>
          </w:p>
        </w:tc>
      </w:tr>
      <w:tr w:rsidTr="00F933A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933DE">
            <w:pPr>
              <w:pStyle w:val="BodyText"/>
              <w:rPr>
                <w:lang w:val="en-NZ"/>
              </w:rPr>
            </w:pPr>
            <w:r w:rsidRPr="000933DE">
              <w:t>6.4</w:t>
            </w:r>
          </w:p>
        </w:tc>
        <w:tc>
          <w:tcPr>
            <w:tcW w:w="6045" w:type="dxa"/>
            <w:tcBorders>
              <w:top w:val="nil"/>
              <w:left w:val="nil"/>
              <w:bottom w:val="nil"/>
              <w:right w:val="nil"/>
            </w:tcBorders>
            <w:tcMar>
              <w:top w:w="0" w:type="dxa"/>
              <w:left w:w="62" w:type="dxa"/>
              <w:bottom w:w="0" w:type="dxa"/>
              <w:right w:w="62" w:type="dxa"/>
            </w:tcMar>
          </w:tcPr>
          <w:p w:rsidR="00000000" w:rsidP="000933DE">
            <w:pPr>
              <w:pStyle w:val="BodyText"/>
              <w:rPr>
                <w:lang w:val="en-NZ"/>
              </w:rPr>
            </w:pPr>
            <w:r w:rsidRPr="000933DE">
              <w:t>Compliance with safety and hazard minimisation procedures and re</w:t>
            </w:r>
            <w:r w:rsidRPr="000933DE">
              <w:t>gulations related to cargo care is managed at all times during the voyage to maintain safety of personnel, cargo and vessel</w:t>
            </w:r>
          </w:p>
        </w:tc>
      </w:tr>
      <w:tr w:rsidTr="00F933A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933DE">
            <w:pPr>
              <w:pStyle w:val="BodyText"/>
              <w:rPr>
                <w:lang w:val="en-NZ"/>
              </w:rPr>
            </w:pPr>
            <w:r w:rsidRPr="000933DE">
              <w:t>6.5</w:t>
            </w:r>
          </w:p>
        </w:tc>
        <w:tc>
          <w:tcPr>
            <w:tcW w:w="6045" w:type="dxa"/>
            <w:tcBorders>
              <w:top w:val="nil"/>
              <w:left w:val="nil"/>
              <w:bottom w:val="nil"/>
              <w:right w:val="nil"/>
            </w:tcBorders>
            <w:tcMar>
              <w:top w:w="0" w:type="dxa"/>
              <w:left w:w="62" w:type="dxa"/>
              <w:bottom w:w="0" w:type="dxa"/>
              <w:right w:w="62" w:type="dxa"/>
            </w:tcMar>
          </w:tcPr>
          <w:p w:rsidR="00000000" w:rsidRPr="000933DE" w:rsidP="000933DE">
            <w:pPr>
              <w:pStyle w:val="BodyText"/>
            </w:pPr>
            <w:r w:rsidRPr="000933DE">
              <w:t>Appropriate action is taken in the event of a cargo-related incident or emergency to rectify problem, secure cargo and mainta</w:t>
            </w:r>
            <w:r w:rsidRPr="000933DE">
              <w:t>in safety of vessel and personnel</w:t>
            </w:r>
          </w:p>
        </w:tc>
      </w:tr>
    </w:tbl>
    <w:p w:rsidR="00000000" w:rsidRPr="000933DE" w:rsidP="000933DE">
      <w:pPr>
        <w:pStyle w:val="BodyText"/>
      </w:pPr>
    </w:p>
    <w:p w:rsidR="00000000" w:rsidRPr="000933DE" w:rsidP="000933DE">
      <w:pPr>
        <w:pStyle w:val="AllowPageBreak"/>
      </w:pPr>
    </w:p>
    <w:p w:rsidR="00000000" w:rsidRPr="000933DE" w:rsidP="000933DE">
      <w:pPr>
        <w:pStyle w:val="Heading1"/>
      </w:pPr>
      <w:bookmarkStart w:id="7" w:name="O_595249"/>
      <w:bookmarkEnd w:id="7"/>
      <w:r w:rsidRPr="000933DE">
        <w:t>Foundation Skills</w:t>
      </w:r>
    </w:p>
    <w:tbl>
      <w:tblPr>
        <w:tblW w:w="9498" w:type="dxa"/>
        <w:tblLayout w:type="fixed"/>
        <w:tblCellMar>
          <w:left w:w="62" w:type="dxa"/>
          <w:right w:w="62" w:type="dxa"/>
        </w:tblCellMar>
        <w:tblLook w:val="0000"/>
      </w:tblPr>
      <w:tblGrid>
        <w:gridCol w:w="9498"/>
      </w:tblGrid>
      <w:tr w:rsidTr="000933DE">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P="000933DE">
            <w:pPr>
              <w:pStyle w:val="BodyText"/>
              <w:rPr>
                <w:lang w:val="en-NZ"/>
              </w:rPr>
            </w:pPr>
            <w:r w:rsidRPr="000933DE">
              <w:t>This section describes those language, literacy, numeracy and employment skills that are essential to performance.</w:t>
            </w:r>
          </w:p>
        </w:tc>
      </w:tr>
      <w:tr w:rsidTr="000933DE">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0933DE" w:rsidP="000933DE">
            <w:pPr>
              <w:pStyle w:val="BodyText"/>
            </w:pPr>
            <w:r w:rsidRPr="000933DE">
              <w:t>Foundation skills essential to performance are explicit in the perfor</w:t>
            </w:r>
            <w:r w:rsidRPr="000933DE">
              <w:t xml:space="preserve">mance criteria of this unit of competency. </w:t>
            </w:r>
          </w:p>
        </w:tc>
      </w:tr>
    </w:tbl>
    <w:p w:rsidR="00000000" w:rsidRPr="000933DE" w:rsidP="000933DE">
      <w:pPr>
        <w:pStyle w:val="BodyText"/>
      </w:pPr>
    </w:p>
    <w:p w:rsidR="00000000" w:rsidRPr="000933DE" w:rsidP="000933DE">
      <w:pPr>
        <w:pStyle w:val="AllowPageBreak"/>
      </w:pPr>
    </w:p>
    <w:p w:rsidR="00000000" w:rsidRPr="000933DE" w:rsidP="000933DE">
      <w:pPr>
        <w:pStyle w:val="Heading1"/>
      </w:pPr>
      <w:bookmarkStart w:id="8" w:name="O_595250"/>
      <w:bookmarkEnd w:id="8"/>
      <w:r w:rsidRPr="000933DE">
        <w:t>Range of Conditions</w:t>
      </w:r>
    </w:p>
    <w:tbl>
      <w:tblPr>
        <w:tblW w:w="9498" w:type="dxa"/>
        <w:tblLayout w:type="fixed"/>
        <w:tblCellMar>
          <w:left w:w="62" w:type="dxa"/>
          <w:right w:w="62" w:type="dxa"/>
        </w:tblCellMar>
        <w:tblLook w:val="0000"/>
      </w:tblPr>
      <w:tblGrid>
        <w:gridCol w:w="2735"/>
        <w:gridCol w:w="6763"/>
      </w:tblGrid>
      <w:tr w:rsidTr="00F933A4">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RPr="000933DE" w:rsidP="000933DE">
            <w:pPr>
              <w:pStyle w:val="BodyText"/>
            </w:pPr>
            <w:r w:rsidRPr="000933DE">
              <w:t xml:space="preserve">Specifies different work environments and conditions that may affect performance. Essential operating conditions that may be present (depending on the work </w:t>
            </w:r>
            <w:r w:rsidRPr="000933DE">
              <w:t>situation, needs of the candidate, accessibility of the item, and local industry and regional contexts) are included.</w:t>
            </w:r>
          </w:p>
          <w:p w:rsidR="00000000" w:rsidRPr="000933DE" w:rsidP="000933DE">
            <w:pPr>
              <w:pStyle w:val="BodyText"/>
            </w:pPr>
          </w:p>
          <w:p w:rsidR="00000000" w:rsidP="000933DE">
            <w:pPr>
              <w:pStyle w:val="BodyText"/>
              <w:rPr>
                <w:lang w:val="en-NZ"/>
              </w:rPr>
            </w:pPr>
            <w:r w:rsidRPr="000933DE">
              <w:t>Range is restricted to essential operating conditions and any other variables essential to the work environment.</w:t>
            </w:r>
          </w:p>
        </w:tc>
      </w:tr>
      <w:tr w:rsidTr="00F933A4">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0933DE">
            <w:pPr>
              <w:pStyle w:val="BodyText"/>
              <w:rPr>
                <w:lang w:val="en-NZ"/>
              </w:rPr>
            </w:pPr>
            <w:r w:rsidRPr="000933DE">
              <w:t xml:space="preserve">Cargo includes one or </w:t>
            </w:r>
            <w:r w:rsidRPr="000933DE">
              <w:t>more of the following:</w:t>
            </w:r>
          </w:p>
        </w:tc>
        <w:tc>
          <w:tcPr>
            <w:tcW w:w="6763" w:type="dxa"/>
            <w:tcBorders>
              <w:top w:val="nil"/>
              <w:left w:val="nil"/>
              <w:bottom w:val="nil"/>
              <w:right w:val="nil"/>
            </w:tcBorders>
            <w:tcMar>
              <w:top w:w="0" w:type="dxa"/>
              <w:left w:w="62" w:type="dxa"/>
              <w:bottom w:w="0" w:type="dxa"/>
              <w:right w:w="62" w:type="dxa"/>
            </w:tcMar>
          </w:tcPr>
          <w:p w:rsidR="00000000" w:rsidRPr="000933DE" w:rsidP="000933DE">
            <w:pPr>
              <w:pStyle w:val="ListBullet"/>
            </w:pPr>
            <w:r w:rsidRPr="000933DE">
              <w:t>bulk cargo</w:t>
            </w:r>
          </w:p>
          <w:p w:rsidR="00000000" w:rsidRPr="000933DE" w:rsidP="000933DE">
            <w:pPr>
              <w:pStyle w:val="ListBullet"/>
            </w:pPr>
            <w:r w:rsidRPr="000933DE">
              <w:t>containerised cargo</w:t>
            </w:r>
          </w:p>
          <w:p w:rsidR="00000000" w:rsidRPr="000933DE" w:rsidP="000933DE">
            <w:pPr>
              <w:pStyle w:val="ListBullet"/>
            </w:pPr>
            <w:r w:rsidRPr="000933DE">
              <w:t>deck cargo</w:t>
            </w:r>
          </w:p>
          <w:p w:rsidR="00000000" w:rsidRPr="000933DE" w:rsidP="000933DE">
            <w:pPr>
              <w:pStyle w:val="ListBullet"/>
            </w:pPr>
            <w:r w:rsidRPr="000933DE">
              <w:t>liquid cargo</w:t>
            </w:r>
          </w:p>
          <w:p w:rsidR="00000000" w:rsidRPr="000933DE" w:rsidP="000933DE">
            <w:pPr>
              <w:pStyle w:val="ListBullet"/>
            </w:pPr>
            <w:r w:rsidRPr="000933DE">
              <w:t>refrigerated cargo</w:t>
            </w:r>
          </w:p>
          <w:p w:rsidR="00000000" w:rsidP="000933DE">
            <w:pPr>
              <w:pStyle w:val="ListBullet"/>
              <w:rPr>
                <w:lang w:val="en-NZ"/>
              </w:rPr>
            </w:pPr>
            <w:r w:rsidRPr="000933DE">
              <w:t>any other material, equipment or machinery that may be safely handled and stowed on the vessel</w:t>
            </w:r>
            <w:r w:rsidRPr="000933DE">
              <w:tab/>
            </w:r>
          </w:p>
        </w:tc>
      </w:tr>
      <w:tr w:rsidTr="00F933A4">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0933DE">
            <w:pPr>
              <w:pStyle w:val="BodyText"/>
              <w:rPr>
                <w:lang w:val="en-NZ"/>
              </w:rPr>
            </w:pPr>
          </w:p>
        </w:tc>
      </w:tr>
      <w:tr w:rsidTr="00F933A4">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0933DE">
            <w:pPr>
              <w:pStyle w:val="BodyText"/>
              <w:rPr>
                <w:lang w:val="en-NZ"/>
              </w:rPr>
            </w:pPr>
            <w:r w:rsidRPr="000933DE">
              <w:t>Hazardous materials/dangerous good</w:t>
            </w:r>
            <w:r w:rsidRPr="000933DE">
              <w:t>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P="000933DE">
            <w:pPr>
              <w:pStyle w:val="ListBullet"/>
              <w:rPr>
                <w:lang w:val="en-NZ"/>
              </w:rPr>
            </w:pPr>
            <w:r w:rsidRPr="000933DE">
              <w:t>any cargo described in the International Maritime Dangerous Goods (IMDG) Code as hazardous or dangerous</w:t>
            </w:r>
          </w:p>
        </w:tc>
      </w:tr>
      <w:tr w:rsidTr="00F933A4">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0933DE">
            <w:pPr>
              <w:pStyle w:val="BodyText"/>
              <w:rPr>
                <w:lang w:val="en-NZ"/>
              </w:rPr>
            </w:pPr>
          </w:p>
        </w:tc>
      </w:tr>
      <w:tr w:rsidTr="00F933A4">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0933DE">
            <w:pPr>
              <w:pStyle w:val="BodyText"/>
              <w:rPr>
                <w:lang w:val="en-NZ"/>
              </w:rPr>
            </w:pPr>
            <w:r w:rsidRPr="000933DE">
              <w:t>Cargo handling gear and equipment includes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0933DE" w:rsidP="000933DE">
            <w:pPr>
              <w:pStyle w:val="ListBullet"/>
            </w:pPr>
            <w:r w:rsidRPr="000933DE">
              <w:t>cargo pumps</w:t>
            </w:r>
          </w:p>
          <w:p w:rsidR="00000000" w:rsidRPr="000933DE" w:rsidP="000933DE">
            <w:pPr>
              <w:pStyle w:val="ListBullet"/>
            </w:pPr>
            <w:r w:rsidRPr="000933DE">
              <w:t>cranes</w:t>
            </w:r>
          </w:p>
          <w:p w:rsidR="00000000" w:rsidRPr="000933DE" w:rsidP="000933DE">
            <w:pPr>
              <w:pStyle w:val="ListBullet"/>
            </w:pPr>
            <w:r w:rsidRPr="000933DE">
              <w:t>derricks</w:t>
            </w:r>
          </w:p>
          <w:p w:rsidR="00000000" w:rsidRPr="000933DE" w:rsidP="000933DE">
            <w:pPr>
              <w:pStyle w:val="ListBullet"/>
            </w:pPr>
            <w:r w:rsidRPr="000933DE">
              <w:t xml:space="preserve">grabs </w:t>
            </w:r>
          </w:p>
          <w:p w:rsidR="00000000" w:rsidRPr="000933DE" w:rsidP="000933DE">
            <w:pPr>
              <w:pStyle w:val="ListBullet"/>
            </w:pPr>
            <w:r w:rsidRPr="000933DE">
              <w:t>hooks, wires and shackles</w:t>
            </w:r>
          </w:p>
          <w:p w:rsidR="00000000" w:rsidP="000933DE">
            <w:pPr>
              <w:pStyle w:val="ListBullet"/>
              <w:rPr>
                <w:lang w:val="en-NZ"/>
              </w:rPr>
            </w:pPr>
            <w:r w:rsidRPr="000933DE">
              <w:t>slings</w:t>
            </w:r>
          </w:p>
        </w:tc>
      </w:tr>
      <w:tr w:rsidTr="00F933A4">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0933DE">
            <w:pPr>
              <w:pStyle w:val="BodyText"/>
              <w:rPr>
                <w:lang w:val="en-NZ"/>
              </w:rPr>
            </w:pPr>
          </w:p>
        </w:tc>
      </w:tr>
      <w:tr w:rsidTr="00F933A4">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0933DE">
            <w:pPr>
              <w:pStyle w:val="BodyText"/>
              <w:rPr>
                <w:lang w:val="en-NZ"/>
              </w:rPr>
            </w:pPr>
            <w:r w:rsidRPr="000933DE">
              <w:t>Cargo stowage plan must include:</w:t>
            </w:r>
          </w:p>
        </w:tc>
        <w:tc>
          <w:tcPr>
            <w:tcW w:w="6763" w:type="dxa"/>
            <w:tcBorders>
              <w:top w:val="nil"/>
              <w:left w:val="nil"/>
              <w:bottom w:val="nil"/>
              <w:right w:val="nil"/>
            </w:tcBorders>
            <w:tcMar>
              <w:top w:w="0" w:type="dxa"/>
              <w:left w:w="62" w:type="dxa"/>
              <w:bottom w:w="0" w:type="dxa"/>
              <w:right w:w="62" w:type="dxa"/>
            </w:tcMar>
          </w:tcPr>
          <w:p w:rsidR="00000000" w:rsidRPr="000933DE" w:rsidP="000933DE">
            <w:pPr>
              <w:pStyle w:val="ListBullet"/>
            </w:pPr>
            <w:r w:rsidRPr="000933DE">
              <w:t>cargo weight</w:t>
            </w:r>
          </w:p>
          <w:p w:rsidR="00000000" w:rsidRPr="000933DE" w:rsidP="000933DE">
            <w:pPr>
              <w:pStyle w:val="ListBullet"/>
            </w:pPr>
            <w:r w:rsidRPr="000933DE">
              <w:t xml:space="preserve">correct description and stowage of hazardous and dangerous goods </w:t>
            </w:r>
          </w:p>
          <w:p w:rsidR="00000000" w:rsidRPr="000933DE" w:rsidP="000933DE">
            <w:pPr>
              <w:pStyle w:val="ListBullet"/>
            </w:pPr>
            <w:r w:rsidRPr="000933DE">
              <w:t>description of cargo to be loaded</w:t>
            </w:r>
          </w:p>
          <w:p w:rsidR="00000000" w:rsidRPr="000933DE" w:rsidP="000933DE">
            <w:pPr>
              <w:pStyle w:val="ListBullet"/>
            </w:pPr>
            <w:r w:rsidRPr="000933DE">
              <w:t>load/discharge port</w:t>
            </w:r>
          </w:p>
          <w:p w:rsidR="00000000" w:rsidP="000933DE">
            <w:pPr>
              <w:pStyle w:val="ListBullet"/>
              <w:rPr>
                <w:lang w:val="en-NZ"/>
              </w:rPr>
            </w:pPr>
            <w:r w:rsidRPr="000933DE">
              <w:t>segregation of non compatible cargo</w:t>
            </w:r>
          </w:p>
        </w:tc>
      </w:tr>
      <w:tr w:rsidTr="00F933A4">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0933DE">
            <w:pPr>
              <w:pStyle w:val="BodyText"/>
              <w:rPr>
                <w:lang w:val="en-NZ"/>
              </w:rPr>
            </w:pPr>
          </w:p>
        </w:tc>
      </w:tr>
      <w:tr w:rsidTr="00F933A4">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0933DE">
            <w:pPr>
              <w:pStyle w:val="BodyText"/>
              <w:rPr>
                <w:lang w:val="en-NZ"/>
              </w:rPr>
            </w:pPr>
            <w:r w:rsidRPr="000933DE">
              <w:t>Ballast management problems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0933DE" w:rsidP="000933DE">
            <w:pPr>
              <w:pStyle w:val="ListBullet"/>
            </w:pPr>
            <w:r w:rsidRPr="000933DE">
              <w:t>confirmation that the stowage plan conforms to stability requirements at all stages of loading and discharging</w:t>
            </w:r>
          </w:p>
          <w:p w:rsidR="00000000" w:rsidRPr="000933DE" w:rsidP="000933DE">
            <w:pPr>
              <w:pStyle w:val="ListBullet"/>
            </w:pPr>
            <w:r w:rsidRPr="000933DE">
              <w:t xml:space="preserve">contaminated ballast </w:t>
            </w:r>
          </w:p>
          <w:p w:rsidR="00000000" w:rsidP="000933DE">
            <w:pPr>
              <w:pStyle w:val="ListBullet"/>
              <w:rPr>
                <w:lang w:val="en-NZ"/>
              </w:rPr>
            </w:pPr>
            <w:r w:rsidRPr="000933DE">
              <w:t>failure of ballast pumps</w:t>
            </w:r>
          </w:p>
        </w:tc>
      </w:tr>
      <w:tr w:rsidTr="00F933A4">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0933DE">
            <w:pPr>
              <w:pStyle w:val="BodyText"/>
              <w:rPr>
                <w:lang w:val="en-NZ"/>
              </w:rPr>
            </w:pPr>
          </w:p>
        </w:tc>
      </w:tr>
      <w:tr w:rsidTr="00F933A4">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0933DE">
            <w:pPr>
              <w:pStyle w:val="BodyText"/>
              <w:rPr>
                <w:lang w:val="en-NZ"/>
              </w:rPr>
            </w:pPr>
            <w:r w:rsidRPr="000933DE">
              <w:t xml:space="preserve">Cargo-related incidents or </w:t>
            </w:r>
            <w:r w:rsidRPr="000933DE">
              <w:t>emergencies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0933DE" w:rsidP="000933DE">
            <w:pPr>
              <w:pStyle w:val="ListBullet"/>
            </w:pPr>
            <w:r w:rsidRPr="000933DE">
              <w:t>cargo handling gear failure</w:t>
            </w:r>
          </w:p>
          <w:p w:rsidR="00000000" w:rsidRPr="000933DE" w:rsidP="000933DE">
            <w:pPr>
              <w:pStyle w:val="ListBullet"/>
            </w:pPr>
            <w:r w:rsidRPr="000933DE">
              <w:t xml:space="preserve">cargo shift </w:t>
            </w:r>
          </w:p>
          <w:p w:rsidR="00000000" w:rsidRPr="000933DE" w:rsidP="000933DE">
            <w:pPr>
              <w:pStyle w:val="ListBullet"/>
            </w:pPr>
            <w:r w:rsidRPr="000933DE">
              <w:t>leakage</w:t>
            </w:r>
          </w:p>
          <w:p w:rsidR="00000000" w:rsidRPr="000933DE" w:rsidP="000933DE">
            <w:pPr>
              <w:pStyle w:val="ListBullet"/>
            </w:pPr>
            <w:r w:rsidRPr="000933DE">
              <w:t>spontaneous combustion</w:t>
            </w:r>
          </w:p>
        </w:tc>
      </w:tr>
    </w:tbl>
    <w:p w:rsidR="00000000" w:rsidRPr="000933DE" w:rsidP="000933DE">
      <w:pPr>
        <w:pStyle w:val="BodyText"/>
      </w:pPr>
    </w:p>
    <w:p w:rsidR="00000000" w:rsidRPr="000933DE" w:rsidP="000933DE">
      <w:pPr>
        <w:pStyle w:val="AllowPageBreak"/>
      </w:pPr>
    </w:p>
    <w:p w:rsidR="00000000" w:rsidRPr="000933DE" w:rsidP="000933DE">
      <w:pPr>
        <w:pStyle w:val="Heading1"/>
      </w:pPr>
      <w:bookmarkStart w:id="9" w:name="O_595251"/>
      <w:bookmarkEnd w:id="9"/>
      <w:r w:rsidRPr="000933DE">
        <w:t>Unit Mapping Information</w:t>
      </w:r>
    </w:p>
    <w:p w:rsidR="00000000" w:rsidRPr="000933DE" w:rsidP="00F933A4">
      <w:pPr>
        <w:pStyle w:val="BodyText"/>
      </w:pPr>
      <w:r w:rsidRPr="000933DE">
        <w:t>This is a new unit. This unit is equivalent to MARA4001A Manage loading, discharging and stowing of cargo.</w:t>
      </w:r>
    </w:p>
    <w:p w:rsidR="00000000" w:rsidRPr="000933DE" w:rsidP="000933DE">
      <w:pPr>
        <w:pStyle w:val="Heading1"/>
      </w:pPr>
      <w:bookmarkStart w:id="10" w:name="O_595258"/>
      <w:bookmarkEnd w:id="10"/>
      <w:r w:rsidRPr="000933DE">
        <w:t>Links</w:t>
      </w:r>
    </w:p>
    <w:p w:rsidR="00000000" w:rsidRPr="000933DE" w:rsidP="00F933A4">
      <w:pPr>
        <w:pStyle w:val="BodyText"/>
      </w:pPr>
      <w:r w:rsidRPr="000933DE">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FB4899">
        <w:rPr>
          <w:rStyle w:val="Hyperlink"/>
        </w:rPr>
        <w:t>https://vetnet.gov.au/Pages/TrainingDocs.aspx?q=772efb7b-4cce-47fe-9bbd-ee3b1d1eb4c2</w:t>
      </w:r>
      <w:r>
        <w:fldChar w:fldCharType="end"/>
      </w:r>
    </w:p>
    <w:p w:rsidR="00000000" w:rsidRPr="000933DE" w:rsidP="00F933A4">
      <w:pPr>
        <w:pStyle w:val="BodyText"/>
        <w:sectPr w:rsidSect="000933DE">
          <w:headerReference w:type="default" r:id="rId10"/>
          <w:footerReference w:type="default" r:id="rId11"/>
          <w:pgSz w:w="11908" w:h="16833"/>
          <w:pgMar w:top="1702" w:right="1418" w:bottom="1702" w:left="1418" w:header="992" w:footer="992" w:gutter="0"/>
          <w:cols w:space="720"/>
          <w:noEndnote/>
          <w:docGrid w:linePitch="299"/>
        </w:sectPr>
      </w:pPr>
    </w:p>
    <w:p w:rsidR="00000000" w:rsidRPr="000933DE" w:rsidP="000933DE">
      <w:pPr>
        <w:pStyle w:val="SuperHeading"/>
      </w:pPr>
      <w:r w:rsidRPr="000933DE">
        <w:t>Assessment Requirements for MARA003 Manage loading, discharging and stowing of cargo</w:t>
      </w:r>
    </w:p>
    <w:p w:rsidR="00000000" w:rsidRPr="000933DE" w:rsidP="000933DE">
      <w:pPr>
        <w:pStyle w:val="Heading1"/>
      </w:pPr>
      <w:bookmarkStart w:id="11" w:name="O_595253"/>
      <w:bookmarkEnd w:id="11"/>
      <w:r w:rsidRPr="000933DE">
        <w:t>Modification History</w:t>
      </w:r>
    </w:p>
    <w:p w:rsidR="00000000" w:rsidRPr="000933DE" w:rsidP="00F933A4">
      <w:pPr>
        <w:pStyle w:val="BodyText"/>
      </w:pPr>
      <w:r w:rsidRPr="000933DE">
        <w:t>Release 1. New unit of competency.</w:t>
      </w:r>
    </w:p>
    <w:p w:rsidR="00000000" w:rsidRPr="000933DE" w:rsidP="000933DE">
      <w:pPr>
        <w:pStyle w:val="Heading1"/>
      </w:pPr>
      <w:bookmarkStart w:id="12" w:name="O_595254"/>
      <w:bookmarkEnd w:id="12"/>
      <w:r w:rsidRPr="000933DE">
        <w:t>Performance Evidence</w:t>
      </w:r>
    </w:p>
    <w:p w:rsidR="00000000" w:rsidRPr="000933DE" w:rsidP="00F933A4">
      <w:pPr>
        <w:pStyle w:val="BodyText"/>
      </w:pPr>
      <w:r w:rsidRPr="000933DE">
        <w:t>Evidence required to demonstrate competence in this unit must be relevant to and satisfy all of the requirements of the elements and performance criteria on at least one occasion and include:</w:t>
      </w:r>
    </w:p>
    <w:p w:rsidR="00000000" w:rsidRPr="000933DE" w:rsidP="000933DE">
      <w:pPr>
        <w:pStyle w:val="ListBullet"/>
      </w:pPr>
      <w:r w:rsidRPr="000933DE">
        <w:t>developing effective planning document</w:t>
      </w:r>
    </w:p>
    <w:p w:rsidR="00000000" w:rsidRPr="000933DE" w:rsidP="000933DE">
      <w:pPr>
        <w:pStyle w:val="ListBullet"/>
      </w:pPr>
      <w:r w:rsidRPr="000933DE">
        <w:t>identifying and solving problems related to loading, stowage, security and unloading of cargo</w:t>
      </w:r>
    </w:p>
    <w:p w:rsidR="00000000" w:rsidRPr="000933DE" w:rsidP="000933DE">
      <w:pPr>
        <w:pStyle w:val="ListBullet"/>
      </w:pPr>
      <w:r w:rsidRPr="000933DE">
        <w:t>interpreting stability manual and ensuring stability calculations are within appropriate parameters for proposed cargo operation</w:t>
      </w:r>
    </w:p>
    <w:p w:rsidR="00000000" w:rsidRPr="000933DE" w:rsidP="000933DE">
      <w:pPr>
        <w:pStyle w:val="ListBullet"/>
      </w:pPr>
      <w:r w:rsidRPr="000933DE">
        <w:t>monitoring use of equipment invol</w:t>
      </w:r>
      <w:r w:rsidRPr="000933DE">
        <w:t>ved in loading, stowage, security and unloading of cargo</w:t>
      </w:r>
    </w:p>
    <w:p w:rsidR="00000000" w:rsidRPr="000933DE" w:rsidP="000933DE">
      <w:pPr>
        <w:pStyle w:val="ListBullet"/>
      </w:pPr>
      <w:r w:rsidRPr="000933DE">
        <w:t xml:space="preserve">producing reliable documentation </w:t>
      </w:r>
    </w:p>
    <w:p w:rsidR="00000000" w:rsidRPr="000933DE" w:rsidP="000933DE">
      <w:pPr>
        <w:pStyle w:val="ListBullet"/>
      </w:pPr>
      <w:r w:rsidRPr="000933DE">
        <w:t>reading, interpreting and applying instructions, regulations, procedures and information relevant to loading, stowage, security and unloading of cargo.</w:t>
      </w:r>
    </w:p>
    <w:p w:rsidR="00000000" w:rsidRPr="000933DE" w:rsidP="000933DE">
      <w:pPr>
        <w:pStyle w:val="AllowPageBreak"/>
      </w:pPr>
    </w:p>
    <w:p w:rsidR="00000000" w:rsidRPr="000933DE" w:rsidP="000933DE">
      <w:pPr>
        <w:pStyle w:val="Heading1"/>
      </w:pPr>
      <w:bookmarkStart w:id="13" w:name="O_595255"/>
      <w:bookmarkEnd w:id="13"/>
      <w:r w:rsidRPr="000933DE">
        <w:t>Knowledge Evidence</w:t>
      </w:r>
    </w:p>
    <w:p w:rsidR="00000000" w:rsidRPr="000933DE" w:rsidP="00F933A4">
      <w:pPr>
        <w:pStyle w:val="BodyText"/>
      </w:pPr>
      <w:r w:rsidRPr="000933DE">
        <w:t>Evidence required to demonstrate competence in this unit must be relevant to and satisfy all of the requirements of the elements and performance criteria and include knowledge of:</w:t>
      </w:r>
    </w:p>
    <w:p w:rsidR="00000000" w:rsidRPr="000933DE" w:rsidP="000933DE">
      <w:pPr>
        <w:pStyle w:val="ListBullet"/>
      </w:pPr>
      <w:r w:rsidRPr="000933DE">
        <w:t>ballast management issues and procedures</w:t>
      </w:r>
    </w:p>
    <w:p w:rsidR="00000000" w:rsidRPr="000933DE" w:rsidP="000933DE">
      <w:pPr>
        <w:pStyle w:val="ListBullet"/>
      </w:pPr>
      <w:r w:rsidRPr="000933DE">
        <w:t>cargo hand</w:t>
      </w:r>
      <w:r w:rsidRPr="000933DE">
        <w:t>ling documentation requirements</w:t>
      </w:r>
    </w:p>
    <w:p w:rsidR="00000000" w:rsidRPr="000933DE" w:rsidP="000933DE">
      <w:pPr>
        <w:pStyle w:val="ListBullet"/>
      </w:pPr>
      <w:r w:rsidRPr="000933DE">
        <w:t>container position numbering</w:t>
      </w:r>
    </w:p>
    <w:p w:rsidR="00000000" w:rsidRPr="000933DE" w:rsidP="000933DE">
      <w:pPr>
        <w:pStyle w:val="ListBullet"/>
      </w:pPr>
      <w:r w:rsidRPr="000933DE">
        <w:t>design of vessel hold</w:t>
      </w:r>
    </w:p>
    <w:p w:rsidR="00000000" w:rsidRPr="000933DE" w:rsidP="000933DE">
      <w:pPr>
        <w:pStyle w:val="ListBullet"/>
      </w:pPr>
      <w:r w:rsidRPr="000933DE">
        <w:t>effects on cargo handling of sea conditions, wind and weather</w:t>
      </w:r>
    </w:p>
    <w:p w:rsidR="00000000" w:rsidRPr="000933DE" w:rsidP="000933DE">
      <w:pPr>
        <w:pStyle w:val="ListBullet"/>
      </w:pPr>
      <w:r w:rsidRPr="000933DE">
        <w:t>effects of different types of cargo operations on vessel trim and stability</w:t>
      </w:r>
    </w:p>
    <w:p w:rsidR="00000000" w:rsidRPr="000933DE" w:rsidP="000933DE">
      <w:pPr>
        <w:pStyle w:val="ListBullet"/>
      </w:pPr>
      <w:r w:rsidRPr="000933DE">
        <w:t>effects upon stability during loadi</w:t>
      </w:r>
      <w:r w:rsidRPr="000933DE">
        <w:t>ng and discharging operations including heeling moments from gear and loads</w:t>
      </w:r>
    </w:p>
    <w:p w:rsidR="00000000" w:rsidRPr="000933DE" w:rsidP="000933DE">
      <w:pPr>
        <w:pStyle w:val="ListBullet"/>
      </w:pPr>
      <w:r w:rsidRPr="000933DE">
        <w:t>homogenous loading</w:t>
      </w:r>
    </w:p>
    <w:p w:rsidR="00000000" w:rsidRPr="000933DE" w:rsidP="000933DE">
      <w:pPr>
        <w:pStyle w:val="ListBullet"/>
      </w:pPr>
      <w:r w:rsidRPr="000933DE">
        <w:t>main stresses set up by cargo, hogging, sagging and shearing</w:t>
      </w:r>
    </w:p>
    <w:p w:rsidR="00000000" w:rsidRPr="000933DE" w:rsidP="000933DE">
      <w:pPr>
        <w:pStyle w:val="ListBullet"/>
      </w:pPr>
      <w:r w:rsidRPr="000933DE">
        <w:t>methods of;</w:t>
      </w:r>
    </w:p>
    <w:p w:rsidR="00000000" w:rsidRPr="000933DE" w:rsidP="000933DE">
      <w:pPr>
        <w:pStyle w:val="ListBullet2"/>
      </w:pPr>
      <w:r w:rsidRPr="000933DE">
        <w:t>handling various types of cargo</w:t>
      </w:r>
    </w:p>
    <w:p w:rsidR="00000000" w:rsidRPr="000933DE" w:rsidP="000933DE">
      <w:pPr>
        <w:pStyle w:val="ListBullet2"/>
      </w:pPr>
      <w:r w:rsidRPr="000933DE">
        <w:t>caring for various types of cargo</w:t>
      </w:r>
    </w:p>
    <w:p w:rsidR="00000000" w:rsidRPr="000933DE" w:rsidP="000933DE">
      <w:pPr>
        <w:pStyle w:val="ListBullet"/>
      </w:pPr>
      <w:r w:rsidRPr="000933DE">
        <w:t>operational characteristics of different types of shipboard and terminal-based cargo handling equipment and facilities</w:t>
      </w:r>
    </w:p>
    <w:p w:rsidR="00000000" w:rsidRPr="000933DE" w:rsidP="000933DE">
      <w:pPr>
        <w:pStyle w:val="ListBullet"/>
      </w:pPr>
      <w:r w:rsidRPr="000933DE">
        <w:t>principles of cargo care</w:t>
      </w:r>
    </w:p>
    <w:p w:rsidR="00000000" w:rsidRPr="000933DE" w:rsidP="000933DE">
      <w:pPr>
        <w:pStyle w:val="ListBullet"/>
      </w:pPr>
      <w:r w:rsidRPr="000933DE">
        <w:t>procedures for carrying out calculations involving weights, capacities, stowage factors, load densities</w:t>
      </w:r>
    </w:p>
    <w:p w:rsidR="00000000" w:rsidRPr="000933DE" w:rsidP="000933DE">
      <w:pPr>
        <w:pStyle w:val="ListBullet"/>
      </w:pPr>
      <w:r w:rsidRPr="000933DE">
        <w:t>relevant</w:t>
      </w:r>
      <w:r w:rsidRPr="000933DE">
        <w:t xml:space="preserve"> sections of applicable maritime regulations</w:t>
      </w:r>
    </w:p>
    <w:p w:rsidR="00000000" w:rsidRPr="000933DE" w:rsidP="000933DE">
      <w:pPr>
        <w:pStyle w:val="ListBullet"/>
      </w:pPr>
      <w:r w:rsidRPr="000933DE">
        <w:t>relevant work health and safety (WHS)/occupational health and safety (OHS) and cargo handling legislation, codes of practice, policies and procedures</w:t>
      </w:r>
    </w:p>
    <w:p w:rsidR="00000000" w:rsidRPr="000933DE" w:rsidP="000933DE">
      <w:pPr>
        <w:pStyle w:val="ListBullet"/>
      </w:pPr>
      <w:r w:rsidRPr="000933DE">
        <w:t>standard stowage position numbering systems used on container</w:t>
      </w:r>
      <w:r w:rsidRPr="000933DE">
        <w:t xml:space="preserve"> vessels</w:t>
      </w:r>
    </w:p>
    <w:p w:rsidR="00000000" w:rsidRPr="000933DE" w:rsidP="000933DE">
      <w:pPr>
        <w:pStyle w:val="ListBullet"/>
      </w:pPr>
      <w:r w:rsidRPr="000933DE">
        <w:t>static and dynamic loads</w:t>
      </w:r>
    </w:p>
    <w:p w:rsidR="00000000" w:rsidRPr="000933DE" w:rsidP="000933DE">
      <w:pPr>
        <w:pStyle w:val="ListBullet"/>
      </w:pPr>
      <w:r w:rsidRPr="000933DE">
        <w:t>survey and inspection requirements for cargo handling equipment</w:t>
      </w:r>
    </w:p>
    <w:p w:rsidR="00000000" w:rsidRPr="000933DE" w:rsidP="000933DE">
      <w:pPr>
        <w:pStyle w:val="ListBullet"/>
      </w:pPr>
      <w:r w:rsidRPr="000933DE">
        <w:t>types of lashing devices</w:t>
      </w:r>
    </w:p>
    <w:p w:rsidR="00000000" w:rsidRPr="000933DE" w:rsidP="000933DE">
      <w:pPr>
        <w:pStyle w:val="ListBullet"/>
      </w:pPr>
      <w:r w:rsidRPr="000933DE">
        <w:t>typical cargo handling problems and hazards, and appropriate preventative and remedial actions and solutions</w:t>
      </w:r>
    </w:p>
    <w:p w:rsidR="00000000" w:rsidRPr="000933DE" w:rsidP="000933DE">
      <w:pPr>
        <w:pStyle w:val="ListBullet"/>
      </w:pPr>
      <w:r w:rsidRPr="000933DE">
        <w:t xml:space="preserve">typical types and sizes </w:t>
      </w:r>
      <w:r w:rsidRPr="000933DE">
        <w:t>of shipping containers</w:t>
      </w:r>
    </w:p>
    <w:p w:rsidR="00000000" w:rsidRPr="000933DE" w:rsidP="000933DE">
      <w:pPr>
        <w:pStyle w:val="ListBullet"/>
      </w:pPr>
      <w:r w:rsidRPr="000933DE">
        <w:t>usual methods of packing, loading and discharging, stowage, dunnaging etc.</w:t>
      </w:r>
    </w:p>
    <w:p w:rsidR="00000000" w:rsidRPr="000933DE" w:rsidP="000933DE">
      <w:pPr>
        <w:pStyle w:val="ListBullet"/>
      </w:pPr>
      <w:r w:rsidRPr="000933DE">
        <w:t>use of cargo handling gear including purchases and tackles</w:t>
      </w:r>
    </w:p>
    <w:p w:rsidR="00000000" w:rsidRPr="000933DE" w:rsidP="000933DE">
      <w:pPr>
        <w:pStyle w:val="ListBullet"/>
      </w:pPr>
      <w:r w:rsidRPr="000933DE">
        <w:t>various types of cargo likely to be carried; their peculiar characteristics, liability to damage, decay or deterioration; their measurements; their hazards and problems, and appropriate preventative and remedial action and solutions</w:t>
      </w:r>
    </w:p>
    <w:p w:rsidR="00000000" w:rsidRPr="000933DE" w:rsidP="000933DE">
      <w:pPr>
        <w:pStyle w:val="ListBullet"/>
      </w:pPr>
      <w:r w:rsidRPr="000933DE">
        <w:t>ways of restricting ves</w:t>
      </w:r>
      <w:r w:rsidRPr="000933DE">
        <w:t>sel stress levels within permitted levels within permitted limits during loading/discharging cargo.</w:t>
      </w:r>
    </w:p>
    <w:p w:rsidR="00000000" w:rsidRPr="000933DE" w:rsidP="000933DE">
      <w:pPr>
        <w:pStyle w:val="AllowPageBreak"/>
      </w:pPr>
    </w:p>
    <w:p w:rsidR="00000000" w:rsidRPr="000933DE" w:rsidP="000933DE">
      <w:pPr>
        <w:pStyle w:val="Heading1"/>
      </w:pPr>
      <w:bookmarkStart w:id="14" w:name="O_595256"/>
      <w:bookmarkEnd w:id="14"/>
      <w:r w:rsidRPr="000933DE">
        <w:t>Assessment Conditions</w:t>
      </w:r>
    </w:p>
    <w:p w:rsidR="00000000" w:rsidRPr="000933DE" w:rsidP="00F933A4">
      <w:pPr>
        <w:pStyle w:val="BodyText"/>
      </w:pPr>
      <w:r w:rsidRPr="000933DE">
        <w:t>Assessors must satisfy National Vocational Education and Training Regulator (NVR)/Australian Quality Training Framewo</w:t>
      </w:r>
      <w:r w:rsidRPr="000933DE">
        <w:t>rk (AQTF) assessor requirements.</w:t>
      </w:r>
    </w:p>
    <w:p w:rsidR="00000000" w:rsidRPr="000933DE" w:rsidP="00F933A4">
      <w:pPr>
        <w:pStyle w:val="BodyText"/>
      </w:pPr>
      <w:r w:rsidRPr="000933DE">
        <w:t>Assessment must occur in workplace operational situations where it is appropriate to do so; where this is not appropriate, assessment must occur in simulated workplace operational situations that reflect workplace condition</w:t>
      </w:r>
      <w:r w:rsidRPr="000933DE">
        <w:t>s.</w:t>
      </w:r>
    </w:p>
    <w:p w:rsidR="00000000" w:rsidRPr="000933DE" w:rsidP="00F933A4">
      <w:pPr>
        <w:pStyle w:val="BodyText"/>
      </w:pPr>
      <w:r w:rsidRPr="000933DE">
        <w:t>Assessment processes and techniques must be appropriate to the language, literacy and numeracy requirements of the work being performed and the needs of the candidate.</w:t>
      </w:r>
    </w:p>
    <w:p w:rsidR="00000000" w:rsidRPr="000933DE" w:rsidP="00F933A4">
      <w:pPr>
        <w:pStyle w:val="BodyText"/>
      </w:pPr>
      <w:r w:rsidRPr="000933DE">
        <w:t>Resources for assessment must include access to:</w:t>
      </w:r>
    </w:p>
    <w:p w:rsidR="00000000" w:rsidRPr="000933DE" w:rsidP="000933DE">
      <w:pPr>
        <w:pStyle w:val="ListBullet"/>
      </w:pPr>
      <w:r w:rsidRPr="000933DE">
        <w:t>tools, equipment, machinery, materi</w:t>
      </w:r>
      <w:r w:rsidRPr="000933DE">
        <w:t>als and personal protective equipment currently used in industry</w:t>
      </w:r>
    </w:p>
    <w:p w:rsidR="00000000" w:rsidRPr="000933DE" w:rsidP="000933DE">
      <w:pPr>
        <w:pStyle w:val="ListBullet"/>
      </w:pPr>
      <w:r w:rsidRPr="000933DE">
        <w:t xml:space="preserve">applicable documentation such as legislation, regulations, codes of practice, workplace procedures and operational manuals </w:t>
      </w:r>
    </w:p>
    <w:p w:rsidR="00000000" w:rsidRPr="000933DE" w:rsidP="000933DE">
      <w:pPr>
        <w:pStyle w:val="ListBullet"/>
      </w:pPr>
      <w:r w:rsidRPr="000933DE">
        <w:t>range of relevant exercises, case studies and/or simulations.</w:t>
      </w:r>
    </w:p>
    <w:p w:rsidR="00000000" w:rsidRPr="000933DE" w:rsidP="000933DE">
      <w:pPr>
        <w:pStyle w:val="AllowPageBreak"/>
      </w:pPr>
    </w:p>
    <w:p w:rsidR="00000000" w:rsidRPr="000933DE" w:rsidP="000933DE">
      <w:pPr>
        <w:pStyle w:val="Heading1"/>
      </w:pPr>
      <w:bookmarkStart w:id="15" w:name="O_595259"/>
      <w:bookmarkEnd w:id="15"/>
      <w:r w:rsidRPr="000933DE">
        <w:t>Links</w:t>
      </w:r>
    </w:p>
    <w:p w:rsidR="00000000" w:rsidRPr="000933DE" w:rsidP="00F933A4">
      <w:pPr>
        <w:pStyle w:val="BodyText"/>
      </w:pPr>
      <w:r w:rsidRPr="000933DE">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FB4899">
        <w:rPr>
          <w:rStyle w:val="Hyperlink"/>
        </w:rPr>
        <w:t>https://vetnet.gov.au/Pages/TrainingDocs.aspx?q=772efb7b-4cce-47fe-9bbd-ee3b1d1eb4c2</w:t>
      </w:r>
      <w:r>
        <w:fldChar w:fldCharType="end"/>
      </w:r>
    </w:p>
    <w:p w:rsidR="00000000" w:rsidRPr="000933DE" w:rsidP="000933DE"/>
    <w:sectPr w:rsidSect="000933D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3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3DE" w:rsidRPr="00F933A4" w:rsidP="00F933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3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3A4" w:rsidP="000933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F933A4" w:rsidP="000933D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F933A4" w:rsidP="000933D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3DE" w:rsidP="000933DE">
    <w:pPr>
      <w:pStyle w:val="Footer"/>
      <w:framePr w:wrap="around"/>
    </w:pPr>
    <w:r>
      <w:fldChar w:fldCharType="begin"/>
    </w:r>
    <w:r>
      <w:instrText xml:space="preserve"> DOCPROPERTY  Subject  \* MERGEFORMAT </w:instrText>
    </w:r>
    <w:r>
      <w:fldChar w:fldCharType="separate"/>
    </w:r>
    <w:r w:rsidR="00F933A4">
      <w:t>Approved</w:t>
    </w:r>
    <w:r w:rsidR="00F933A4">
      <w:fldChar w:fldCharType="end"/>
    </w:r>
    <w:r>
      <w:tab/>
      <w:t xml:space="preserve">Page </w:t>
    </w:r>
    <w:r>
      <w:fldChar w:fldCharType="begin"/>
    </w:r>
    <w:r>
      <w:instrText xml:space="preserve"> PAGE  \* Arabic  \* MERGEFORMAT </w:instrText>
    </w:r>
    <w:r>
      <w:fldChar w:fldCharType="separate"/>
    </w:r>
    <w:r w:rsidR="00F933A4">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933A4">
      <w:rPr>
        <w:noProof/>
      </w:rPr>
      <w:t>6</w:t>
    </w:r>
    <w:r>
      <w:rPr>
        <w:noProof/>
      </w:rPr>
      <w:fldChar w:fldCharType="end"/>
    </w:r>
  </w:p>
  <w:p w:rsidR="000933DE" w:rsidP="000933DE">
    <w:pPr>
      <w:pStyle w:val="Footer"/>
      <w:framePr w:wrap="around"/>
    </w:pPr>
    <w:r>
      <w:t xml:space="preserve">© Commonwealth of Australia, </w:t>
    </w:r>
    <w:r>
      <w:fldChar w:fldCharType="begin"/>
    </w:r>
    <w:r>
      <w:instrText xml:space="preserve"> DATE  \@ "yyyy"  \* MERGEFORMAT </w:instrText>
    </w:r>
    <w:r>
      <w:fldChar w:fldCharType="separate"/>
    </w:r>
    <w:r w:rsidR="00F933A4">
      <w:rPr>
        <w:noProof/>
      </w:rPr>
      <w:t>2025</w:t>
    </w:r>
    <w:r>
      <w:fldChar w:fldCharType="end"/>
    </w:r>
    <w:r>
      <w:tab/>
    </w:r>
    <w:r>
      <w:fldChar w:fldCharType="begin"/>
    </w:r>
    <w:r>
      <w:instrText xml:space="preserve"> DOCPROPERTY  Author  \* MERGEFORMAT </w:instrText>
    </w:r>
    <w:r>
      <w:fldChar w:fldCharType="separate"/>
    </w:r>
    <w:r w:rsidR="00F933A4">
      <w:t>Industry Skills Australia</w:t>
    </w:r>
    <w:r w:rsidR="00F933A4">
      <w:fldChar w:fldCharType="end"/>
    </w:r>
  </w:p>
  <w:p w:rsidR="000933DE" w:rsidP="000933D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3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3A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933DE" w:rsidRPr="00F933A4" w:rsidP="00F933A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3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3A4" w:rsidRPr="002D2AF8" w:rsidP="000933DE">
    <w:pPr>
      <w:pStyle w:val="Header"/>
      <w:framePr w:wrap="around"/>
    </w:pPr>
    <w:r>
      <w:fldChar w:fldCharType="begin"/>
    </w:r>
    <w:r>
      <w:instrText xml:space="preserve"> TITLE   \* MERGEFORMAT </w:instrText>
    </w:r>
    <w:r>
      <w:fldChar w:fldCharType="separate"/>
    </w:r>
    <w:r>
      <w:t>MARA003 Manage loading, discharging and stowing of cargo</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933A4" w:rsidP="000933D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3DE" w:rsidRPr="002D2AF8" w:rsidP="000933DE">
    <w:pPr>
      <w:pStyle w:val="Header"/>
      <w:framePr w:wrap="around"/>
    </w:pPr>
    <w:r>
      <w:fldChar w:fldCharType="begin"/>
    </w:r>
    <w:r>
      <w:instrText xml:space="preserve"> TITLE   \* MERGEFORMAT </w:instrText>
    </w:r>
    <w:r>
      <w:fldChar w:fldCharType="separate"/>
    </w:r>
    <w:r w:rsidR="00F933A4">
      <w:t>MARA003 Manage loading, discharging and stowing of cargo</w:t>
    </w:r>
    <w:r w:rsidR="00F933A4">
      <w:fldChar w:fldCharType="end"/>
    </w:r>
    <w:r>
      <w:tab/>
      <w:t xml:space="preserve">Date this document was generated: </w:t>
    </w:r>
    <w:r>
      <w:fldChar w:fldCharType="begin"/>
    </w:r>
    <w:r>
      <w:instrText xml:space="preserve"> CREATEDATE  \@ "d MMMM yyyy"  \* MERGEFORMAT </w:instrText>
    </w:r>
    <w:r>
      <w:fldChar w:fldCharType="separate"/>
    </w:r>
    <w:r w:rsidR="00F933A4">
      <w:rPr>
        <w:noProof/>
      </w:rPr>
      <w:t>2 March 2025</w:t>
    </w:r>
    <w:r>
      <w:fldChar w:fldCharType="end"/>
    </w:r>
  </w:p>
  <w:p w:rsidR="000933DE" w:rsidP="000933D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A187F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8BA9A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E1490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33D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933DE"/>
    <w:pPr>
      <w:spacing w:before="360" w:after="60"/>
      <w:outlineLvl w:val="0"/>
    </w:pPr>
    <w:rPr>
      <w:sz w:val="32"/>
    </w:rPr>
  </w:style>
  <w:style w:type="paragraph" w:styleId="Heading2">
    <w:name w:val="heading 2"/>
    <w:basedOn w:val="HeadingBase"/>
    <w:next w:val="BodyText"/>
    <w:link w:val="Heading2Char"/>
    <w:qFormat/>
    <w:rsid w:val="000933DE"/>
    <w:pPr>
      <w:keepLines/>
      <w:spacing w:before="240" w:after="120"/>
      <w:outlineLvl w:val="1"/>
    </w:pPr>
    <w:rPr>
      <w:sz w:val="28"/>
      <w:szCs w:val="40"/>
    </w:rPr>
  </w:style>
  <w:style w:type="paragraph" w:styleId="Heading3">
    <w:name w:val="heading 3"/>
    <w:basedOn w:val="HeadingBase"/>
    <w:next w:val="BodyText"/>
    <w:link w:val="Heading3Char"/>
    <w:qFormat/>
    <w:rsid w:val="000933DE"/>
    <w:pPr>
      <w:spacing w:before="180" w:after="120"/>
      <w:outlineLvl w:val="2"/>
    </w:pPr>
    <w:rPr>
      <w:spacing w:val="-10"/>
      <w:kern w:val="32"/>
    </w:rPr>
  </w:style>
  <w:style w:type="paragraph" w:styleId="Heading4">
    <w:name w:val="heading 4"/>
    <w:basedOn w:val="HeadingBase"/>
    <w:next w:val="BodyText"/>
    <w:link w:val="Heading4Char"/>
    <w:qFormat/>
    <w:rsid w:val="000933DE"/>
    <w:pPr>
      <w:spacing w:before="160" w:after="120"/>
      <w:outlineLvl w:val="3"/>
    </w:pPr>
    <w:rPr>
      <w:sz w:val="22"/>
    </w:rPr>
  </w:style>
  <w:style w:type="paragraph" w:styleId="Heading5">
    <w:name w:val="heading 5"/>
    <w:basedOn w:val="HeadingBase"/>
    <w:next w:val="Normal"/>
    <w:link w:val="Heading5Char"/>
    <w:qFormat/>
    <w:rsid w:val="000933DE"/>
    <w:pPr>
      <w:spacing w:before="80"/>
      <w:outlineLvl w:val="4"/>
    </w:pPr>
    <w:rPr>
      <w:color w:val="918585"/>
      <w:sz w:val="20"/>
    </w:rPr>
  </w:style>
  <w:style w:type="paragraph" w:styleId="Heading6">
    <w:name w:val="heading 6"/>
    <w:basedOn w:val="HeadingBase"/>
    <w:next w:val="Normal"/>
    <w:link w:val="Heading6Char"/>
    <w:qFormat/>
    <w:rsid w:val="000933DE"/>
    <w:pPr>
      <w:spacing w:before="60"/>
      <w:outlineLvl w:val="5"/>
    </w:pPr>
    <w:rPr>
      <w:color w:val="918585"/>
      <w:sz w:val="20"/>
    </w:rPr>
  </w:style>
  <w:style w:type="paragraph" w:styleId="Heading7">
    <w:name w:val="heading 7"/>
    <w:basedOn w:val="Normal"/>
    <w:next w:val="Normal"/>
    <w:link w:val="Heading7Char"/>
    <w:qFormat/>
    <w:rsid w:val="000933DE"/>
    <w:pPr>
      <w:ind w:left="720"/>
      <w:outlineLvl w:val="6"/>
    </w:pPr>
    <w:rPr>
      <w:i/>
    </w:rPr>
  </w:style>
  <w:style w:type="paragraph" w:styleId="Heading8">
    <w:name w:val="heading 8"/>
    <w:basedOn w:val="Normal"/>
    <w:next w:val="Normal"/>
    <w:link w:val="Heading8Char"/>
    <w:qFormat/>
    <w:rsid w:val="000933DE"/>
    <w:pPr>
      <w:ind w:left="720"/>
      <w:outlineLvl w:val="7"/>
    </w:pPr>
    <w:rPr>
      <w:i/>
    </w:rPr>
  </w:style>
  <w:style w:type="paragraph" w:styleId="Heading9">
    <w:name w:val="heading 9"/>
    <w:basedOn w:val="Normal"/>
    <w:next w:val="Normal"/>
    <w:link w:val="Heading9Char"/>
    <w:qFormat/>
    <w:rsid w:val="000933DE"/>
    <w:pPr>
      <w:ind w:left="720"/>
      <w:outlineLvl w:val="8"/>
    </w:pPr>
    <w:rPr>
      <w:i/>
    </w:rPr>
  </w:style>
  <w:style w:type="character" w:default="1" w:styleId="DefaultParagraphFont">
    <w:name w:val="Default Paragraph Font"/>
    <w:uiPriority w:val="1"/>
    <w:unhideWhenUsed/>
    <w:rsid w:val="000933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33DE"/>
  </w:style>
  <w:style w:type="character" w:customStyle="1" w:styleId="Heading1Char">
    <w:name w:val="Heading 1 Char"/>
    <w:basedOn w:val="DefaultParagraphFont"/>
    <w:link w:val="Heading1"/>
    <w:rsid w:val="000933DE"/>
    <w:rPr>
      <w:rFonts w:ascii="Times New Roman" w:eastAsia="Times New Roman" w:hAnsi="Times New Roman" w:cs="Times New Roman"/>
      <w:b/>
      <w:sz w:val="32"/>
      <w:szCs w:val="20"/>
      <w:lang w:eastAsia="en-US"/>
    </w:rPr>
  </w:style>
  <w:style w:type="paragraph" w:styleId="BodyText">
    <w:name w:val="Body Text"/>
    <w:basedOn w:val="Normal"/>
    <w:link w:val="BodyTextChar"/>
    <w:rsid w:val="000933D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933DE"/>
    <w:rPr>
      <w:rFonts w:ascii="Times New Roman" w:eastAsia="Times New Roman" w:hAnsi="Times New Roman" w:cs="Times New Roman"/>
      <w:sz w:val="24"/>
      <w:lang w:eastAsia="en-US"/>
    </w:rPr>
  </w:style>
  <w:style w:type="paragraph" w:styleId="ListBullet">
    <w:name w:val="List Bullet"/>
    <w:basedOn w:val="List"/>
    <w:rsid w:val="000933DE"/>
    <w:pPr>
      <w:numPr>
        <w:numId w:val="12"/>
      </w:numPr>
      <w:tabs>
        <w:tab w:val="clear" w:pos="340"/>
      </w:tabs>
      <w:spacing w:before="40" w:after="40"/>
    </w:pPr>
  </w:style>
  <w:style w:type="character" w:customStyle="1" w:styleId="SpecialBold">
    <w:name w:val="Special Bold"/>
    <w:basedOn w:val="DefaultParagraphFont"/>
    <w:rsid w:val="000933DE"/>
    <w:rPr>
      <w:b/>
      <w:spacing w:val="0"/>
    </w:rPr>
  </w:style>
  <w:style w:type="paragraph" w:styleId="ListBullet2">
    <w:name w:val="List Bullet 2"/>
    <w:basedOn w:val="List2"/>
    <w:rsid w:val="000933DE"/>
    <w:pPr>
      <w:numPr>
        <w:numId w:val="13"/>
      </w:numPr>
      <w:tabs>
        <w:tab w:val="clear" w:pos="680"/>
      </w:tabs>
    </w:pPr>
  </w:style>
  <w:style w:type="paragraph" w:customStyle="1" w:styleId="SuperHeading">
    <w:name w:val="SuperHeading"/>
    <w:basedOn w:val="Normal"/>
    <w:rsid w:val="000933DE"/>
    <w:pPr>
      <w:spacing w:before="240" w:after="120"/>
      <w:outlineLvl w:val="0"/>
    </w:pPr>
    <w:rPr>
      <w:rFonts w:ascii="Times New Roman" w:hAnsi="Times New Roman"/>
      <w:b/>
      <w:sz w:val="32"/>
    </w:rPr>
  </w:style>
  <w:style w:type="paragraph" w:customStyle="1" w:styleId="AllowPageBreak">
    <w:name w:val="AllowPageBreak"/>
    <w:rsid w:val="000933D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933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33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33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33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33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33D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933D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933DE"/>
    <w:rPr>
      <w:rFonts w:ascii="Courier New" w:eastAsia="Times New Roman" w:hAnsi="Courier New" w:cs="Times New Roman"/>
      <w:i/>
      <w:szCs w:val="20"/>
      <w:lang w:eastAsia="en-US"/>
    </w:rPr>
  </w:style>
  <w:style w:type="paragraph" w:customStyle="1" w:styleId="HeadingBase">
    <w:name w:val="Heading Base"/>
    <w:rsid w:val="000933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33DE"/>
    <w:pPr>
      <w:tabs>
        <w:tab w:val="right" w:leader="dot" w:pos="9072"/>
      </w:tabs>
      <w:ind w:left="567"/>
    </w:pPr>
    <w:rPr>
      <w:szCs w:val="22"/>
    </w:rPr>
  </w:style>
  <w:style w:type="paragraph" w:customStyle="1" w:styleId="TOCBase">
    <w:name w:val="TOC Base"/>
    <w:rsid w:val="000933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33DE"/>
    <w:pPr>
      <w:tabs>
        <w:tab w:val="right" w:leader="dot" w:pos="9072"/>
      </w:tabs>
      <w:spacing w:before="40" w:after="40"/>
      <w:ind w:left="284"/>
    </w:pPr>
    <w:rPr>
      <w:rFonts w:ascii="Times New Roman" w:hAnsi="Times New Roman"/>
    </w:rPr>
  </w:style>
  <w:style w:type="paragraph" w:styleId="TOC1">
    <w:name w:val="toc 1"/>
    <w:basedOn w:val="TOCBase"/>
    <w:next w:val="Normal"/>
    <w:rsid w:val="000933D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933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33DE"/>
    <w:rPr>
      <w:rFonts w:ascii="Times New Roman" w:eastAsia="Times New Roman" w:hAnsi="Times New Roman" w:cs="Times New Roman"/>
      <w:sz w:val="16"/>
      <w:lang w:eastAsia="en-US"/>
    </w:rPr>
  </w:style>
  <w:style w:type="paragraph" w:styleId="Title">
    <w:name w:val="Title"/>
    <w:basedOn w:val="HeadingBase"/>
    <w:link w:val="TitleChar"/>
    <w:qFormat/>
    <w:rsid w:val="000933DE"/>
    <w:pPr>
      <w:spacing w:before="5040"/>
      <w:jc w:val="center"/>
    </w:pPr>
    <w:rPr>
      <w:sz w:val="48"/>
      <w:szCs w:val="72"/>
      <w:lang w:val="en-US"/>
    </w:rPr>
  </w:style>
  <w:style w:type="character" w:customStyle="1" w:styleId="TitleChar">
    <w:name w:val="Title Char"/>
    <w:basedOn w:val="DefaultParagraphFont"/>
    <w:link w:val="Title"/>
    <w:rsid w:val="000933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33DE"/>
    <w:pPr>
      <w:tabs>
        <w:tab w:val="left" w:pos="3600"/>
        <w:tab w:val="left" w:pos="3958"/>
      </w:tabs>
    </w:pPr>
  </w:style>
  <w:style w:type="paragraph" w:styleId="List">
    <w:name w:val="List"/>
    <w:basedOn w:val="BodyText"/>
    <w:next w:val="BodyText"/>
    <w:rsid w:val="000933DE"/>
    <w:pPr>
      <w:tabs>
        <w:tab w:val="left" w:pos="340"/>
      </w:tabs>
      <w:spacing w:before="60" w:after="60"/>
      <w:ind w:left="340" w:hanging="340"/>
    </w:pPr>
  </w:style>
  <w:style w:type="paragraph" w:customStyle="1" w:styleId="Note">
    <w:name w:val="Note"/>
    <w:basedOn w:val="BodyText"/>
    <w:rsid w:val="000933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933DE"/>
    <w:pPr>
      <w:framePr w:wrap="auto" w:hAnchor="text" w:y="6049"/>
    </w:pPr>
    <w:rPr>
      <w:color w:val="000000"/>
      <w:sz w:val="40"/>
    </w:rPr>
  </w:style>
  <w:style w:type="paragraph" w:customStyle="1" w:styleId="TOCTitle">
    <w:name w:val="TOCTitle"/>
    <w:basedOn w:val="Heading1"/>
    <w:rsid w:val="000933DE"/>
    <w:pPr>
      <w:spacing w:after="240"/>
      <w:jc w:val="center"/>
      <w:outlineLvl w:val="9"/>
    </w:pPr>
    <w:rPr>
      <w:caps/>
    </w:rPr>
  </w:style>
  <w:style w:type="paragraph" w:customStyle="1" w:styleId="Version">
    <w:name w:val="Version"/>
    <w:rsid w:val="000933D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933DE"/>
    <w:pPr>
      <w:keepNext w:val="0"/>
      <w:tabs>
        <w:tab w:val="right" w:pos="4176"/>
      </w:tabs>
      <w:ind w:left="198" w:hanging="198"/>
    </w:pPr>
    <w:rPr>
      <w:rFonts w:ascii="Garamond" w:hAnsi="Garamond"/>
    </w:rPr>
  </w:style>
  <w:style w:type="paragraph" w:styleId="IndexHeading">
    <w:name w:val="index heading"/>
    <w:basedOn w:val="Normal"/>
    <w:next w:val="Index1"/>
    <w:semiHidden/>
    <w:rsid w:val="000933DE"/>
    <w:pPr>
      <w:spacing w:before="120" w:after="120"/>
    </w:pPr>
    <w:rPr>
      <w:rFonts w:ascii="Arial" w:hAnsi="Arial"/>
      <w:b/>
      <w:color w:val="918585"/>
      <w:sz w:val="24"/>
    </w:rPr>
  </w:style>
  <w:style w:type="paragraph" w:styleId="Header">
    <w:name w:val="header"/>
    <w:basedOn w:val="Normal"/>
    <w:link w:val="HeaderChar"/>
    <w:rsid w:val="000933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33DE"/>
    <w:rPr>
      <w:rFonts w:ascii="Times New Roman" w:eastAsia="Times New Roman" w:hAnsi="Times New Roman" w:cs="Times New Roman"/>
      <w:sz w:val="16"/>
      <w:szCs w:val="20"/>
      <w:lang w:val="en-GB" w:eastAsia="en-US"/>
    </w:rPr>
  </w:style>
  <w:style w:type="paragraph" w:customStyle="1" w:styleId="Chapter">
    <w:name w:val="Chapter"/>
    <w:basedOn w:val="Normal"/>
    <w:rsid w:val="000933DE"/>
    <w:pPr>
      <w:spacing w:before="240"/>
    </w:pPr>
    <w:rPr>
      <w:rFonts w:ascii="Times New Roman" w:hAnsi="Times New Roman"/>
      <w:smallCaps/>
      <w:spacing w:val="80"/>
      <w:sz w:val="28"/>
    </w:rPr>
  </w:style>
  <w:style w:type="paragraph" w:customStyle="1" w:styleId="InChapter">
    <w:name w:val="InChapter"/>
    <w:basedOn w:val="Heading3"/>
    <w:rsid w:val="000933DE"/>
    <w:pPr>
      <w:spacing w:after="240"/>
      <w:outlineLvl w:val="9"/>
    </w:pPr>
    <w:rPr>
      <w:noProof/>
    </w:rPr>
  </w:style>
  <w:style w:type="paragraph" w:styleId="Index2">
    <w:name w:val="index 2"/>
    <w:basedOn w:val="Normal"/>
    <w:next w:val="Normal"/>
    <w:semiHidden/>
    <w:rsid w:val="000933DE"/>
    <w:pPr>
      <w:tabs>
        <w:tab w:val="right" w:pos="4176"/>
      </w:tabs>
      <w:ind w:left="568" w:hanging="284"/>
    </w:pPr>
    <w:rPr>
      <w:rFonts w:ascii="Garamond" w:hAnsi="Garamond"/>
    </w:rPr>
  </w:style>
  <w:style w:type="paragraph" w:customStyle="1" w:styleId="Byline">
    <w:name w:val="Byline"/>
    <w:rsid w:val="000933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33DE"/>
    <w:pPr>
      <w:tabs>
        <w:tab w:val="clear" w:pos="3600"/>
        <w:tab w:val="clear" w:pos="3958"/>
      </w:tabs>
      <w:jc w:val="right"/>
    </w:pPr>
  </w:style>
  <w:style w:type="character" w:styleId="Emphasis">
    <w:name w:val="Emphasis"/>
    <w:basedOn w:val="DefaultParagraphFont"/>
    <w:qFormat/>
    <w:rsid w:val="000933DE"/>
    <w:rPr>
      <w:i/>
    </w:rPr>
  </w:style>
  <w:style w:type="paragraph" w:styleId="Caption">
    <w:name w:val="caption"/>
    <w:basedOn w:val="BodyText"/>
    <w:next w:val="Normal"/>
    <w:qFormat/>
    <w:rsid w:val="000933DE"/>
    <w:pPr>
      <w:framePr w:w="2268" w:hSpace="181" w:vSpace="181" w:wrap="around" w:vAnchor="text" w:hAnchor="page" w:x="1135" w:y="285" w:anchorLock="1"/>
    </w:pPr>
    <w:rPr>
      <w:i/>
    </w:rPr>
  </w:style>
  <w:style w:type="paragraph" w:customStyle="1" w:styleId="MiniTOCTitle">
    <w:name w:val="MiniTOCTitle"/>
    <w:basedOn w:val="Heading4"/>
    <w:rsid w:val="000933DE"/>
    <w:pPr>
      <w:spacing w:before="240"/>
      <w:outlineLvl w:val="9"/>
    </w:pPr>
    <w:rPr>
      <w:noProof/>
      <w:sz w:val="24"/>
    </w:rPr>
  </w:style>
  <w:style w:type="paragraph" w:customStyle="1" w:styleId="MiniTOCItem">
    <w:name w:val="MiniTOCItem"/>
    <w:basedOn w:val="ListBullet"/>
    <w:rsid w:val="000933DE"/>
    <w:pPr>
      <w:numPr>
        <w:numId w:val="0"/>
      </w:numPr>
      <w:tabs>
        <w:tab w:val="right" w:leader="dot" w:pos="6521"/>
      </w:tabs>
      <w:spacing w:before="0" w:after="0"/>
    </w:pPr>
  </w:style>
  <w:style w:type="paragraph" w:customStyle="1" w:styleId="TOFTitle">
    <w:name w:val="TOFTitle"/>
    <w:basedOn w:val="TOCTitle"/>
    <w:rsid w:val="000933DE"/>
  </w:style>
  <w:style w:type="paragraph" w:styleId="TableofFigures">
    <w:name w:val="table of figures"/>
    <w:basedOn w:val="Normal"/>
    <w:next w:val="Normal"/>
    <w:semiHidden/>
    <w:rsid w:val="000933DE"/>
    <w:pPr>
      <w:tabs>
        <w:tab w:val="right" w:leader="dot" w:pos="9072"/>
      </w:tabs>
      <w:ind w:left="970" w:hanging="403"/>
    </w:pPr>
    <w:rPr>
      <w:rFonts w:ascii="Times New Roman" w:hAnsi="Times New Roman"/>
      <w:b/>
    </w:rPr>
  </w:style>
  <w:style w:type="paragraph" w:styleId="ListNumber">
    <w:name w:val="List Number"/>
    <w:basedOn w:val="List"/>
    <w:rsid w:val="000933DE"/>
    <w:pPr>
      <w:numPr>
        <w:numId w:val="15"/>
      </w:numPr>
      <w:tabs>
        <w:tab w:val="clear" w:pos="340"/>
      </w:tabs>
    </w:pPr>
  </w:style>
  <w:style w:type="character" w:customStyle="1" w:styleId="WingdingSymbols">
    <w:name w:val="Wingding Symbols"/>
    <w:rsid w:val="000933DE"/>
    <w:rPr>
      <w:rFonts w:ascii="Wingdings" w:hAnsi="Wingdings"/>
    </w:rPr>
  </w:style>
  <w:style w:type="paragraph" w:customStyle="1" w:styleId="TableHeading">
    <w:name w:val="Table Heading"/>
    <w:basedOn w:val="HeadingBase"/>
    <w:rsid w:val="000933DE"/>
    <w:pPr>
      <w:keepLines/>
      <w:pBdr>
        <w:bottom w:val="single" w:sz="6" w:space="1" w:color="918585"/>
      </w:pBdr>
      <w:spacing w:before="240"/>
    </w:pPr>
  </w:style>
  <w:style w:type="character" w:customStyle="1" w:styleId="HotSpot">
    <w:name w:val="HotSpot"/>
    <w:rsid w:val="000933DE"/>
    <w:rPr>
      <w:color w:val="0033CC"/>
      <w:u w:val="none"/>
    </w:rPr>
  </w:style>
  <w:style w:type="paragraph" w:customStyle="1" w:styleId="BodyTextRight">
    <w:name w:val="Body Text Right"/>
    <w:basedOn w:val="BodyText"/>
    <w:rsid w:val="000933DE"/>
    <w:pPr>
      <w:spacing w:before="0" w:after="0"/>
      <w:jc w:val="right"/>
    </w:pPr>
  </w:style>
  <w:style w:type="paragraph" w:styleId="Index3">
    <w:name w:val="index 3"/>
    <w:basedOn w:val="ListNumber2"/>
    <w:next w:val="Normal"/>
    <w:semiHidden/>
    <w:rsid w:val="000933DE"/>
    <w:pPr>
      <w:numPr>
        <w:numId w:val="0"/>
      </w:numPr>
      <w:tabs>
        <w:tab w:val="right" w:leader="dot" w:pos="4176"/>
      </w:tabs>
    </w:pPr>
  </w:style>
  <w:style w:type="paragraph" w:styleId="ListNumber2">
    <w:name w:val="List Number 2"/>
    <w:basedOn w:val="List2"/>
    <w:rsid w:val="000933DE"/>
    <w:pPr>
      <w:numPr>
        <w:numId w:val="10"/>
      </w:numPr>
      <w:tabs>
        <w:tab w:val="clear" w:pos="1060"/>
      </w:tabs>
    </w:pPr>
  </w:style>
  <w:style w:type="paragraph" w:customStyle="1" w:styleId="MarginNote">
    <w:name w:val="Margin Note"/>
    <w:basedOn w:val="BodyText"/>
    <w:rsid w:val="000933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33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33D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933DE"/>
    <w:rPr>
      <w:sz w:val="32"/>
    </w:rPr>
  </w:style>
  <w:style w:type="paragraph" w:customStyle="1" w:styleId="HeadingProcedure">
    <w:name w:val="Heading Procedure"/>
    <w:basedOn w:val="HeadingBase"/>
    <w:next w:val="Normal"/>
    <w:rsid w:val="000933DE"/>
    <w:pPr>
      <w:tabs>
        <w:tab w:val="left" w:pos="0"/>
      </w:tabs>
      <w:spacing w:before="120" w:after="60"/>
    </w:pPr>
    <w:rPr>
      <w:i/>
      <w:color w:val="918585"/>
      <w:sz w:val="22"/>
    </w:rPr>
  </w:style>
  <w:style w:type="paragraph" w:customStyle="1" w:styleId="TableBodyText">
    <w:name w:val="Table Body Text"/>
    <w:basedOn w:val="BodyText"/>
    <w:rsid w:val="000933DE"/>
    <w:pPr>
      <w:spacing w:before="60" w:after="60"/>
    </w:pPr>
  </w:style>
  <w:style w:type="paragraph" w:styleId="ListContinue">
    <w:name w:val="List Continue"/>
    <w:basedOn w:val="List"/>
    <w:rsid w:val="000933DE"/>
    <w:pPr>
      <w:ind w:firstLine="0"/>
    </w:pPr>
  </w:style>
  <w:style w:type="paragraph" w:customStyle="1" w:styleId="ListNote">
    <w:name w:val="List Note"/>
    <w:basedOn w:val="List"/>
    <w:rsid w:val="000933DE"/>
    <w:pPr>
      <w:pBdr>
        <w:top w:val="single" w:sz="6" w:space="2" w:color="918585"/>
        <w:bottom w:val="single" w:sz="6" w:space="2" w:color="918585"/>
      </w:pBdr>
      <w:tabs>
        <w:tab w:val="left" w:pos="1021"/>
      </w:tabs>
      <w:ind w:firstLine="0"/>
    </w:pPr>
  </w:style>
  <w:style w:type="paragraph" w:customStyle="1" w:styleId="Warning">
    <w:name w:val="Warning"/>
    <w:basedOn w:val="BodyText"/>
    <w:rsid w:val="000933DE"/>
    <w:pPr>
      <w:shd w:val="clear" w:color="auto" w:fill="D9D9D9"/>
      <w:tabs>
        <w:tab w:val="left" w:pos="992"/>
      </w:tabs>
      <w:ind w:left="119" w:right="119"/>
    </w:pPr>
    <w:rPr>
      <w:sz w:val="20"/>
    </w:rPr>
  </w:style>
  <w:style w:type="paragraph" w:customStyle="1" w:styleId="MarginIcons">
    <w:name w:val="Margin Icons"/>
    <w:basedOn w:val="BodyText"/>
    <w:rsid w:val="000933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33DE"/>
    <w:rPr>
      <w:rFonts w:ascii="Courier New" w:hAnsi="Courier New"/>
    </w:rPr>
  </w:style>
  <w:style w:type="paragraph" w:customStyle="1" w:styleId="NoteBullet">
    <w:name w:val="Note Bullet"/>
    <w:basedOn w:val="Note"/>
    <w:rsid w:val="000933DE"/>
    <w:pPr>
      <w:tabs>
        <w:tab w:val="clear" w:pos="680"/>
      </w:tabs>
      <w:spacing w:before="60" w:after="60"/>
    </w:pPr>
  </w:style>
  <w:style w:type="paragraph" w:customStyle="1" w:styleId="SubHeading2">
    <w:name w:val="SubHeading2"/>
    <w:basedOn w:val="HeadingBase"/>
    <w:rsid w:val="000933DE"/>
    <w:pPr>
      <w:spacing w:before="240" w:after="60"/>
    </w:pPr>
    <w:rPr>
      <w:sz w:val="20"/>
    </w:rPr>
  </w:style>
  <w:style w:type="paragraph" w:customStyle="1" w:styleId="SubHeading1">
    <w:name w:val="SubHeading1"/>
    <w:basedOn w:val="HeadingBase"/>
    <w:rsid w:val="000933DE"/>
    <w:pPr>
      <w:spacing w:before="240" w:after="60"/>
    </w:pPr>
    <w:rPr>
      <w:color w:val="918585"/>
      <w:sz w:val="22"/>
    </w:rPr>
  </w:style>
  <w:style w:type="paragraph" w:customStyle="1" w:styleId="SideHeading">
    <w:name w:val="Side Heading"/>
    <w:basedOn w:val="HeadingBase"/>
    <w:rsid w:val="000933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33DE"/>
    <w:pPr>
      <w:tabs>
        <w:tab w:val="num" w:pos="360"/>
      </w:tabs>
    </w:pPr>
  </w:style>
  <w:style w:type="paragraph" w:styleId="PlainText">
    <w:name w:val="Plain Text"/>
    <w:basedOn w:val="Normal"/>
    <w:link w:val="PlainTextChar"/>
    <w:rsid w:val="000933DE"/>
    <w:rPr>
      <w:sz w:val="20"/>
    </w:rPr>
  </w:style>
  <w:style w:type="character" w:customStyle="1" w:styleId="PlainTextChar">
    <w:name w:val="Plain Text Char"/>
    <w:basedOn w:val="DefaultParagraphFont"/>
    <w:link w:val="PlainText"/>
    <w:rsid w:val="000933DE"/>
    <w:rPr>
      <w:rFonts w:ascii="Courier New" w:eastAsia="Times New Roman" w:hAnsi="Courier New" w:cs="Times New Roman"/>
      <w:sz w:val="20"/>
      <w:szCs w:val="20"/>
      <w:lang w:eastAsia="en-US"/>
    </w:rPr>
  </w:style>
  <w:style w:type="character" w:customStyle="1" w:styleId="MenuOption">
    <w:name w:val="Menu Option"/>
    <w:basedOn w:val="DefaultParagraphFont"/>
    <w:rsid w:val="000933DE"/>
    <w:rPr>
      <w:b/>
      <w:smallCaps/>
    </w:rPr>
  </w:style>
  <w:style w:type="paragraph" w:customStyle="1" w:styleId="TableListNumber">
    <w:name w:val="Table List Number"/>
    <w:basedOn w:val="ListNumber"/>
    <w:rsid w:val="000933DE"/>
    <w:pPr>
      <w:numPr>
        <w:numId w:val="0"/>
      </w:numPr>
    </w:pPr>
  </w:style>
  <w:style w:type="paragraph" w:styleId="TOC4">
    <w:name w:val="toc 4"/>
    <w:basedOn w:val="TOCBase"/>
    <w:next w:val="Normal"/>
    <w:semiHidden/>
    <w:rsid w:val="000933DE"/>
    <w:pPr>
      <w:tabs>
        <w:tab w:val="right" w:leader="dot" w:pos="9071"/>
      </w:tabs>
      <w:ind w:left="1701"/>
    </w:pPr>
  </w:style>
  <w:style w:type="paragraph" w:customStyle="1" w:styleId="ListAlpha">
    <w:name w:val="List Alpha"/>
    <w:basedOn w:val="List"/>
    <w:rsid w:val="000933DE"/>
    <w:pPr>
      <w:numPr>
        <w:numId w:val="9"/>
      </w:numPr>
    </w:pPr>
  </w:style>
  <w:style w:type="paragraph" w:customStyle="1" w:styleId="ListAlpha2">
    <w:name w:val="List Alpha 2"/>
    <w:basedOn w:val="List2"/>
    <w:rsid w:val="000933DE"/>
    <w:pPr>
      <w:numPr>
        <w:numId w:val="8"/>
      </w:numPr>
    </w:pPr>
  </w:style>
  <w:style w:type="paragraph" w:styleId="List2">
    <w:name w:val="List 2"/>
    <w:basedOn w:val="BodyText"/>
    <w:rsid w:val="000933DE"/>
    <w:pPr>
      <w:tabs>
        <w:tab w:val="left" w:pos="680"/>
      </w:tabs>
      <w:spacing w:before="60" w:after="60"/>
      <w:ind w:left="680" w:hanging="340"/>
    </w:pPr>
  </w:style>
  <w:style w:type="paragraph" w:styleId="List3">
    <w:name w:val="List 3"/>
    <w:basedOn w:val="BodyText"/>
    <w:rsid w:val="000933DE"/>
    <w:pPr>
      <w:tabs>
        <w:tab w:val="left" w:pos="1021"/>
      </w:tabs>
      <w:spacing w:before="60" w:after="60"/>
      <w:ind w:left="1020" w:hanging="340"/>
    </w:pPr>
  </w:style>
  <w:style w:type="paragraph" w:styleId="List4">
    <w:name w:val="List 4"/>
    <w:basedOn w:val="BodyText"/>
    <w:rsid w:val="000933DE"/>
    <w:pPr>
      <w:tabs>
        <w:tab w:val="left" w:pos="1361"/>
      </w:tabs>
      <w:spacing w:before="60" w:after="60"/>
      <w:ind w:left="1361" w:hanging="340"/>
    </w:pPr>
  </w:style>
  <w:style w:type="paragraph" w:styleId="List5">
    <w:name w:val="List 5"/>
    <w:basedOn w:val="BodyText"/>
    <w:rsid w:val="000933DE"/>
    <w:pPr>
      <w:tabs>
        <w:tab w:val="left" w:pos="1701"/>
      </w:tabs>
      <w:spacing w:before="60" w:after="60"/>
      <w:ind w:left="1701" w:hanging="340"/>
    </w:pPr>
  </w:style>
  <w:style w:type="paragraph" w:styleId="ListBullet3">
    <w:name w:val="List Bullet 3"/>
    <w:basedOn w:val="List3"/>
    <w:rsid w:val="000933DE"/>
    <w:pPr>
      <w:numPr>
        <w:numId w:val="14"/>
      </w:numPr>
      <w:tabs>
        <w:tab w:val="clear" w:pos="1021"/>
      </w:tabs>
      <w:ind w:left="1037" w:hanging="357"/>
    </w:pPr>
  </w:style>
  <w:style w:type="paragraph" w:styleId="ListBullet4">
    <w:name w:val="List Bullet 4"/>
    <w:basedOn w:val="List4"/>
    <w:rsid w:val="000933DE"/>
    <w:pPr>
      <w:numPr>
        <w:numId w:val="3"/>
      </w:numPr>
      <w:tabs>
        <w:tab w:val="clear" w:pos="1361"/>
      </w:tabs>
    </w:pPr>
  </w:style>
  <w:style w:type="paragraph" w:styleId="ListBullet5">
    <w:name w:val="List Bullet 5"/>
    <w:basedOn w:val="List5"/>
    <w:rsid w:val="000933DE"/>
    <w:pPr>
      <w:numPr>
        <w:numId w:val="4"/>
      </w:numPr>
    </w:pPr>
  </w:style>
  <w:style w:type="paragraph" w:styleId="ListContinue2">
    <w:name w:val="List Continue 2"/>
    <w:basedOn w:val="List2"/>
    <w:rsid w:val="000933DE"/>
    <w:pPr>
      <w:ind w:firstLine="0"/>
    </w:pPr>
  </w:style>
  <w:style w:type="paragraph" w:styleId="ListContinue3">
    <w:name w:val="List Continue 3"/>
    <w:basedOn w:val="List3"/>
    <w:rsid w:val="000933DE"/>
    <w:pPr>
      <w:ind w:left="1021" w:firstLine="0"/>
    </w:pPr>
  </w:style>
  <w:style w:type="paragraph" w:styleId="ListContinue4">
    <w:name w:val="List Continue 4"/>
    <w:basedOn w:val="List4"/>
    <w:rsid w:val="000933DE"/>
    <w:pPr>
      <w:ind w:firstLine="0"/>
    </w:pPr>
  </w:style>
  <w:style w:type="paragraph" w:styleId="ListContinue5">
    <w:name w:val="List Continue 5"/>
    <w:basedOn w:val="List5"/>
    <w:rsid w:val="000933DE"/>
    <w:pPr>
      <w:ind w:firstLine="0"/>
    </w:pPr>
  </w:style>
  <w:style w:type="paragraph" w:styleId="ListNumber3">
    <w:name w:val="List Number 3"/>
    <w:basedOn w:val="List3"/>
    <w:rsid w:val="000933DE"/>
    <w:pPr>
      <w:numPr>
        <w:numId w:val="5"/>
      </w:numPr>
    </w:pPr>
  </w:style>
  <w:style w:type="paragraph" w:styleId="ListNumber4">
    <w:name w:val="List Number 4"/>
    <w:basedOn w:val="List4"/>
    <w:rsid w:val="000933DE"/>
    <w:pPr>
      <w:numPr>
        <w:numId w:val="6"/>
      </w:numPr>
    </w:pPr>
  </w:style>
  <w:style w:type="paragraph" w:styleId="ListNumber5">
    <w:name w:val="List Number 5"/>
    <w:basedOn w:val="List5"/>
    <w:rsid w:val="000933DE"/>
    <w:pPr>
      <w:numPr>
        <w:numId w:val="7"/>
      </w:numPr>
    </w:pPr>
  </w:style>
  <w:style w:type="paragraph" w:styleId="BlockText">
    <w:name w:val="Block Text"/>
    <w:basedOn w:val="Normal"/>
    <w:rsid w:val="000933DE"/>
    <w:pPr>
      <w:spacing w:after="120"/>
      <w:ind w:left="1440" w:right="1440"/>
    </w:pPr>
  </w:style>
  <w:style w:type="character" w:customStyle="1" w:styleId="Subscript">
    <w:name w:val="Subscript"/>
    <w:basedOn w:val="DefaultParagraphFont"/>
    <w:rsid w:val="000933DE"/>
    <w:rPr>
      <w:sz w:val="16"/>
      <w:vertAlign w:val="subscript"/>
    </w:rPr>
  </w:style>
  <w:style w:type="character" w:customStyle="1" w:styleId="Superscript">
    <w:name w:val="Superscript"/>
    <w:basedOn w:val="DefaultParagraphFont"/>
    <w:rsid w:val="000933DE"/>
    <w:rPr>
      <w:sz w:val="16"/>
      <w:vertAlign w:val="superscript"/>
    </w:rPr>
  </w:style>
  <w:style w:type="character" w:customStyle="1" w:styleId="Symbols">
    <w:name w:val="Symbols"/>
    <w:basedOn w:val="DefaultParagraphFont"/>
    <w:rsid w:val="000933DE"/>
    <w:rPr>
      <w:rFonts w:ascii="Symbol" w:hAnsi="Symbol"/>
    </w:rPr>
  </w:style>
  <w:style w:type="character" w:customStyle="1" w:styleId="MenuOptions">
    <w:name w:val="Menu Options"/>
    <w:basedOn w:val="DefaultParagraphFont"/>
    <w:rsid w:val="000933DE"/>
    <w:rPr>
      <w:rFonts w:ascii="Arial Narrow" w:hAnsi="Arial Narrow"/>
      <w:smallCaps/>
    </w:rPr>
  </w:style>
  <w:style w:type="character" w:customStyle="1" w:styleId="Buttons">
    <w:name w:val="Buttons"/>
    <w:basedOn w:val="DefaultParagraphFont"/>
    <w:rsid w:val="000933DE"/>
    <w:rPr>
      <w:b/>
    </w:rPr>
  </w:style>
  <w:style w:type="character" w:customStyle="1" w:styleId="Underlined">
    <w:name w:val="Underlined"/>
    <w:basedOn w:val="DefaultParagraphFont"/>
    <w:rsid w:val="000933DE"/>
    <w:rPr>
      <w:u w:val="single"/>
    </w:rPr>
  </w:style>
  <w:style w:type="paragraph" w:customStyle="1" w:styleId="TableBodyTextRight">
    <w:name w:val="Table Body Text Right"/>
    <w:basedOn w:val="TableBodyText"/>
    <w:rsid w:val="000933DE"/>
    <w:pPr>
      <w:widowControl w:val="0"/>
      <w:autoSpaceDE w:val="0"/>
      <w:autoSpaceDN w:val="0"/>
      <w:adjustRightInd w:val="0"/>
      <w:jc w:val="right"/>
    </w:pPr>
    <w:rPr>
      <w:rFonts w:cs="Arial"/>
      <w:szCs w:val="18"/>
    </w:rPr>
  </w:style>
  <w:style w:type="paragraph" w:customStyle="1" w:styleId="CopyrightText">
    <w:name w:val="Copyright Text"/>
    <w:basedOn w:val="BodyText"/>
    <w:rsid w:val="000933DE"/>
    <w:rPr>
      <w:sz w:val="18"/>
    </w:rPr>
  </w:style>
  <w:style w:type="paragraph" w:customStyle="1" w:styleId="BodySmallRight">
    <w:name w:val="Body Small Right"/>
    <w:basedOn w:val="BodyTextRight"/>
    <w:rsid w:val="000933DE"/>
    <w:rPr>
      <w:sz w:val="18"/>
      <w:szCs w:val="18"/>
    </w:rPr>
  </w:style>
  <w:style w:type="paragraph" w:customStyle="1" w:styleId="MarginEdition">
    <w:name w:val="Margin Edition"/>
    <w:basedOn w:val="MarginNote"/>
    <w:rsid w:val="000933DE"/>
    <w:pPr>
      <w:spacing w:before="0" w:after="0"/>
    </w:pPr>
    <w:rPr>
      <w:rFonts w:ascii="Times New Roman" w:hAnsi="Times New Roman"/>
      <w:color w:val="999999"/>
    </w:rPr>
  </w:style>
  <w:style w:type="paragraph" w:customStyle="1" w:styleId="Spacer">
    <w:name w:val="Spacer"/>
    <w:basedOn w:val="Normal"/>
    <w:rsid w:val="000933DE"/>
    <w:rPr>
      <w:sz w:val="2"/>
      <w:szCs w:val="2"/>
    </w:rPr>
  </w:style>
  <w:style w:type="character" w:customStyle="1" w:styleId="Small">
    <w:name w:val="Small"/>
    <w:basedOn w:val="DefaultParagraphFont"/>
    <w:rsid w:val="000933DE"/>
    <w:rPr>
      <w:sz w:val="16"/>
    </w:rPr>
  </w:style>
  <w:style w:type="paragraph" w:customStyle="1" w:styleId="WideTable">
    <w:name w:val="Wide Table"/>
    <w:basedOn w:val="Normal"/>
    <w:rsid w:val="000933DE"/>
    <w:pPr>
      <w:ind w:left="-1418"/>
    </w:pPr>
    <w:rPr>
      <w:sz w:val="2"/>
      <w:szCs w:val="2"/>
    </w:rPr>
  </w:style>
  <w:style w:type="character" w:styleId="PageNumber">
    <w:name w:val="page number"/>
    <w:basedOn w:val="DefaultParagraphFont"/>
    <w:rsid w:val="000933DE"/>
  </w:style>
  <w:style w:type="paragraph" w:styleId="Quote">
    <w:name w:val="Quote"/>
    <w:basedOn w:val="Heading1"/>
    <w:link w:val="QuoteChar"/>
    <w:qFormat/>
    <w:rsid w:val="000933DE"/>
    <w:rPr>
      <w:b w:val="0"/>
      <w:sz w:val="72"/>
      <w:szCs w:val="72"/>
      <w:lang w:val="en-NZ"/>
    </w:rPr>
  </w:style>
  <w:style w:type="character" w:customStyle="1" w:styleId="QuoteChar">
    <w:name w:val="Quote Char"/>
    <w:basedOn w:val="DefaultParagraphFont"/>
    <w:link w:val="Quote"/>
    <w:rsid w:val="000933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33DE"/>
    <w:pPr>
      <w:pageBreakBefore/>
    </w:pPr>
  </w:style>
  <w:style w:type="paragraph" w:customStyle="1" w:styleId="Border">
    <w:name w:val="Border"/>
    <w:basedOn w:val="Normal"/>
    <w:qFormat/>
    <w:rsid w:val="000933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33DE"/>
    <w:rPr>
      <w:b/>
      <w:bCs/>
      <w:i/>
      <w:iCs/>
      <w:color w:val="auto"/>
    </w:rPr>
  </w:style>
  <w:style w:type="paragraph" w:styleId="IntenseQuote">
    <w:name w:val="Intense Quote"/>
    <w:basedOn w:val="Normal"/>
    <w:next w:val="Normal"/>
    <w:link w:val="IntenseQuoteChar"/>
    <w:uiPriority w:val="30"/>
    <w:qFormat/>
    <w:rsid w:val="000933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33D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933DE"/>
    <w:rPr>
      <w:smallCaps/>
      <w:color w:val="auto"/>
      <w:u w:val="single"/>
    </w:rPr>
  </w:style>
  <w:style w:type="character" w:styleId="IntenseReference">
    <w:name w:val="Intense Reference"/>
    <w:basedOn w:val="DefaultParagraphFont"/>
    <w:uiPriority w:val="32"/>
    <w:qFormat/>
    <w:rsid w:val="000933DE"/>
    <w:rPr>
      <w:b/>
      <w:bCs/>
      <w:smallCaps/>
      <w:color w:val="auto"/>
      <w:spacing w:val="5"/>
      <w:u w:val="single"/>
    </w:rPr>
  </w:style>
  <w:style w:type="paragraph" w:customStyle="1" w:styleId="2ColumnHeading">
    <w:name w:val="2Column Heading"/>
    <w:basedOn w:val="BodyText"/>
    <w:qFormat/>
    <w:rsid w:val="000933DE"/>
    <w:pPr>
      <w:spacing w:after="60"/>
      <w:ind w:left="-2268"/>
    </w:pPr>
    <w:rPr>
      <w:b/>
    </w:rPr>
  </w:style>
  <w:style w:type="paragraph" w:customStyle="1" w:styleId="Heading1TOC">
    <w:name w:val="Heading1 TOC"/>
    <w:basedOn w:val="Normal"/>
    <w:qFormat/>
    <w:rsid w:val="000933DE"/>
    <w:pPr>
      <w:spacing w:before="240" w:after="120"/>
    </w:pPr>
    <w:rPr>
      <w:rFonts w:ascii="Times New Roman" w:hAnsi="Times New Roman"/>
      <w:b/>
      <w:sz w:val="32"/>
    </w:rPr>
  </w:style>
  <w:style w:type="paragraph" w:customStyle="1" w:styleId="Heading2TOC">
    <w:name w:val="Heading2 TOC"/>
    <w:basedOn w:val="Normal"/>
    <w:qFormat/>
    <w:rsid w:val="000933DE"/>
    <w:pPr>
      <w:spacing w:before="240" w:after="60"/>
    </w:pPr>
    <w:rPr>
      <w:rFonts w:ascii="Times New Roman" w:hAnsi="Times New Roman"/>
      <w:b/>
      <w:sz w:val="28"/>
    </w:rPr>
  </w:style>
  <w:style w:type="character" w:customStyle="1" w:styleId="Underline">
    <w:name w:val="Underline"/>
    <w:basedOn w:val="DefaultParagraphFont"/>
    <w:qFormat/>
    <w:rsid w:val="000933DE"/>
    <w:rPr>
      <w:u w:val="single"/>
    </w:rPr>
  </w:style>
  <w:style w:type="character" w:customStyle="1" w:styleId="BoldandItalics">
    <w:name w:val="Bold and Italics"/>
    <w:qFormat/>
    <w:rsid w:val="000933DE"/>
    <w:rPr>
      <w:b/>
      <w:i/>
      <w:u w:val="none"/>
    </w:rPr>
  </w:style>
  <w:style w:type="paragraph" w:styleId="BalloonText">
    <w:name w:val="Balloon Text"/>
    <w:basedOn w:val="Normal"/>
    <w:link w:val="BalloonTextChar"/>
    <w:rsid w:val="000933DE"/>
    <w:rPr>
      <w:rFonts w:ascii="Tahoma" w:hAnsi="Tahoma" w:cs="Tahoma"/>
      <w:sz w:val="16"/>
      <w:szCs w:val="16"/>
    </w:rPr>
  </w:style>
  <w:style w:type="character" w:customStyle="1" w:styleId="BalloonTextChar">
    <w:name w:val="Balloon Text Char"/>
    <w:basedOn w:val="DefaultParagraphFont"/>
    <w:link w:val="BalloonText"/>
    <w:rsid w:val="000933D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933D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933D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933DE"/>
    <w:rPr>
      <w:b/>
      <w:color w:val="660033"/>
      <w:spacing w:val="0"/>
    </w:rPr>
  </w:style>
  <w:style w:type="paragraph" w:customStyle="1" w:styleId="Nameditemlist">
    <w:name w:val="Named item list"/>
    <w:basedOn w:val="BodyText"/>
    <w:qFormat/>
    <w:rsid w:val="000933DE"/>
    <w:pPr>
      <w:tabs>
        <w:tab w:val="left" w:pos="2835"/>
      </w:tabs>
      <w:ind w:left="2835" w:hanging="2835"/>
    </w:pPr>
  </w:style>
  <w:style w:type="paragraph" w:customStyle="1" w:styleId="BodyTextnopadding">
    <w:name w:val="Body Text no padding"/>
    <w:basedOn w:val="BodyText"/>
    <w:qFormat/>
    <w:rsid w:val="000933DE"/>
    <w:pPr>
      <w:spacing w:before="0" w:after="0"/>
    </w:pPr>
  </w:style>
  <w:style w:type="paragraph" w:customStyle="1" w:styleId="BodyTextBold">
    <w:name w:val="Body Text Bold"/>
    <w:basedOn w:val="BodyText"/>
    <w:qFormat/>
    <w:rsid w:val="000933DE"/>
    <w:rPr>
      <w:b/>
    </w:rPr>
  </w:style>
  <w:style w:type="character" w:styleId="Hyperlink">
    <w:name w:val="Hyperlink"/>
    <w:basedOn w:val="DefaultParagraphFont"/>
    <w:uiPriority w:val="99"/>
    <w:unhideWhenUsed/>
    <w:rsid w:val="00F933A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1513</Words>
  <Characters>9354</Characters>
  <Application>Microsoft Office Word</Application>
  <DocSecurity>0</DocSecurity>
  <Lines>406</Lines>
  <Paragraphs>231</Paragraphs>
  <ScaleCrop>false</ScaleCrop>
  <Company>Author-it Software Corporation Ltd.</Company>
  <LinksUpToDate>false</LinksUpToDate>
  <CharactersWithSpaces>10636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MARA003 Manage loading, discharging and stowing of cargo</dc:title>
  <dc:subject>Approved</dc:subject>
  <dc:creator>Industry Skills Australia</dc:creator>
  <cp:keywords>Release: 1</cp:keywords>
  <dc:description>Review Date: 12 April 2008</dc:description>
  <cp:lastModifiedBy>HSD_TPCMSd.prod</cp:lastModifiedBy>
  <cp:revision>3</cp:revision>
  <dcterms:created xsi:type="dcterms:W3CDTF">2025-03-01T14:34:00Z</dcterms:created>
  <dcterms:modified xsi:type="dcterms:W3CDTF">2025-03-01T14:34:00Z</dcterms:modified>
</cp:coreProperties>
</file>