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02C7" w:rsidP="00FA02C7">
      <w:pPr>
        <w:pStyle w:val="Title"/>
      </w:pPr>
      <w:r>
        <w:fldChar w:fldCharType="begin"/>
      </w:r>
      <w:r>
        <w:instrText xml:space="preserve"> TITLE   \* MERGEFORMAT </w:instrText>
      </w:r>
      <w:r>
        <w:fldChar w:fldCharType="separate"/>
      </w:r>
      <w:r>
        <w:t>MARA001 Contribute to safe cargo operations on liquefied gas tankers</w:t>
      </w:r>
      <w:r>
        <w:fldChar w:fldCharType="end"/>
      </w:r>
    </w:p>
    <w:p w:rsidR="00FA02C7" w:rsidP="00FA02C7">
      <w:pPr>
        <w:pStyle w:val="Version"/>
        <w:sectPr w:rsidSect="007D53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5333" w:rsidP="007D5333">
      <w:pPr>
        <w:pStyle w:val="SuperHeading"/>
      </w:pPr>
      <w:r w:rsidRPr="007D5333">
        <w:t>MARA001 Contr</w:t>
      </w:r>
      <w:r w:rsidRPr="007D5333">
        <w:t>ibute to safe cargo operations on liquefied gas tankers</w:t>
      </w:r>
    </w:p>
    <w:p w:rsidR="00000000" w:rsidRPr="007D5333" w:rsidP="007D5333">
      <w:pPr>
        <w:pStyle w:val="Heading1"/>
      </w:pPr>
      <w:bookmarkStart w:id="1" w:name="O_595197"/>
      <w:bookmarkEnd w:id="1"/>
      <w:r w:rsidRPr="007D5333">
        <w:t>Modification History</w:t>
      </w:r>
    </w:p>
    <w:p w:rsidR="00000000" w:rsidRPr="007D5333" w:rsidP="00FA02C7">
      <w:pPr>
        <w:pStyle w:val="BodyText"/>
      </w:pPr>
      <w:r w:rsidRPr="007D5333">
        <w:t>Release 1. New unit of competency.</w:t>
      </w:r>
    </w:p>
    <w:p w:rsidR="00000000" w:rsidRPr="007D5333" w:rsidP="007D5333">
      <w:pPr>
        <w:pStyle w:val="Heading1"/>
      </w:pPr>
      <w:bookmarkStart w:id="2" w:name="O_595198"/>
      <w:bookmarkEnd w:id="2"/>
      <w:r w:rsidRPr="007D5333">
        <w:t>Application</w:t>
      </w:r>
    </w:p>
    <w:p w:rsidR="00000000" w:rsidRPr="007D5333" w:rsidP="00FA02C7">
      <w:pPr>
        <w:pStyle w:val="BodyText"/>
      </w:pPr>
      <w:r w:rsidRPr="007D5333">
        <w:t>This unit involves the skills and knowledge required to recognise hazards associated with liquefied gas tankers and to apply appropriate hazard control measures to ensure safe cargo operation.</w:t>
      </w:r>
    </w:p>
    <w:p w:rsidR="00000000" w:rsidRPr="007D5333" w:rsidP="00FA02C7">
      <w:pPr>
        <w:pStyle w:val="BodyText"/>
      </w:pPr>
      <w:r w:rsidRPr="007D5333">
        <w:t xml:space="preserve">This unit applies to seafarers required to assist in the safe </w:t>
      </w:r>
      <w:r w:rsidRPr="007D5333">
        <w:t>operation of a liquefied gas tanker.</w:t>
      </w:r>
    </w:p>
    <w:p w:rsidR="00000000" w:rsidRPr="007D5333" w:rsidP="00FA02C7">
      <w:pPr>
        <w:pStyle w:val="BodyText"/>
      </w:pPr>
      <w:r w:rsidRPr="007D5333">
        <w:t>This unit has links to legislative and certification requirements.</w:t>
      </w:r>
    </w:p>
    <w:p w:rsidR="00000000" w:rsidRPr="007D5333" w:rsidP="007D5333">
      <w:pPr>
        <w:pStyle w:val="Heading1"/>
      </w:pPr>
      <w:bookmarkStart w:id="3" w:name="O_595199"/>
      <w:bookmarkEnd w:id="3"/>
      <w:r w:rsidRPr="007D5333">
        <w:t>Pre-requisite Unit</w:t>
      </w:r>
    </w:p>
    <w:p w:rsidR="00000000" w:rsidRPr="007D5333" w:rsidP="00FA02C7">
      <w:pPr>
        <w:pStyle w:val="BodyText"/>
      </w:pPr>
      <w:r w:rsidRPr="007D5333">
        <w:t>Not applicable.</w:t>
      </w:r>
    </w:p>
    <w:p w:rsidR="00000000" w:rsidRPr="007D5333" w:rsidP="007D5333">
      <w:pPr>
        <w:pStyle w:val="Heading1"/>
      </w:pPr>
      <w:bookmarkStart w:id="4" w:name="O_595200"/>
      <w:bookmarkEnd w:id="4"/>
      <w:r w:rsidRPr="007D5333">
        <w:t>Competency Field</w:t>
      </w:r>
    </w:p>
    <w:p w:rsidR="00000000" w:rsidRPr="007D5333" w:rsidP="00FA02C7">
      <w:pPr>
        <w:pStyle w:val="BodyText"/>
      </w:pPr>
      <w:r w:rsidRPr="007D5333">
        <w:t>A – Handling Cargo and Vessel Stability</w:t>
      </w:r>
    </w:p>
    <w:p w:rsidR="00000000" w:rsidRPr="007D5333" w:rsidP="007D5333">
      <w:pPr>
        <w:pStyle w:val="Heading1"/>
      </w:pPr>
      <w:bookmarkStart w:id="5" w:name="O_595201"/>
      <w:bookmarkEnd w:id="5"/>
      <w:r w:rsidRPr="007D5333">
        <w:t>Unit Sec</w:t>
      </w:r>
      <w:r w:rsidRPr="007D5333">
        <w:t>tor</w:t>
      </w:r>
    </w:p>
    <w:p w:rsidR="00000000" w:rsidRPr="007D5333" w:rsidP="00FA02C7">
      <w:pPr>
        <w:pStyle w:val="BodyText"/>
      </w:pPr>
      <w:r w:rsidRPr="007D5333">
        <w:t>Not applicable.</w:t>
      </w:r>
    </w:p>
    <w:p w:rsidR="00000000" w:rsidRPr="007D5333" w:rsidP="007D5333">
      <w:pPr>
        <w:pStyle w:val="Heading1"/>
      </w:pPr>
      <w:bookmarkStart w:id="6" w:name="O_595202"/>
      <w:bookmarkEnd w:id="6"/>
      <w:r w:rsidRPr="007D5333">
        <w:t>Elements and Performance Criteria</w:t>
      </w:r>
    </w:p>
    <w:tbl>
      <w:tblPr>
        <w:tblW w:w="9498" w:type="dxa"/>
        <w:tblLayout w:type="fixed"/>
        <w:tblCellMar>
          <w:left w:w="62" w:type="dxa"/>
          <w:right w:w="62" w:type="dxa"/>
        </w:tblCellMar>
        <w:tblLook w:val="0000"/>
      </w:tblPr>
      <w:tblGrid>
        <w:gridCol w:w="432"/>
        <w:gridCol w:w="2302"/>
        <w:gridCol w:w="719"/>
        <w:gridCol w:w="6045"/>
      </w:tblGrid>
      <w:tr w:rsidTr="00FA02C7">
        <w:tblPrEx>
          <w:tblW w:w="9498" w:type="dxa"/>
          <w:tblLayout w:type="fixed"/>
          <w:tblCellMar>
            <w:left w:w="62" w:type="dxa"/>
            <w:right w:w="62" w:type="dxa"/>
          </w:tblCellMar>
          <w:tblLook w:val="0000"/>
        </w:tblPrEx>
        <w:tc>
          <w:tcPr>
            <w:tcW w:w="2734" w:type="dxa"/>
            <w:gridSpan w:val="2"/>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Performance criteria describe the performance needed to demonstrate achievement of the element.</w:t>
            </w:r>
          </w:p>
        </w:tc>
      </w:tr>
      <w:tr w:rsidTr="00FA02C7">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D5333" w:rsidP="007D5333">
            <w:pPr>
              <w:pStyle w:val="BodyText"/>
            </w:pPr>
            <w:r w:rsidRPr="007D5333">
              <w:rPr>
                <w:rStyle w:val="SpecialBold"/>
              </w:rPr>
              <w:t>1</w:t>
            </w:r>
          </w:p>
        </w:tc>
        <w:tc>
          <w:tcPr>
            <w:tcW w:w="2302" w:type="dxa"/>
            <w:vMerge w:val="restart"/>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rPr>
                <w:rStyle w:val="SpecialBold"/>
              </w:rPr>
              <w:t>Determine characteristics of tanker cargo and tankers to ensure safe transfer and transport of cargo</w:t>
            </w:r>
          </w:p>
        </w:tc>
        <w:tc>
          <w:tcPr>
            <w:tcW w:w="719"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1.1</w:t>
            </w:r>
          </w:p>
        </w:tc>
        <w:tc>
          <w:tcPr>
            <w:tcW w:w="604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Features of various types of liquefied gas tankers are outlined</w:t>
            </w:r>
          </w:p>
        </w:tc>
      </w:tr>
      <w:tr w:rsidTr="00FA02C7">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1.2</w:t>
            </w:r>
          </w:p>
        </w:tc>
        <w:tc>
          <w:tcPr>
            <w:tcW w:w="604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Cargo operations of tankers are identified</w:t>
            </w:r>
          </w:p>
        </w:tc>
      </w:tr>
      <w:tr w:rsidTr="00FA02C7">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1.3</w:t>
            </w:r>
          </w:p>
        </w:tc>
        <w:tc>
          <w:tcPr>
            <w:tcW w:w="604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 xml:space="preserve">Properties of cargo being transported are identified and their impact on safety, the environment and vessel operations are outlined </w:t>
            </w:r>
          </w:p>
        </w:tc>
      </w:tr>
      <w:tr w:rsidTr="00FA02C7">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1.4</w:t>
            </w:r>
          </w:p>
        </w:tc>
        <w:tc>
          <w:tcPr>
            <w:tcW w:w="604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Hazards associated with the transport of cargo are clarified according to emergency response documentation</w:t>
            </w:r>
          </w:p>
        </w:tc>
      </w:tr>
      <w:tr w:rsidTr="00FA02C7">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1.5</w:t>
            </w:r>
          </w:p>
        </w:tc>
        <w:tc>
          <w:tcPr>
            <w:tcW w:w="604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Ha</w:t>
            </w:r>
            <w:r w:rsidRPr="007D5333">
              <w:t>zard controls associated with tanker cargo are employed according to organisational procedures</w:t>
            </w:r>
          </w:p>
        </w:tc>
      </w:tr>
      <w:tr w:rsidTr="00FA02C7">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D5333" w:rsidP="007D5333">
            <w:pPr>
              <w:pStyle w:val="BodyText"/>
            </w:pPr>
            <w:r w:rsidRPr="007D5333">
              <w:rPr>
                <w:rStyle w:val="SpecialBold"/>
              </w:rPr>
              <w:t>2</w:t>
            </w:r>
          </w:p>
        </w:tc>
        <w:tc>
          <w:tcPr>
            <w:tcW w:w="2302" w:type="dxa"/>
            <w:vMerge w:val="restart"/>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rPr>
                <w:rStyle w:val="SpecialBold"/>
              </w:rPr>
              <w:t>Comply with legislative and organisational requirements for safe transfer and transport of tanker cargo</w:t>
            </w:r>
          </w:p>
        </w:tc>
        <w:tc>
          <w:tcPr>
            <w:tcW w:w="719"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2.1</w:t>
            </w:r>
          </w:p>
        </w:tc>
        <w:tc>
          <w:tcPr>
            <w:tcW w:w="604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Safety data sheets (SDS)/material safety data shee</w:t>
            </w:r>
            <w:r w:rsidRPr="007D5333">
              <w:t>ts (MSDS) relevant to cargo are accessed and procedures for tanker safety and safety management are identified</w:t>
            </w:r>
          </w:p>
        </w:tc>
      </w:tr>
      <w:tr w:rsidTr="00FA02C7">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2.2</w:t>
            </w:r>
          </w:p>
        </w:tc>
        <w:tc>
          <w:tcPr>
            <w:tcW w:w="604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SDS/MSDS are interpreted to identify relevant cargo-related hazards to the vessel and to personnel</w:t>
            </w:r>
          </w:p>
        </w:tc>
      </w:tr>
      <w:tr w:rsidTr="00FA02C7">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2.3</w:t>
            </w:r>
          </w:p>
        </w:tc>
        <w:tc>
          <w:tcPr>
            <w:tcW w:w="604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Legislative and organisational requirements are interpreted to identify appropriate actions for safe transfer and transport of cargo</w:t>
            </w:r>
          </w:p>
        </w:tc>
      </w:tr>
      <w:tr w:rsidTr="00FA02C7">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D5333" w:rsidP="007D5333">
            <w:pPr>
              <w:pStyle w:val="BodyText"/>
            </w:pPr>
            <w:r w:rsidRPr="007D5333">
              <w:rPr>
                <w:rStyle w:val="SpecialBold"/>
              </w:rPr>
              <w:t>3</w:t>
            </w:r>
          </w:p>
        </w:tc>
        <w:tc>
          <w:tcPr>
            <w:tcW w:w="2302" w:type="dxa"/>
            <w:vMerge w:val="restart"/>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rPr>
                <w:rStyle w:val="SpecialBold"/>
              </w:rPr>
              <w:t>Take precautions to prevent hazards</w:t>
            </w:r>
          </w:p>
        </w:tc>
        <w:tc>
          <w:tcPr>
            <w:tcW w:w="719"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3.1</w:t>
            </w:r>
          </w:p>
        </w:tc>
        <w:tc>
          <w:tcPr>
            <w:tcW w:w="604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Organisational policies and procedures to minimise hazards are identified</w:t>
            </w:r>
          </w:p>
        </w:tc>
      </w:tr>
      <w:tr w:rsidTr="00FA02C7">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3.2</w:t>
            </w:r>
          </w:p>
        </w:tc>
        <w:tc>
          <w:tcPr>
            <w:tcW w:w="604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Type and severity of the hazard posed by cargo is recognised</w:t>
            </w:r>
          </w:p>
        </w:tc>
      </w:tr>
      <w:tr w:rsidTr="00FA02C7">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3.3</w:t>
            </w:r>
          </w:p>
        </w:tc>
        <w:tc>
          <w:tcPr>
            <w:tcW w:w="604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Transfer and transport of cargo is monitored to prevent hazards</w:t>
            </w:r>
          </w:p>
        </w:tc>
      </w:tr>
      <w:tr w:rsidTr="00FA02C7">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3.4</w:t>
            </w:r>
          </w:p>
        </w:tc>
        <w:tc>
          <w:tcPr>
            <w:tcW w:w="604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Gas monitoring equipment is regularly inspected and used according to organisational procedures</w:t>
            </w:r>
          </w:p>
        </w:tc>
      </w:tr>
      <w:tr w:rsidTr="00FA02C7">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D5333" w:rsidP="007D5333">
            <w:pPr>
              <w:pStyle w:val="BodyText"/>
            </w:pPr>
            <w:r w:rsidRPr="007D5333">
              <w:rPr>
                <w:rStyle w:val="SpecialBold"/>
              </w:rPr>
              <w:t>4</w:t>
            </w:r>
          </w:p>
        </w:tc>
        <w:tc>
          <w:tcPr>
            <w:tcW w:w="2302" w:type="dxa"/>
            <w:vMerge w:val="restart"/>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rPr>
                <w:rStyle w:val="SpecialBold"/>
              </w:rPr>
              <w:t>Act on becoming aware of a hazardous situation</w:t>
            </w:r>
          </w:p>
        </w:tc>
        <w:tc>
          <w:tcPr>
            <w:tcW w:w="719"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4.1</w:t>
            </w:r>
          </w:p>
        </w:tc>
        <w:tc>
          <w:tcPr>
            <w:tcW w:w="604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Source of hazard is identified according to organisational procedures</w:t>
            </w:r>
          </w:p>
        </w:tc>
      </w:tr>
      <w:tr w:rsidTr="00FA02C7">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4.2</w:t>
            </w:r>
          </w:p>
        </w:tc>
        <w:tc>
          <w:tcPr>
            <w:tcW w:w="604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Risk is assessed considering severity and likelihood of consequences</w:t>
            </w:r>
          </w:p>
        </w:tc>
      </w:tr>
      <w:tr w:rsidTr="00FA02C7">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4.3</w:t>
            </w:r>
          </w:p>
        </w:tc>
        <w:tc>
          <w:tcPr>
            <w:tcW w:w="604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Control measures to minimise risk are implemented to level of responsibility or referred to appropriate person for further action</w:t>
            </w:r>
          </w:p>
        </w:tc>
      </w:tr>
      <w:tr w:rsidTr="00FA02C7">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4.4</w:t>
            </w:r>
          </w:p>
        </w:tc>
        <w:tc>
          <w:tcPr>
            <w:tcW w:w="604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Containment procedures are applied where appropriate</w:t>
            </w:r>
          </w:p>
        </w:tc>
      </w:tr>
      <w:tr w:rsidTr="00FA02C7">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4.5</w:t>
            </w:r>
          </w:p>
        </w:tc>
        <w:tc>
          <w:tcPr>
            <w:tcW w:w="604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Appropriate safety procedures are followed and personal pro</w:t>
            </w:r>
            <w:r w:rsidRPr="007D5333">
              <w:t>tective equipment is used according to organisational procedures</w:t>
            </w:r>
          </w:p>
        </w:tc>
      </w:tr>
      <w:tr w:rsidTr="00FA02C7">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4.6</w:t>
            </w:r>
          </w:p>
        </w:tc>
        <w:tc>
          <w:tcPr>
            <w:tcW w:w="604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Risk is eliminated where possible, and if not practical, actions are taken to control risk</w:t>
            </w:r>
          </w:p>
        </w:tc>
      </w:tr>
      <w:tr w:rsidTr="00FA02C7">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D5333" w:rsidP="007D5333">
            <w:pPr>
              <w:pStyle w:val="BodyText"/>
            </w:pPr>
            <w:r w:rsidRPr="007D5333">
              <w:rPr>
                <w:rStyle w:val="SpecialBold"/>
              </w:rPr>
              <w:t>5</w:t>
            </w:r>
          </w:p>
        </w:tc>
        <w:tc>
          <w:tcPr>
            <w:tcW w:w="2302" w:type="dxa"/>
            <w:vMerge w:val="restart"/>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rPr>
                <w:rStyle w:val="SpecialBold"/>
              </w:rPr>
              <w:t xml:space="preserve">Take precautions to prevent pollution of </w:t>
            </w:r>
            <w:r w:rsidRPr="007D5333">
              <w:rPr>
                <w:rStyle w:val="SpecialBold"/>
              </w:rPr>
              <w:t>the environment from release of liquefied gases</w:t>
            </w:r>
          </w:p>
        </w:tc>
        <w:tc>
          <w:tcPr>
            <w:tcW w:w="719"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5</w:t>
            </w:r>
            <w:r w:rsidRPr="007D5333">
              <w:t>.1</w:t>
            </w:r>
          </w:p>
        </w:tc>
        <w:tc>
          <w:tcPr>
            <w:tcW w:w="604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Procedures to prevent pollution are identified and observed at all times</w:t>
            </w:r>
          </w:p>
        </w:tc>
      </w:tr>
      <w:tr w:rsidTr="00FA02C7">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5.2</w:t>
            </w:r>
          </w:p>
        </w:tc>
        <w:tc>
          <w:tcPr>
            <w:tcW w:w="604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Measures to prevent pollution during normal and emergency situations are applied according to regulatory requirements and organisational procedures</w:t>
            </w:r>
          </w:p>
        </w:tc>
      </w:tr>
      <w:tr w:rsidTr="00FA02C7">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5.3</w:t>
            </w:r>
          </w:p>
        </w:tc>
        <w:tc>
          <w:tcPr>
            <w:tcW w:w="604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 xml:space="preserve">All relevant information is immediately reported to appropriate persons when a vapour leak or cloud is detected or a malfunction has occurred that poses a risk of a vapour leak or cloud </w:t>
            </w:r>
          </w:p>
        </w:tc>
      </w:tr>
      <w:tr w:rsidTr="00FA02C7">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5.4</w:t>
            </w:r>
          </w:p>
        </w:tc>
        <w:tc>
          <w:tcPr>
            <w:tcW w:w="6045" w:type="dxa"/>
            <w:tcBorders>
              <w:top w:val="nil"/>
              <w:left w:val="nil"/>
              <w:bottom w:val="nil"/>
              <w:right w:val="nil"/>
            </w:tcBorders>
            <w:tcMar>
              <w:top w:w="0" w:type="dxa"/>
              <w:left w:w="62" w:type="dxa"/>
              <w:bottom w:w="0" w:type="dxa"/>
              <w:right w:w="62" w:type="dxa"/>
            </w:tcMar>
          </w:tcPr>
          <w:p w:rsidR="00000000" w:rsidRPr="007D5333" w:rsidP="007D5333">
            <w:pPr>
              <w:pStyle w:val="BodyText"/>
            </w:pPr>
            <w:r w:rsidRPr="007D5333">
              <w:t>Shore-based response personnel ar</w:t>
            </w:r>
            <w:r w:rsidRPr="007D5333">
              <w:t>e promptly notified when a vapour leak or cloud occurs</w:t>
            </w:r>
          </w:p>
        </w:tc>
      </w:tr>
    </w:tbl>
    <w:p w:rsidR="00000000" w:rsidRPr="007D5333" w:rsidP="007D5333">
      <w:pPr>
        <w:pStyle w:val="BodyText"/>
      </w:pPr>
    </w:p>
    <w:p w:rsidR="00000000" w:rsidRPr="007D5333" w:rsidP="007D5333">
      <w:pPr>
        <w:pStyle w:val="AllowPageBreak"/>
      </w:pPr>
    </w:p>
    <w:p w:rsidR="00000000" w:rsidRPr="007D5333" w:rsidP="007D5333">
      <w:pPr>
        <w:pStyle w:val="Heading1"/>
      </w:pPr>
      <w:bookmarkStart w:id="7" w:name="O_595203"/>
      <w:bookmarkEnd w:id="7"/>
      <w:r w:rsidRPr="007D5333">
        <w:t>Foundation Skills</w:t>
      </w:r>
    </w:p>
    <w:tbl>
      <w:tblPr>
        <w:tblW w:w="9498" w:type="dxa"/>
        <w:tblLayout w:type="fixed"/>
        <w:tblCellMar>
          <w:left w:w="62" w:type="dxa"/>
          <w:right w:w="62" w:type="dxa"/>
        </w:tblCellMar>
        <w:tblLook w:val="0000"/>
      </w:tblPr>
      <w:tblGrid>
        <w:gridCol w:w="9498"/>
      </w:tblGrid>
      <w:tr w:rsidTr="007D533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This section describes those language, literacy, numeracy and employment skills that are essential to performance.</w:t>
            </w:r>
          </w:p>
        </w:tc>
      </w:tr>
      <w:tr w:rsidTr="007D533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D5333" w:rsidP="007D5333">
            <w:pPr>
              <w:pStyle w:val="BodyText"/>
            </w:pPr>
            <w:r w:rsidRPr="007D5333">
              <w:t>Foundation skills essential to performance are e</w:t>
            </w:r>
            <w:r w:rsidRPr="007D5333">
              <w:t>xplicit in the performance criteria of this unit of competency.</w:t>
            </w:r>
          </w:p>
        </w:tc>
      </w:tr>
    </w:tbl>
    <w:p w:rsidR="00000000" w:rsidRPr="007D5333" w:rsidP="007D5333">
      <w:pPr>
        <w:pStyle w:val="BodyText"/>
      </w:pPr>
    </w:p>
    <w:p w:rsidR="00000000" w:rsidRPr="007D5333" w:rsidP="007D5333">
      <w:pPr>
        <w:pStyle w:val="AllowPageBreak"/>
      </w:pPr>
    </w:p>
    <w:p w:rsidR="00000000" w:rsidRPr="007D5333" w:rsidP="007D5333">
      <w:pPr>
        <w:pStyle w:val="Heading1"/>
      </w:pPr>
      <w:bookmarkStart w:id="8" w:name="O_595204"/>
      <w:bookmarkEnd w:id="8"/>
      <w:r w:rsidRPr="007D5333">
        <w:t>Range of Conditions</w:t>
      </w:r>
    </w:p>
    <w:tbl>
      <w:tblPr>
        <w:tblW w:w="9498" w:type="dxa"/>
        <w:tblLayout w:type="fixed"/>
        <w:tblCellMar>
          <w:left w:w="62" w:type="dxa"/>
          <w:right w:w="62" w:type="dxa"/>
        </w:tblCellMar>
        <w:tblLook w:val="0000"/>
      </w:tblPr>
      <w:tblGrid>
        <w:gridCol w:w="2735"/>
        <w:gridCol w:w="6763"/>
      </w:tblGrid>
      <w:tr w:rsidTr="00FA02C7">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7D5333" w:rsidP="007D5333">
            <w:pPr>
              <w:pStyle w:val="BodyText"/>
            </w:pPr>
            <w:r w:rsidRPr="007D5333">
              <w:t>Specifies different work environments and conditions that may affect performance. Essential operating conditions that may be present (depending on the wo</w:t>
            </w:r>
            <w:r w:rsidRPr="007D5333">
              <w:t>rk situation, needs of the candidate, accessibility of the item, and local industry and regional contexts) are included.</w:t>
            </w:r>
          </w:p>
          <w:p w:rsidR="00000000" w:rsidRPr="007D5333" w:rsidP="007D5333">
            <w:pPr>
              <w:pStyle w:val="BodyText"/>
            </w:pPr>
          </w:p>
          <w:p w:rsidR="00000000" w:rsidP="007D5333">
            <w:pPr>
              <w:pStyle w:val="BodyText"/>
              <w:rPr>
                <w:lang w:val="en-NZ"/>
              </w:rPr>
            </w:pPr>
            <w:r w:rsidRPr="007D5333">
              <w:t>Range is restricted to essential operating conditions and any other variables essential to the work environment.</w:t>
            </w:r>
          </w:p>
        </w:tc>
      </w:tr>
      <w:tr w:rsidTr="00FA02C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Cargo operations must include:</w:t>
            </w:r>
          </w:p>
        </w:tc>
        <w:tc>
          <w:tcPr>
            <w:tcW w:w="6763" w:type="dxa"/>
            <w:tcBorders>
              <w:top w:val="nil"/>
              <w:left w:val="nil"/>
              <w:bottom w:val="nil"/>
              <w:right w:val="nil"/>
            </w:tcBorders>
            <w:tcMar>
              <w:top w:w="0" w:type="dxa"/>
              <w:left w:w="62" w:type="dxa"/>
              <w:bottom w:w="0" w:type="dxa"/>
              <w:right w:w="62" w:type="dxa"/>
            </w:tcMar>
          </w:tcPr>
          <w:p w:rsidR="00000000" w:rsidRPr="007D5333" w:rsidP="007D5333">
            <w:pPr>
              <w:pStyle w:val="ListBullet"/>
            </w:pPr>
            <w:r w:rsidRPr="007D5333">
              <w:t>cargo handling equipment</w:t>
            </w:r>
          </w:p>
          <w:p w:rsidR="00000000" w:rsidRPr="007D5333" w:rsidP="007D5333">
            <w:pPr>
              <w:pStyle w:val="ListBullet"/>
            </w:pPr>
            <w:r w:rsidRPr="007D5333">
              <w:t xml:space="preserve">emergency shut-down system (ESS) </w:t>
            </w:r>
          </w:p>
          <w:p w:rsidR="00000000" w:rsidRPr="007D5333" w:rsidP="007D5333">
            <w:pPr>
              <w:pStyle w:val="ListBullet"/>
            </w:pPr>
            <w:r w:rsidRPr="007D5333">
              <w:t>loading, unloading and care in transit</w:t>
            </w:r>
          </w:p>
          <w:p w:rsidR="00000000" w:rsidRPr="007D5333" w:rsidP="007D5333">
            <w:pPr>
              <w:pStyle w:val="ListBullet"/>
            </w:pPr>
            <w:r w:rsidRPr="007D5333">
              <w:t>piping systems and valves</w:t>
            </w:r>
          </w:p>
          <w:p w:rsidR="00000000" w:rsidP="007D5333">
            <w:pPr>
              <w:pStyle w:val="ListBullet"/>
              <w:rPr>
                <w:lang w:val="en-NZ"/>
              </w:rPr>
            </w:pPr>
            <w:r w:rsidRPr="007D5333">
              <w:t>tank cleaning, purging, gas-freeing and inerting</w:t>
            </w:r>
          </w:p>
        </w:tc>
      </w:tr>
      <w:tr w:rsidTr="00FA02C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p>
        </w:tc>
      </w:tr>
      <w:tr w:rsidTr="00FA02C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Properties must include:</w:t>
            </w:r>
          </w:p>
        </w:tc>
        <w:tc>
          <w:tcPr>
            <w:tcW w:w="6763" w:type="dxa"/>
            <w:tcBorders>
              <w:top w:val="nil"/>
              <w:left w:val="nil"/>
              <w:bottom w:val="nil"/>
              <w:right w:val="nil"/>
            </w:tcBorders>
            <w:tcMar>
              <w:top w:w="0" w:type="dxa"/>
              <w:left w:w="62" w:type="dxa"/>
              <w:bottom w:w="0" w:type="dxa"/>
              <w:right w:w="62" w:type="dxa"/>
            </w:tcMar>
          </w:tcPr>
          <w:p w:rsidR="00000000" w:rsidRPr="007D5333" w:rsidP="007D5333">
            <w:pPr>
              <w:pStyle w:val="ListBullet"/>
            </w:pPr>
            <w:r w:rsidRPr="007D5333">
              <w:t>chemical symbols</w:t>
            </w:r>
          </w:p>
          <w:p w:rsidR="00000000" w:rsidRPr="007D5333" w:rsidP="007D5333">
            <w:pPr>
              <w:pStyle w:val="ListBullet"/>
            </w:pPr>
            <w:r w:rsidRPr="007D5333">
              <w:t>pressure and temperature including vapour pressure/temperature relationship</w:t>
            </w:r>
          </w:p>
          <w:p w:rsidR="00000000" w:rsidP="007D5333">
            <w:pPr>
              <w:pStyle w:val="ListBullet"/>
              <w:rPr>
                <w:lang w:val="en-NZ"/>
              </w:rPr>
            </w:pPr>
            <w:r w:rsidRPr="007D5333">
              <w:t>types of electrostatic charge generation</w:t>
            </w:r>
          </w:p>
        </w:tc>
      </w:tr>
      <w:tr w:rsidTr="00FA02C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p>
        </w:tc>
      </w:tr>
      <w:tr w:rsidTr="00FA02C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Cargo must include:</w:t>
            </w:r>
          </w:p>
        </w:tc>
        <w:tc>
          <w:tcPr>
            <w:tcW w:w="6763" w:type="dxa"/>
            <w:tcBorders>
              <w:top w:val="nil"/>
              <w:left w:val="nil"/>
              <w:bottom w:val="nil"/>
              <w:right w:val="nil"/>
            </w:tcBorders>
            <w:tcMar>
              <w:top w:w="0" w:type="dxa"/>
              <w:left w:w="62" w:type="dxa"/>
              <w:bottom w:w="0" w:type="dxa"/>
              <w:right w:w="62" w:type="dxa"/>
            </w:tcMar>
          </w:tcPr>
          <w:p w:rsidR="00000000" w:rsidRPr="007D5333" w:rsidP="007D5333">
            <w:pPr>
              <w:pStyle w:val="ListBullet"/>
            </w:pPr>
            <w:r w:rsidRPr="007D5333">
              <w:t>ammonia</w:t>
            </w:r>
          </w:p>
          <w:p w:rsidR="00000000" w:rsidRPr="007D5333" w:rsidP="007D5333">
            <w:pPr>
              <w:pStyle w:val="ListBullet"/>
            </w:pPr>
            <w:r w:rsidRPr="007D5333">
              <w:t>butadiene</w:t>
            </w:r>
          </w:p>
          <w:p w:rsidR="00000000" w:rsidRPr="007D5333" w:rsidP="007D5333">
            <w:pPr>
              <w:pStyle w:val="ListBullet"/>
            </w:pPr>
            <w:r w:rsidRPr="007D5333">
              <w:t>ethylene</w:t>
            </w:r>
          </w:p>
          <w:p w:rsidR="00000000" w:rsidRPr="007D5333" w:rsidP="007D5333">
            <w:pPr>
              <w:pStyle w:val="ListBullet"/>
            </w:pPr>
            <w:r w:rsidRPr="007D5333">
              <w:t>liquefied natural gas (LNG)</w:t>
            </w:r>
          </w:p>
          <w:p w:rsidR="00000000" w:rsidRPr="007D5333" w:rsidP="007D5333">
            <w:pPr>
              <w:pStyle w:val="ListBullet"/>
            </w:pPr>
            <w:r w:rsidRPr="007D5333">
              <w:t>liquefied petroleum gas (LPG)</w:t>
            </w:r>
          </w:p>
          <w:p w:rsidR="00000000" w:rsidRPr="007D5333" w:rsidP="007D5333">
            <w:pPr>
              <w:pStyle w:val="ListBullet"/>
            </w:pPr>
            <w:r w:rsidRPr="007D5333">
              <w:t>propylene</w:t>
            </w:r>
          </w:p>
          <w:p w:rsidR="00000000" w:rsidP="007D5333">
            <w:pPr>
              <w:pStyle w:val="ListBullet"/>
              <w:rPr>
                <w:lang w:val="en-NZ"/>
              </w:rPr>
            </w:pPr>
            <w:r w:rsidRPr="007D5333">
              <w:t>vinyl chloride</w:t>
            </w:r>
          </w:p>
        </w:tc>
      </w:tr>
      <w:tr w:rsidTr="00FA02C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p>
        </w:tc>
      </w:tr>
      <w:tr w:rsidTr="00FA02C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Hazards must include:</w:t>
            </w:r>
          </w:p>
        </w:tc>
        <w:tc>
          <w:tcPr>
            <w:tcW w:w="6763" w:type="dxa"/>
            <w:tcBorders>
              <w:top w:val="nil"/>
              <w:left w:val="nil"/>
              <w:bottom w:val="nil"/>
              <w:right w:val="nil"/>
            </w:tcBorders>
            <w:tcMar>
              <w:top w:w="0" w:type="dxa"/>
              <w:left w:w="62" w:type="dxa"/>
              <w:bottom w:w="0" w:type="dxa"/>
              <w:right w:w="62" w:type="dxa"/>
            </w:tcMar>
          </w:tcPr>
          <w:p w:rsidR="00000000" w:rsidRPr="007D5333" w:rsidP="007D5333">
            <w:pPr>
              <w:pStyle w:val="ListBullet"/>
            </w:pPr>
            <w:r w:rsidRPr="007D5333">
              <w:t>corrosion hazards</w:t>
            </w:r>
          </w:p>
          <w:p w:rsidR="00000000" w:rsidRPr="007D5333" w:rsidP="007D5333">
            <w:pPr>
              <w:pStyle w:val="ListBullet"/>
            </w:pPr>
            <w:r w:rsidRPr="007D5333">
              <w:t>electrostatic hazards</w:t>
            </w:r>
          </w:p>
          <w:p w:rsidR="00000000" w:rsidRPr="007D5333" w:rsidP="007D5333">
            <w:pPr>
              <w:pStyle w:val="ListBullet"/>
            </w:pPr>
            <w:r w:rsidRPr="007D5333">
              <w:t>environmental hazards</w:t>
            </w:r>
          </w:p>
          <w:p w:rsidR="00000000" w:rsidRPr="007D5333" w:rsidP="007D5333">
            <w:pPr>
              <w:pStyle w:val="ListBullet"/>
            </w:pPr>
            <w:r w:rsidRPr="007D5333">
              <w:t>explosion and flammability hazards</w:t>
            </w:r>
          </w:p>
          <w:p w:rsidR="00000000" w:rsidRPr="007D5333" w:rsidP="007D5333">
            <w:pPr>
              <w:pStyle w:val="ListBullet"/>
            </w:pPr>
            <w:r w:rsidRPr="007D5333">
              <w:t>extremely low temperatures</w:t>
            </w:r>
          </w:p>
          <w:p w:rsidR="00000000" w:rsidRPr="007D5333" w:rsidP="007D5333">
            <w:pPr>
              <w:pStyle w:val="ListBullet"/>
            </w:pPr>
            <w:r w:rsidRPr="007D5333">
              <w:t>health hazards</w:t>
            </w:r>
          </w:p>
          <w:p w:rsidR="00000000" w:rsidRPr="007D5333" w:rsidP="007D5333">
            <w:pPr>
              <w:pStyle w:val="ListBullet"/>
            </w:pPr>
            <w:r w:rsidRPr="007D5333">
              <w:t xml:space="preserve">pressure hazards </w:t>
            </w:r>
          </w:p>
          <w:p w:rsidR="00000000" w:rsidRPr="007D5333" w:rsidP="007D5333">
            <w:pPr>
              <w:pStyle w:val="ListBullet"/>
            </w:pPr>
            <w:r w:rsidRPr="007D5333">
              <w:t>reactivity hazards</w:t>
            </w:r>
          </w:p>
          <w:p w:rsidR="00000000" w:rsidRPr="007D5333" w:rsidP="007D5333">
            <w:pPr>
              <w:pStyle w:val="ListBullet"/>
            </w:pPr>
            <w:r w:rsidRPr="007D5333">
              <w:t xml:space="preserve">sources of ignition </w:t>
            </w:r>
          </w:p>
          <w:p w:rsidR="00000000" w:rsidRPr="007D5333" w:rsidP="007D5333">
            <w:pPr>
              <w:pStyle w:val="ListBullet"/>
            </w:pPr>
            <w:r w:rsidRPr="007D5333">
              <w:t>toxicity hazards</w:t>
            </w:r>
          </w:p>
          <w:p w:rsidR="00000000" w:rsidP="007D5333">
            <w:pPr>
              <w:pStyle w:val="ListBullet"/>
              <w:rPr>
                <w:lang w:val="en-NZ"/>
              </w:rPr>
            </w:pPr>
            <w:r w:rsidRPr="007D5333">
              <w:t>vapour leaks and clouds</w:t>
            </w:r>
          </w:p>
        </w:tc>
      </w:tr>
      <w:tr w:rsidTr="00FA02C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p>
        </w:tc>
      </w:tr>
      <w:tr w:rsidTr="00FA02C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Hazard controls must include:</w:t>
            </w:r>
          </w:p>
        </w:tc>
        <w:tc>
          <w:tcPr>
            <w:tcW w:w="6763" w:type="dxa"/>
            <w:tcBorders>
              <w:top w:val="nil"/>
              <w:left w:val="nil"/>
              <w:bottom w:val="nil"/>
              <w:right w:val="nil"/>
            </w:tcBorders>
            <w:tcMar>
              <w:top w:w="0" w:type="dxa"/>
              <w:left w:w="62" w:type="dxa"/>
              <w:bottom w:w="0" w:type="dxa"/>
              <w:right w:w="62" w:type="dxa"/>
            </w:tcMar>
          </w:tcPr>
          <w:p w:rsidR="00000000" w:rsidRPr="007D5333" w:rsidP="007D5333">
            <w:pPr>
              <w:pStyle w:val="ListBullet"/>
            </w:pPr>
            <w:r w:rsidRPr="007D5333">
              <w:t>anti-static measures</w:t>
            </w:r>
          </w:p>
          <w:p w:rsidR="00000000" w:rsidRPr="007D5333" w:rsidP="007D5333">
            <w:pPr>
              <w:pStyle w:val="ListBullet"/>
            </w:pPr>
            <w:r w:rsidRPr="007D5333">
              <w:t>atmospheric control</w:t>
            </w:r>
          </w:p>
          <w:p w:rsidR="00000000" w:rsidRPr="007D5333" w:rsidP="007D5333">
            <w:pPr>
              <w:pStyle w:val="ListBullet"/>
            </w:pPr>
            <w:r w:rsidRPr="007D5333">
              <w:t>cargo inhibition</w:t>
            </w:r>
          </w:p>
          <w:p w:rsidR="00000000" w:rsidRPr="007D5333" w:rsidP="007D5333">
            <w:pPr>
              <w:pStyle w:val="ListBullet"/>
            </w:pPr>
            <w:r w:rsidRPr="007D5333">
              <w:t>gas testing</w:t>
            </w:r>
          </w:p>
          <w:p w:rsidR="00000000" w:rsidRPr="007D5333" w:rsidP="007D5333">
            <w:pPr>
              <w:pStyle w:val="ListBullet"/>
            </w:pPr>
            <w:r w:rsidRPr="007D5333">
              <w:t>importance of cargo compatibility</w:t>
            </w:r>
          </w:p>
          <w:p w:rsidR="00000000" w:rsidRPr="007D5333" w:rsidP="007D5333">
            <w:pPr>
              <w:pStyle w:val="ListBullet"/>
            </w:pPr>
            <w:r w:rsidRPr="007D5333">
              <w:t>inerting, drying and monitoring techniques</w:t>
            </w:r>
          </w:p>
          <w:p w:rsidR="00000000" w:rsidRPr="007D5333" w:rsidP="007D5333">
            <w:pPr>
              <w:pStyle w:val="ListBullet"/>
            </w:pPr>
            <w:r w:rsidRPr="007D5333">
              <w:t>segregation</w:t>
            </w:r>
          </w:p>
          <w:p w:rsidR="00000000" w:rsidP="007D5333">
            <w:pPr>
              <w:pStyle w:val="ListBullet"/>
              <w:rPr>
                <w:lang w:val="en-NZ"/>
              </w:rPr>
            </w:pPr>
            <w:r w:rsidRPr="007D5333">
              <w:t>ventilation</w:t>
            </w:r>
          </w:p>
        </w:tc>
      </w:tr>
      <w:tr w:rsidTr="00FA02C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p>
        </w:tc>
      </w:tr>
      <w:tr w:rsidTr="00FA02C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Gas monitoring equipment must include:</w:t>
            </w:r>
          </w:p>
        </w:tc>
        <w:tc>
          <w:tcPr>
            <w:tcW w:w="6763" w:type="dxa"/>
            <w:tcBorders>
              <w:top w:val="nil"/>
              <w:left w:val="nil"/>
              <w:bottom w:val="nil"/>
              <w:right w:val="nil"/>
            </w:tcBorders>
            <w:tcMar>
              <w:top w:w="0" w:type="dxa"/>
              <w:left w:w="62" w:type="dxa"/>
              <w:bottom w:w="0" w:type="dxa"/>
              <w:right w:w="62" w:type="dxa"/>
            </w:tcMar>
          </w:tcPr>
          <w:p w:rsidR="00000000" w:rsidRPr="007D5333" w:rsidP="007D5333">
            <w:pPr>
              <w:pStyle w:val="ListBullet"/>
            </w:pPr>
            <w:r w:rsidRPr="007D5333">
              <w:t>gas monitoring instruments</w:t>
            </w:r>
          </w:p>
          <w:p w:rsidR="00000000" w:rsidP="007D5333">
            <w:pPr>
              <w:pStyle w:val="ListBullet"/>
              <w:rPr>
                <w:lang w:val="en-NZ"/>
              </w:rPr>
            </w:pPr>
            <w:r w:rsidRPr="007D5333">
              <w:t>oxygen indicators</w:t>
            </w:r>
          </w:p>
        </w:tc>
      </w:tr>
      <w:tr w:rsidTr="00FA02C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p>
        </w:tc>
      </w:tr>
      <w:tr w:rsidTr="00FA02C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Firefighting equipment must include:</w:t>
            </w:r>
          </w:p>
        </w:tc>
        <w:tc>
          <w:tcPr>
            <w:tcW w:w="6763" w:type="dxa"/>
            <w:tcBorders>
              <w:top w:val="nil"/>
              <w:left w:val="nil"/>
              <w:bottom w:val="nil"/>
              <w:right w:val="nil"/>
            </w:tcBorders>
            <w:tcMar>
              <w:top w:w="0" w:type="dxa"/>
              <w:left w:w="62" w:type="dxa"/>
              <w:bottom w:w="0" w:type="dxa"/>
              <w:right w:w="62" w:type="dxa"/>
            </w:tcMar>
          </w:tcPr>
          <w:p w:rsidR="00000000" w:rsidRPr="007D5333" w:rsidP="007D5333">
            <w:pPr>
              <w:pStyle w:val="ListBullet"/>
            </w:pPr>
            <w:r w:rsidRPr="007D5333">
              <w:t>firefighting agents</w:t>
            </w:r>
          </w:p>
          <w:p w:rsidR="00000000" w:rsidRPr="007D5333" w:rsidP="007D5333">
            <w:pPr>
              <w:pStyle w:val="ListBullet"/>
            </w:pPr>
            <w:r w:rsidRPr="007D5333">
              <w:t xml:space="preserve">fixed dry chemical systems </w:t>
            </w:r>
          </w:p>
          <w:p w:rsidR="00000000" w:rsidRPr="007D5333" w:rsidP="007D5333">
            <w:pPr>
              <w:pStyle w:val="ListBullet"/>
            </w:pPr>
            <w:r w:rsidRPr="007D5333">
              <w:t>fixed foam systems</w:t>
            </w:r>
          </w:p>
          <w:p w:rsidR="00000000" w:rsidP="007D5333">
            <w:pPr>
              <w:pStyle w:val="ListBullet"/>
              <w:rPr>
                <w:lang w:val="en-NZ"/>
              </w:rPr>
            </w:pPr>
            <w:r w:rsidRPr="007D5333">
              <w:t>portable foam systems</w:t>
            </w:r>
          </w:p>
        </w:tc>
      </w:tr>
      <w:tr w:rsidTr="00FA02C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p>
        </w:tc>
      </w:tr>
      <w:tr w:rsidTr="00FA02C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D5333">
            <w:pPr>
              <w:pStyle w:val="BodyText"/>
              <w:rPr>
                <w:lang w:val="en-NZ"/>
              </w:rPr>
            </w:pPr>
            <w:r w:rsidRPr="007D5333">
              <w:t>Measures must include:</w:t>
            </w:r>
          </w:p>
        </w:tc>
        <w:tc>
          <w:tcPr>
            <w:tcW w:w="6763" w:type="dxa"/>
            <w:tcBorders>
              <w:top w:val="nil"/>
              <w:left w:val="nil"/>
              <w:bottom w:val="nil"/>
              <w:right w:val="nil"/>
            </w:tcBorders>
            <w:tcMar>
              <w:top w:w="0" w:type="dxa"/>
              <w:left w:w="62" w:type="dxa"/>
              <w:bottom w:w="0" w:type="dxa"/>
              <w:right w:w="62" w:type="dxa"/>
            </w:tcMar>
          </w:tcPr>
          <w:p w:rsidR="00000000" w:rsidRPr="007D5333" w:rsidP="007D5333">
            <w:pPr>
              <w:pStyle w:val="ListBullet"/>
            </w:pPr>
            <w:r w:rsidRPr="007D5333">
              <w:t>assisting in implementing shipboard spill containment procedures</w:t>
            </w:r>
          </w:p>
          <w:p w:rsidR="00000000" w:rsidRPr="007D5333" w:rsidP="007D5333">
            <w:pPr>
              <w:pStyle w:val="ListBullet"/>
            </w:pPr>
            <w:r w:rsidRPr="007D5333">
              <w:t>reporting relevant information to the responsible person</w:t>
            </w:r>
          </w:p>
        </w:tc>
      </w:tr>
    </w:tbl>
    <w:p w:rsidR="00000000" w:rsidRPr="007D5333" w:rsidP="007D5333">
      <w:pPr>
        <w:pStyle w:val="BodyText"/>
      </w:pPr>
    </w:p>
    <w:p w:rsidR="00000000" w:rsidRPr="007D5333" w:rsidP="007D5333">
      <w:pPr>
        <w:pStyle w:val="AllowPageBreak"/>
      </w:pPr>
    </w:p>
    <w:p w:rsidR="00000000" w:rsidRPr="007D5333" w:rsidP="007D5333">
      <w:pPr>
        <w:pStyle w:val="Heading1"/>
      </w:pPr>
      <w:bookmarkStart w:id="9" w:name="O_595205"/>
      <w:bookmarkEnd w:id="9"/>
      <w:r w:rsidRPr="007D5333">
        <w:t>Unit Mapping Information</w:t>
      </w:r>
    </w:p>
    <w:p w:rsidR="00000000" w:rsidRPr="007D5333" w:rsidP="00FA02C7">
      <w:pPr>
        <w:pStyle w:val="BodyText"/>
      </w:pPr>
      <w:r w:rsidRPr="007D5333">
        <w:t>Thi</w:t>
      </w:r>
      <w:r w:rsidRPr="007D5333">
        <w:t>s is a new unit. This unit is equivalent to MARA3001A Contribute to safe cargo operations on liquefied gas tankers.</w:t>
      </w:r>
    </w:p>
    <w:p w:rsidR="00000000" w:rsidRPr="007D5333" w:rsidP="007D5333">
      <w:pPr>
        <w:pStyle w:val="Heading1"/>
      </w:pPr>
      <w:bookmarkStart w:id="10" w:name="O_595212"/>
      <w:bookmarkEnd w:id="10"/>
      <w:r w:rsidRPr="007D5333">
        <w:t>Links</w:t>
      </w:r>
    </w:p>
    <w:p w:rsidR="00000000" w:rsidRPr="007D5333" w:rsidP="00FA02C7">
      <w:pPr>
        <w:pStyle w:val="BodyText"/>
      </w:pPr>
      <w:r w:rsidRPr="007D533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B4FD1">
        <w:rPr>
          <w:rStyle w:val="Hyperlink"/>
        </w:rPr>
        <w:t>https://vetnet.gov.au/Pages/TrainingDocs.aspx?q=772efb7b-4cce-47fe-9bbd-ee3b1d1eb4c2</w:t>
      </w:r>
      <w:r>
        <w:fldChar w:fldCharType="end"/>
      </w:r>
    </w:p>
    <w:p w:rsidR="00000000" w:rsidRPr="007D5333" w:rsidP="00FA02C7">
      <w:pPr>
        <w:pStyle w:val="BodyText"/>
        <w:sectPr w:rsidSect="007D5333">
          <w:headerReference w:type="default" r:id="rId10"/>
          <w:footerReference w:type="default" r:id="rId11"/>
          <w:pgSz w:w="11908" w:h="16833"/>
          <w:pgMar w:top="1702" w:right="1418" w:bottom="1702" w:left="1418" w:header="992" w:footer="992" w:gutter="0"/>
          <w:cols w:space="720"/>
          <w:noEndnote/>
          <w:docGrid w:linePitch="299"/>
        </w:sectPr>
      </w:pPr>
    </w:p>
    <w:p w:rsidR="00000000" w:rsidRPr="007D5333" w:rsidP="007D5333">
      <w:pPr>
        <w:pStyle w:val="SuperHeading"/>
      </w:pPr>
      <w:r w:rsidRPr="007D5333">
        <w:t>Assessment Requirements for MARA001 Contribute to safe cargo operations on liquefied gas tankers</w:t>
      </w:r>
    </w:p>
    <w:p w:rsidR="00000000" w:rsidRPr="007D5333" w:rsidP="007D5333">
      <w:pPr>
        <w:pStyle w:val="Heading1"/>
      </w:pPr>
      <w:bookmarkStart w:id="11" w:name="O_595207"/>
      <w:bookmarkEnd w:id="11"/>
      <w:r w:rsidRPr="007D5333">
        <w:t>Modification History</w:t>
      </w:r>
    </w:p>
    <w:p w:rsidR="00000000" w:rsidRPr="007D5333" w:rsidP="00FA02C7">
      <w:pPr>
        <w:pStyle w:val="BodyText"/>
      </w:pPr>
      <w:r w:rsidRPr="007D5333">
        <w:t>Release 1. New unit of competency.</w:t>
      </w:r>
    </w:p>
    <w:p w:rsidR="00000000" w:rsidRPr="007D5333" w:rsidP="007D5333">
      <w:pPr>
        <w:pStyle w:val="Heading1"/>
      </w:pPr>
      <w:bookmarkStart w:id="12" w:name="O_595208"/>
      <w:bookmarkEnd w:id="12"/>
      <w:r w:rsidRPr="007D5333">
        <w:t>Performance Evidence</w:t>
      </w:r>
    </w:p>
    <w:p w:rsidR="00000000" w:rsidRPr="007D5333" w:rsidP="00FA02C7">
      <w:pPr>
        <w:pStyle w:val="BodyText"/>
      </w:pPr>
      <w:r w:rsidRPr="007D5333">
        <w:t>Evidence required to demonstrate competence in this unit must be relevant to and satisfy all of the requirements of the elements and performance criteria on at least one occasion and include:</w:t>
      </w:r>
    </w:p>
    <w:p w:rsidR="00000000" w:rsidRPr="007D5333" w:rsidP="007D5333">
      <w:pPr>
        <w:pStyle w:val="ListBullet"/>
      </w:pPr>
      <w:r w:rsidRPr="007D5333">
        <w:t>communicating clearly and effectiv</w:t>
      </w:r>
      <w:r w:rsidRPr="007D5333">
        <w:t>ely</w:t>
      </w:r>
    </w:p>
    <w:p w:rsidR="00000000" w:rsidRPr="007D5333" w:rsidP="007D5333">
      <w:pPr>
        <w:pStyle w:val="ListBullet"/>
      </w:pPr>
      <w:r w:rsidRPr="007D5333">
        <w:t>correctly identifying safety data sheets (SDS)/material safety data sheets (MSDS), relevant cargo-related hazards to vessel and to personnel, and taking appropriate action according to organisational procedures</w:t>
      </w:r>
    </w:p>
    <w:p w:rsidR="00000000" w:rsidRPr="007D5333" w:rsidP="007D5333">
      <w:pPr>
        <w:pStyle w:val="ListBullet"/>
      </w:pPr>
      <w:r w:rsidRPr="007D5333">
        <w:t>ensuring cargo operations are carried out</w:t>
      </w:r>
      <w:r w:rsidRPr="007D5333">
        <w:t xml:space="preserve"> according to accepted principles and procedures to ensure safety of operations</w:t>
      </w:r>
    </w:p>
    <w:p w:rsidR="00000000" w:rsidRPr="007D5333" w:rsidP="007D5333">
      <w:pPr>
        <w:pStyle w:val="ListBullet"/>
      </w:pPr>
      <w:r w:rsidRPr="007D5333">
        <w:t>identifying and acting on becoming aware of a hazardous situation, according to organisational procedures</w:t>
      </w:r>
    </w:p>
    <w:p w:rsidR="00000000" w:rsidRPr="007D5333" w:rsidP="007D5333">
      <w:pPr>
        <w:pStyle w:val="ListBullet"/>
      </w:pPr>
      <w:r w:rsidRPr="007D5333">
        <w:t>interpreting and applying knowledge of liquefied</w:t>
      </w:r>
      <w:r w:rsidRPr="007D5333">
        <w:t xml:space="preserve"> gas tanker layouts, tanker cargo features, characteristics and hazards, and related hazard prevention strategies to duties on various types of liquefied gas tankers</w:t>
      </w:r>
    </w:p>
    <w:p w:rsidR="00000000" w:rsidRPr="007D5333" w:rsidP="007D5333">
      <w:pPr>
        <w:pStyle w:val="ListBullet"/>
      </w:pPr>
      <w:r w:rsidRPr="007D5333">
        <w:t>reading and interpreting SDS/MSDS</w:t>
      </w:r>
    </w:p>
    <w:p w:rsidR="00000000" w:rsidRPr="007D5333" w:rsidP="007D5333">
      <w:pPr>
        <w:pStyle w:val="ListBullet"/>
      </w:pPr>
      <w:r w:rsidRPr="007D5333">
        <w:t>recognising problems and hazards that can arise when man</w:t>
      </w:r>
      <w:r w:rsidRPr="007D5333">
        <w:t>aging safety on a liquefied gas tanker, taking appropriate remedial action and initiating appropriate solutions.</w:t>
      </w:r>
    </w:p>
    <w:p w:rsidR="00000000" w:rsidRPr="007D5333" w:rsidP="007D5333">
      <w:pPr>
        <w:pStyle w:val="AllowPageBreak"/>
      </w:pPr>
    </w:p>
    <w:p w:rsidR="00000000" w:rsidRPr="007D5333" w:rsidP="007D5333">
      <w:pPr>
        <w:pStyle w:val="Heading1"/>
      </w:pPr>
      <w:bookmarkStart w:id="13" w:name="O_595209"/>
      <w:bookmarkEnd w:id="13"/>
      <w:r w:rsidRPr="007D5333">
        <w:t>Knowledge Evidence</w:t>
      </w:r>
    </w:p>
    <w:p w:rsidR="00000000" w:rsidRPr="007D5333" w:rsidP="00FA02C7">
      <w:pPr>
        <w:pStyle w:val="BodyText"/>
      </w:pPr>
      <w:r w:rsidRPr="007D5333">
        <w:t>Evidence required to demonstrate competence in this unit must be relevant to and satisfy all of the require</w:t>
      </w:r>
      <w:r w:rsidRPr="007D5333">
        <w:t>ments of the elements and performance criteria and include knowledge of:</w:t>
      </w:r>
    </w:p>
    <w:p w:rsidR="00000000" w:rsidRPr="007D5333" w:rsidP="007D5333">
      <w:pPr>
        <w:pStyle w:val="ListBullet"/>
      </w:pPr>
      <w:r w:rsidRPr="007D5333">
        <w:t>anti-static measures in hazard control</w:t>
      </w:r>
    </w:p>
    <w:p w:rsidR="00000000" w:rsidRPr="007D5333" w:rsidP="007D5333">
      <w:pPr>
        <w:pStyle w:val="ListBullet"/>
      </w:pPr>
      <w:r w:rsidRPr="007D5333">
        <w:t>atmospheric control</w:t>
      </w:r>
    </w:p>
    <w:p w:rsidR="00000000" w:rsidRPr="007D5333" w:rsidP="007D5333">
      <w:pPr>
        <w:pStyle w:val="ListBullet"/>
      </w:pPr>
      <w:r w:rsidRPr="007D5333">
        <w:t>cargo handling equipment</w:t>
      </w:r>
    </w:p>
    <w:p w:rsidR="00000000" w:rsidRPr="007D5333" w:rsidP="007D5333">
      <w:pPr>
        <w:pStyle w:val="ListBullet"/>
      </w:pPr>
      <w:r w:rsidRPr="007D5333">
        <w:t>cargo inhibition in hazard control</w:t>
      </w:r>
    </w:p>
    <w:p w:rsidR="00000000" w:rsidRPr="007D5333" w:rsidP="007D5333">
      <w:pPr>
        <w:pStyle w:val="ListBullet"/>
      </w:pPr>
      <w:r w:rsidRPr="007D5333">
        <w:t>corrosion hazards associated with tanker operations</w:t>
      </w:r>
    </w:p>
    <w:p w:rsidR="00000000" w:rsidRPr="007D5333" w:rsidP="007D5333">
      <w:pPr>
        <w:pStyle w:val="ListBullet"/>
      </w:pPr>
      <w:r w:rsidRPr="007D5333">
        <w:t xml:space="preserve">emergency </w:t>
      </w:r>
      <w:r w:rsidRPr="007D5333">
        <w:t>shut-down system (ESD)</w:t>
      </w:r>
    </w:p>
    <w:p w:rsidR="00000000" w:rsidRPr="007D5333" w:rsidP="007D5333">
      <w:pPr>
        <w:pStyle w:val="ListBullet"/>
      </w:pPr>
      <w:r w:rsidRPr="007D5333">
        <w:t>environmental hazards associated with tanker operations</w:t>
      </w:r>
    </w:p>
    <w:p w:rsidR="00000000" w:rsidRPr="007D5333" w:rsidP="007D5333">
      <w:pPr>
        <w:pStyle w:val="ListBullet"/>
      </w:pPr>
      <w:r w:rsidRPr="007D5333">
        <w:t>explosion and flammability hazards associated with tanker operations</w:t>
      </w:r>
    </w:p>
    <w:p w:rsidR="00000000" w:rsidRPr="007D5333" w:rsidP="007D5333">
      <w:pPr>
        <w:pStyle w:val="ListBullet"/>
      </w:pPr>
      <w:r w:rsidRPr="007D5333">
        <w:t>extremely low temperatures associated with tanker operations</w:t>
      </w:r>
    </w:p>
    <w:p w:rsidR="00000000" w:rsidRPr="007D5333" w:rsidP="007D5333">
      <w:pPr>
        <w:pStyle w:val="ListBullet"/>
      </w:pPr>
      <w:r w:rsidRPr="007D5333">
        <w:t>gas testing</w:t>
      </w:r>
    </w:p>
    <w:p w:rsidR="00000000" w:rsidRPr="007D5333" w:rsidP="007D5333">
      <w:pPr>
        <w:pStyle w:val="ListBullet"/>
      </w:pPr>
      <w:r w:rsidRPr="007D5333">
        <w:t>general arrangement and constructio</w:t>
      </w:r>
      <w:r w:rsidRPr="007D5333">
        <w:t>n of liquefied gas tankers</w:t>
      </w:r>
    </w:p>
    <w:p w:rsidR="00000000" w:rsidRPr="007D5333" w:rsidP="007D5333">
      <w:pPr>
        <w:pStyle w:val="ListBullet"/>
      </w:pPr>
      <w:r w:rsidRPr="007D5333">
        <w:t>health hazards associated with tanker operations</w:t>
      </w:r>
    </w:p>
    <w:p w:rsidR="00000000" w:rsidRPr="007D5333" w:rsidP="007D5333">
      <w:pPr>
        <w:pStyle w:val="ListBullet"/>
      </w:pPr>
      <w:r w:rsidRPr="007D5333">
        <w:t>importance of cargo compatibility</w:t>
      </w:r>
    </w:p>
    <w:p w:rsidR="00000000" w:rsidRPr="007D5333" w:rsidP="007D5333">
      <w:pPr>
        <w:pStyle w:val="ListBullet"/>
      </w:pPr>
      <w:r w:rsidRPr="007D5333">
        <w:t>inerting, drying and monitoring techniques in hazard control</w:t>
      </w:r>
    </w:p>
    <w:p w:rsidR="00000000" w:rsidRPr="007D5333" w:rsidP="007D5333">
      <w:pPr>
        <w:pStyle w:val="ListBullet"/>
      </w:pPr>
      <w:r w:rsidRPr="007D5333">
        <w:t>information on a SDS/MSDS</w:t>
      </w:r>
    </w:p>
    <w:p w:rsidR="00000000" w:rsidRPr="007D5333" w:rsidP="007D5333">
      <w:pPr>
        <w:pStyle w:val="ListBullet"/>
      </w:pPr>
      <w:r w:rsidRPr="007D5333">
        <w:t>loading, unloading and care in transit</w:t>
      </w:r>
    </w:p>
    <w:p w:rsidR="00000000" w:rsidRPr="007D5333" w:rsidP="007D5333">
      <w:pPr>
        <w:pStyle w:val="ListBullet"/>
      </w:pPr>
      <w:r w:rsidRPr="007D5333">
        <w:t>piping systems and valves</w:t>
      </w:r>
    </w:p>
    <w:p w:rsidR="00000000" w:rsidRPr="007D5333" w:rsidP="007D5333">
      <w:pPr>
        <w:pStyle w:val="ListBullet"/>
      </w:pPr>
      <w:r w:rsidRPr="007D5333">
        <w:t>pressure and temperature, including vapour pressure/temperature relationship</w:t>
      </w:r>
    </w:p>
    <w:p w:rsidR="00000000" w:rsidRPr="007D5333" w:rsidP="007D5333">
      <w:pPr>
        <w:pStyle w:val="ListBullet"/>
      </w:pPr>
      <w:r w:rsidRPr="007D5333">
        <w:t>pressure hazards associated with tanker operations</w:t>
      </w:r>
    </w:p>
    <w:p w:rsidR="00000000" w:rsidRPr="007D5333" w:rsidP="007D5333">
      <w:pPr>
        <w:pStyle w:val="ListBullet"/>
      </w:pPr>
      <w:r w:rsidRPr="007D5333">
        <w:t>properties and characteristics of liquefied gas</w:t>
      </w:r>
    </w:p>
    <w:p w:rsidR="00000000" w:rsidRPr="007D5333" w:rsidP="007D5333">
      <w:pPr>
        <w:pStyle w:val="ListBullet"/>
      </w:pPr>
      <w:r w:rsidRPr="007D5333">
        <w:t>reactivity hazards associated with tanker operations</w:t>
      </w:r>
    </w:p>
    <w:p w:rsidR="00000000" w:rsidRPr="007D5333" w:rsidP="007D5333">
      <w:pPr>
        <w:pStyle w:val="ListBullet"/>
      </w:pPr>
      <w:r w:rsidRPr="007D5333">
        <w:t>r</w:t>
      </w:r>
      <w:r w:rsidRPr="007D5333">
        <w:t>elevant chemical symbols</w:t>
      </w:r>
    </w:p>
    <w:p w:rsidR="00000000" w:rsidRPr="007D5333" w:rsidP="007D5333">
      <w:pPr>
        <w:pStyle w:val="ListBullet"/>
      </w:pPr>
      <w:r w:rsidRPr="007D5333">
        <w:t>relevant firefighting operations and the use of firefighting installations</w:t>
      </w:r>
    </w:p>
    <w:p w:rsidR="00000000" w:rsidRPr="007D5333" w:rsidP="007D5333">
      <w:pPr>
        <w:pStyle w:val="ListBullet"/>
      </w:pPr>
      <w:r w:rsidRPr="007D5333">
        <w:t>segregation in hazard control</w:t>
      </w:r>
    </w:p>
    <w:p w:rsidR="00000000" w:rsidRPr="007D5333" w:rsidP="007D5333">
      <w:pPr>
        <w:pStyle w:val="ListBullet"/>
      </w:pPr>
      <w:r w:rsidRPr="007D5333">
        <w:t>sources of ignition associated with tanker operations</w:t>
      </w:r>
    </w:p>
    <w:p w:rsidR="00000000" w:rsidRPr="007D5333" w:rsidP="007D5333">
      <w:pPr>
        <w:pStyle w:val="ListBullet"/>
      </w:pPr>
      <w:r w:rsidRPr="007D5333">
        <w:t>tanker cleaning, purging, gas-freeing and inerting</w:t>
      </w:r>
    </w:p>
    <w:p w:rsidR="00000000" w:rsidRPr="007D5333" w:rsidP="007D5333">
      <w:pPr>
        <w:pStyle w:val="ListBullet"/>
      </w:pPr>
      <w:r w:rsidRPr="007D5333">
        <w:t>tanker safety culture</w:t>
      </w:r>
      <w:r w:rsidRPr="007D5333">
        <w:t xml:space="preserve"> and safety management</w:t>
      </w:r>
    </w:p>
    <w:p w:rsidR="00000000" w:rsidRPr="007D5333" w:rsidP="007D5333">
      <w:pPr>
        <w:pStyle w:val="ListBullet"/>
      </w:pPr>
      <w:r w:rsidRPr="007D5333">
        <w:t>types of electrostatic charge generation</w:t>
      </w:r>
    </w:p>
    <w:p w:rsidR="00000000" w:rsidRPr="007D5333" w:rsidP="007D5333">
      <w:pPr>
        <w:pStyle w:val="ListBullet"/>
      </w:pPr>
      <w:r w:rsidRPr="007D5333">
        <w:t>types of liquefied gas tankers</w:t>
      </w:r>
    </w:p>
    <w:p w:rsidR="00000000" w:rsidRPr="007D5333" w:rsidP="007D5333">
      <w:pPr>
        <w:pStyle w:val="ListBullet"/>
      </w:pPr>
      <w:r w:rsidRPr="007D5333">
        <w:t>vapour leaks and clouds associated with tanker operations</w:t>
      </w:r>
    </w:p>
    <w:p w:rsidR="00000000" w:rsidRPr="007D5333" w:rsidP="007D5333">
      <w:pPr>
        <w:pStyle w:val="ListBullet"/>
      </w:pPr>
      <w:r w:rsidRPr="007D5333">
        <w:t>ventilation in hazard control</w:t>
      </w:r>
    </w:p>
    <w:p w:rsidR="00000000" w:rsidRPr="007D5333" w:rsidP="007D5333">
      <w:pPr>
        <w:pStyle w:val="ListBullet"/>
      </w:pPr>
      <w:r w:rsidRPr="007D5333">
        <w:t>work health and safety (WHS)/occupational health and safety (OHS) require</w:t>
      </w:r>
      <w:r w:rsidRPr="007D5333">
        <w:t>ments and work practices.</w:t>
      </w:r>
    </w:p>
    <w:p w:rsidR="00000000" w:rsidRPr="007D5333" w:rsidP="007D5333">
      <w:pPr>
        <w:pStyle w:val="AllowPageBreak"/>
      </w:pPr>
    </w:p>
    <w:p w:rsidR="00000000" w:rsidRPr="007D5333" w:rsidP="007D5333">
      <w:pPr>
        <w:pStyle w:val="Heading1"/>
      </w:pPr>
      <w:bookmarkStart w:id="14" w:name="O_595210"/>
      <w:bookmarkEnd w:id="14"/>
      <w:r w:rsidRPr="007D5333">
        <w:t>Assessment Conditions</w:t>
      </w:r>
    </w:p>
    <w:p w:rsidR="00000000" w:rsidRPr="007D5333" w:rsidP="00FA02C7">
      <w:pPr>
        <w:pStyle w:val="BodyText"/>
      </w:pPr>
      <w:r w:rsidRPr="007D5333">
        <w:t>Assessors must satisfy National Vocational Education and Training Regulator (NVR)/Australian Quality Training Framework (AQTF) assessor requirements.</w:t>
      </w:r>
    </w:p>
    <w:p w:rsidR="00000000" w:rsidRPr="007D5333" w:rsidP="00FA02C7">
      <w:pPr>
        <w:pStyle w:val="BodyText"/>
      </w:pPr>
      <w:r w:rsidRPr="007D5333">
        <w:t>Assessment must occur in workplace operational situations where it is appropriate to do so; where this is not appropriate, assessment must occur in simulated workplace operational situations that reflect workplace conditions.</w:t>
      </w:r>
    </w:p>
    <w:p w:rsidR="00000000" w:rsidRPr="007D5333" w:rsidP="00FA02C7">
      <w:pPr>
        <w:pStyle w:val="BodyText"/>
      </w:pPr>
      <w:r w:rsidRPr="007D5333">
        <w:t>Assessment processes and tech</w:t>
      </w:r>
      <w:r w:rsidRPr="007D5333">
        <w:t>niques must be appropriate to the language, literacy and numeracy requirements of the work being performed and the needs of the candidate.</w:t>
      </w:r>
    </w:p>
    <w:p w:rsidR="00000000" w:rsidRPr="007D5333" w:rsidP="00FA02C7">
      <w:pPr>
        <w:pStyle w:val="BodyText"/>
      </w:pPr>
      <w:r w:rsidRPr="007D5333">
        <w:t>Resources for assessment must include access to:</w:t>
      </w:r>
    </w:p>
    <w:p w:rsidR="00000000" w:rsidRPr="007D5333" w:rsidP="007D5333">
      <w:pPr>
        <w:pStyle w:val="ListBullet"/>
      </w:pPr>
      <w:r w:rsidRPr="007D5333">
        <w:t>tools, equipment, machinery, materials and personal protective equ</w:t>
      </w:r>
      <w:r w:rsidRPr="007D5333">
        <w:t>ipment currently used in industry</w:t>
      </w:r>
    </w:p>
    <w:p w:rsidR="00000000" w:rsidRPr="007D5333" w:rsidP="007D5333">
      <w:pPr>
        <w:pStyle w:val="ListBullet"/>
      </w:pPr>
      <w:r w:rsidRPr="007D5333">
        <w:t xml:space="preserve">applicable documentation such as legislation, regulations, codes of practice, workplace procedures and operational manuals </w:t>
      </w:r>
    </w:p>
    <w:p w:rsidR="00000000" w:rsidRPr="007D5333" w:rsidP="007D5333">
      <w:pPr>
        <w:pStyle w:val="ListBullet"/>
      </w:pPr>
      <w:r w:rsidRPr="007D5333">
        <w:t>range of relevant exercises, case studies and/or simulations.</w:t>
      </w:r>
    </w:p>
    <w:p w:rsidR="00000000" w:rsidRPr="007D5333" w:rsidP="007D5333">
      <w:pPr>
        <w:pStyle w:val="AllowPageBreak"/>
      </w:pPr>
    </w:p>
    <w:p w:rsidR="00000000" w:rsidRPr="007D5333" w:rsidP="007D5333">
      <w:pPr>
        <w:pStyle w:val="Heading1"/>
      </w:pPr>
      <w:bookmarkStart w:id="15" w:name="O_595213"/>
      <w:bookmarkEnd w:id="15"/>
      <w:r w:rsidRPr="007D5333">
        <w:t>Links</w:t>
      </w:r>
    </w:p>
    <w:p w:rsidR="00000000" w:rsidRPr="007D5333" w:rsidP="00FA02C7">
      <w:pPr>
        <w:pStyle w:val="BodyText"/>
      </w:pPr>
      <w:r w:rsidRPr="007D5333">
        <w:t>Companion Vol</w:t>
      </w:r>
      <w:r w:rsidRPr="007D5333">
        <w:t xml:space="preserve">ume implementation guides are found in VETNet - </w:t>
      </w:r>
      <w:r>
        <w:fldChar w:fldCharType="begin"/>
      </w:r>
      <w:r>
        <w:instrText xml:space="preserve"> HYPERLINK "https://vetnet.gov.au/Pages/TrainingDocs.aspx?q=772efb7b-4cce-47fe-9bbd-ee3b1d1eb4c2" </w:instrText>
      </w:r>
      <w:r>
        <w:fldChar w:fldCharType="separate"/>
      </w:r>
      <w:r w:rsidRPr="006B4FD1">
        <w:rPr>
          <w:rStyle w:val="Hyperlink"/>
        </w:rPr>
        <w:t>https://vetnet.gov.au/Pages/TrainingDocs.aspx?q=772efb7b-4cce-47fe-9bbd-ee3b1d1eb4c2</w:t>
      </w:r>
      <w:r>
        <w:fldChar w:fldCharType="end"/>
      </w:r>
    </w:p>
    <w:p w:rsidR="00000000" w:rsidRPr="007D5333" w:rsidP="007D5333"/>
    <w:sectPr w:rsidSect="007D53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3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333" w:rsidRPr="00FA02C7" w:rsidP="00FA02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3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2C7" w:rsidP="007D53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A02C7" w:rsidP="007D53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A02C7" w:rsidP="007D53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333" w:rsidP="007D5333">
    <w:pPr>
      <w:pStyle w:val="Footer"/>
      <w:framePr w:wrap="around"/>
    </w:pPr>
    <w:r>
      <w:fldChar w:fldCharType="begin"/>
    </w:r>
    <w:r>
      <w:instrText xml:space="preserve"> DOCPROPERTY  Subject  \* MERGEFORMAT </w:instrText>
    </w:r>
    <w:r>
      <w:fldChar w:fldCharType="separate"/>
    </w:r>
    <w:r w:rsidR="00FA02C7">
      <w:t>Approved</w:t>
    </w:r>
    <w:r w:rsidR="00FA02C7">
      <w:fldChar w:fldCharType="end"/>
    </w:r>
    <w:r>
      <w:tab/>
      <w:t xml:space="preserve">Page </w:t>
    </w:r>
    <w:r>
      <w:fldChar w:fldCharType="begin"/>
    </w:r>
    <w:r>
      <w:instrText xml:space="preserve"> PAGE  \* Arabic  \* MERGEFORMAT </w:instrText>
    </w:r>
    <w:r>
      <w:fldChar w:fldCharType="separate"/>
    </w:r>
    <w:r w:rsidR="00FA02C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02C7">
      <w:rPr>
        <w:noProof/>
      </w:rPr>
      <w:t>6</w:t>
    </w:r>
    <w:r>
      <w:rPr>
        <w:noProof/>
      </w:rPr>
      <w:fldChar w:fldCharType="end"/>
    </w:r>
  </w:p>
  <w:p w:rsidR="007D5333" w:rsidP="007D5333">
    <w:pPr>
      <w:pStyle w:val="Footer"/>
      <w:framePr w:wrap="around"/>
    </w:pPr>
    <w:r>
      <w:t xml:space="preserve">© Commonwealth of Australia, </w:t>
    </w:r>
    <w:r>
      <w:fldChar w:fldCharType="begin"/>
    </w:r>
    <w:r>
      <w:instrText xml:space="preserve"> DATE  \@ "yyyy"  \* MERGEFORMAT </w:instrText>
    </w:r>
    <w:r>
      <w:fldChar w:fldCharType="separate"/>
    </w:r>
    <w:r w:rsidR="00FA02C7">
      <w:rPr>
        <w:noProof/>
      </w:rPr>
      <w:t>2025</w:t>
    </w:r>
    <w:r>
      <w:fldChar w:fldCharType="end"/>
    </w:r>
    <w:r>
      <w:tab/>
    </w:r>
    <w:r>
      <w:fldChar w:fldCharType="begin"/>
    </w:r>
    <w:r>
      <w:instrText xml:space="preserve"> DOCPROPERTY  Author  \* MERGEFORMAT </w:instrText>
    </w:r>
    <w:r>
      <w:fldChar w:fldCharType="separate"/>
    </w:r>
    <w:r w:rsidR="00FA02C7">
      <w:t>Industry Skills Australia</w:t>
    </w:r>
    <w:r w:rsidR="00FA02C7">
      <w:fldChar w:fldCharType="end"/>
    </w:r>
  </w:p>
  <w:p w:rsidR="007D5333" w:rsidP="007D53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3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2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5333" w:rsidRPr="00FA02C7" w:rsidP="00FA02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3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2C7" w:rsidRPr="002D2AF8" w:rsidP="007D5333">
    <w:pPr>
      <w:pStyle w:val="Header"/>
      <w:framePr w:wrap="around"/>
    </w:pPr>
    <w:r>
      <w:fldChar w:fldCharType="begin"/>
    </w:r>
    <w:r>
      <w:instrText xml:space="preserve"> TITLE   \* MERGEFORMAT </w:instrText>
    </w:r>
    <w:r>
      <w:fldChar w:fldCharType="separate"/>
    </w:r>
    <w:r>
      <w:t>MARA001 Contribute to safe cargo operations on liquefied gas tankers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A02C7" w:rsidP="007D53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333" w:rsidRPr="002D2AF8" w:rsidP="007D5333">
    <w:pPr>
      <w:pStyle w:val="Header"/>
      <w:framePr w:wrap="around"/>
    </w:pPr>
    <w:r>
      <w:fldChar w:fldCharType="begin"/>
    </w:r>
    <w:r>
      <w:instrText xml:space="preserve"> TITLE   \* MERGEFORMAT </w:instrText>
    </w:r>
    <w:r>
      <w:fldChar w:fldCharType="separate"/>
    </w:r>
    <w:r w:rsidR="00FA02C7">
      <w:t>MARA001 Contribute to safe cargo operations on liquefied gas tankers</w:t>
    </w:r>
    <w:r w:rsidR="00FA02C7">
      <w:fldChar w:fldCharType="end"/>
    </w:r>
    <w:r>
      <w:tab/>
      <w:t xml:space="preserve">Date this document was generated: </w:t>
    </w:r>
    <w:r>
      <w:fldChar w:fldCharType="begin"/>
    </w:r>
    <w:r>
      <w:instrText xml:space="preserve"> CREATEDATE  \@ "d MMMM yyyy"  \* MERGEFORMAT </w:instrText>
    </w:r>
    <w:r>
      <w:fldChar w:fldCharType="separate"/>
    </w:r>
    <w:r w:rsidR="00FA02C7">
      <w:rPr>
        <w:noProof/>
      </w:rPr>
      <w:t>1 March 2025</w:t>
    </w:r>
    <w:r>
      <w:fldChar w:fldCharType="end"/>
    </w:r>
  </w:p>
  <w:p w:rsidR="007D5333" w:rsidP="007D53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0874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5CE8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3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5333"/>
    <w:pPr>
      <w:spacing w:before="360" w:after="60"/>
      <w:outlineLvl w:val="0"/>
    </w:pPr>
    <w:rPr>
      <w:sz w:val="32"/>
    </w:rPr>
  </w:style>
  <w:style w:type="paragraph" w:styleId="Heading2">
    <w:name w:val="heading 2"/>
    <w:basedOn w:val="HeadingBase"/>
    <w:next w:val="BodyText"/>
    <w:link w:val="Heading2Char"/>
    <w:qFormat/>
    <w:rsid w:val="007D5333"/>
    <w:pPr>
      <w:keepLines/>
      <w:spacing w:before="240" w:after="120"/>
      <w:outlineLvl w:val="1"/>
    </w:pPr>
    <w:rPr>
      <w:sz w:val="28"/>
      <w:szCs w:val="40"/>
    </w:rPr>
  </w:style>
  <w:style w:type="paragraph" w:styleId="Heading3">
    <w:name w:val="heading 3"/>
    <w:basedOn w:val="HeadingBase"/>
    <w:next w:val="BodyText"/>
    <w:link w:val="Heading3Char"/>
    <w:qFormat/>
    <w:rsid w:val="007D5333"/>
    <w:pPr>
      <w:spacing w:before="180" w:after="120"/>
      <w:outlineLvl w:val="2"/>
    </w:pPr>
    <w:rPr>
      <w:spacing w:val="-10"/>
      <w:kern w:val="32"/>
    </w:rPr>
  </w:style>
  <w:style w:type="paragraph" w:styleId="Heading4">
    <w:name w:val="heading 4"/>
    <w:basedOn w:val="HeadingBase"/>
    <w:next w:val="BodyText"/>
    <w:link w:val="Heading4Char"/>
    <w:qFormat/>
    <w:rsid w:val="007D5333"/>
    <w:pPr>
      <w:spacing w:before="160" w:after="120"/>
      <w:outlineLvl w:val="3"/>
    </w:pPr>
    <w:rPr>
      <w:sz w:val="22"/>
    </w:rPr>
  </w:style>
  <w:style w:type="paragraph" w:styleId="Heading5">
    <w:name w:val="heading 5"/>
    <w:basedOn w:val="HeadingBase"/>
    <w:next w:val="Normal"/>
    <w:link w:val="Heading5Char"/>
    <w:qFormat/>
    <w:rsid w:val="007D5333"/>
    <w:pPr>
      <w:spacing w:before="80"/>
      <w:outlineLvl w:val="4"/>
    </w:pPr>
    <w:rPr>
      <w:color w:val="918585"/>
      <w:sz w:val="20"/>
    </w:rPr>
  </w:style>
  <w:style w:type="paragraph" w:styleId="Heading6">
    <w:name w:val="heading 6"/>
    <w:basedOn w:val="HeadingBase"/>
    <w:next w:val="Normal"/>
    <w:link w:val="Heading6Char"/>
    <w:qFormat/>
    <w:rsid w:val="007D5333"/>
    <w:pPr>
      <w:spacing w:before="60"/>
      <w:outlineLvl w:val="5"/>
    </w:pPr>
    <w:rPr>
      <w:color w:val="918585"/>
      <w:sz w:val="20"/>
    </w:rPr>
  </w:style>
  <w:style w:type="paragraph" w:styleId="Heading7">
    <w:name w:val="heading 7"/>
    <w:basedOn w:val="Normal"/>
    <w:next w:val="Normal"/>
    <w:link w:val="Heading7Char"/>
    <w:qFormat/>
    <w:rsid w:val="007D5333"/>
    <w:pPr>
      <w:ind w:left="720"/>
      <w:outlineLvl w:val="6"/>
    </w:pPr>
    <w:rPr>
      <w:i/>
    </w:rPr>
  </w:style>
  <w:style w:type="paragraph" w:styleId="Heading8">
    <w:name w:val="heading 8"/>
    <w:basedOn w:val="Normal"/>
    <w:next w:val="Normal"/>
    <w:link w:val="Heading8Char"/>
    <w:qFormat/>
    <w:rsid w:val="007D5333"/>
    <w:pPr>
      <w:ind w:left="720"/>
      <w:outlineLvl w:val="7"/>
    </w:pPr>
    <w:rPr>
      <w:i/>
    </w:rPr>
  </w:style>
  <w:style w:type="paragraph" w:styleId="Heading9">
    <w:name w:val="heading 9"/>
    <w:basedOn w:val="Normal"/>
    <w:next w:val="Normal"/>
    <w:link w:val="Heading9Char"/>
    <w:qFormat/>
    <w:rsid w:val="007D5333"/>
    <w:pPr>
      <w:ind w:left="720"/>
      <w:outlineLvl w:val="8"/>
    </w:pPr>
    <w:rPr>
      <w:i/>
    </w:rPr>
  </w:style>
  <w:style w:type="character" w:default="1" w:styleId="DefaultParagraphFont">
    <w:name w:val="Default Paragraph Font"/>
    <w:uiPriority w:val="1"/>
    <w:unhideWhenUsed/>
    <w:rsid w:val="007D53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5333"/>
  </w:style>
  <w:style w:type="character" w:customStyle="1" w:styleId="Heading1Char">
    <w:name w:val="Heading 1 Char"/>
    <w:basedOn w:val="DefaultParagraphFont"/>
    <w:link w:val="Heading1"/>
    <w:rsid w:val="007D5333"/>
    <w:rPr>
      <w:rFonts w:ascii="Times New Roman" w:eastAsia="Times New Roman" w:hAnsi="Times New Roman" w:cs="Times New Roman"/>
      <w:b/>
      <w:sz w:val="32"/>
      <w:szCs w:val="20"/>
      <w:lang w:eastAsia="en-US"/>
    </w:rPr>
  </w:style>
  <w:style w:type="paragraph" w:styleId="BodyText">
    <w:name w:val="Body Text"/>
    <w:basedOn w:val="Normal"/>
    <w:link w:val="BodyTextChar"/>
    <w:rsid w:val="007D53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5333"/>
    <w:rPr>
      <w:rFonts w:ascii="Times New Roman" w:eastAsia="Times New Roman" w:hAnsi="Times New Roman" w:cs="Times New Roman"/>
      <w:sz w:val="24"/>
      <w:lang w:eastAsia="en-US"/>
    </w:rPr>
  </w:style>
  <w:style w:type="paragraph" w:styleId="ListBullet">
    <w:name w:val="List Bullet"/>
    <w:basedOn w:val="List"/>
    <w:rsid w:val="007D5333"/>
    <w:pPr>
      <w:numPr>
        <w:numId w:val="11"/>
      </w:numPr>
      <w:tabs>
        <w:tab w:val="clear" w:pos="340"/>
      </w:tabs>
      <w:spacing w:before="40" w:after="40"/>
    </w:pPr>
  </w:style>
  <w:style w:type="character" w:customStyle="1" w:styleId="SpecialBold">
    <w:name w:val="Special Bold"/>
    <w:basedOn w:val="DefaultParagraphFont"/>
    <w:rsid w:val="007D5333"/>
    <w:rPr>
      <w:b/>
      <w:spacing w:val="0"/>
    </w:rPr>
  </w:style>
  <w:style w:type="paragraph" w:customStyle="1" w:styleId="SuperHeading">
    <w:name w:val="SuperHeading"/>
    <w:basedOn w:val="Normal"/>
    <w:rsid w:val="007D5333"/>
    <w:pPr>
      <w:spacing w:before="240" w:after="120"/>
      <w:outlineLvl w:val="0"/>
    </w:pPr>
    <w:rPr>
      <w:rFonts w:ascii="Times New Roman" w:hAnsi="Times New Roman"/>
      <w:b/>
      <w:sz w:val="32"/>
    </w:rPr>
  </w:style>
  <w:style w:type="paragraph" w:customStyle="1" w:styleId="AllowPageBreak">
    <w:name w:val="AllowPageBreak"/>
    <w:rsid w:val="007D53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53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53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53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53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53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53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53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5333"/>
    <w:rPr>
      <w:rFonts w:ascii="Courier New" w:eastAsia="Times New Roman" w:hAnsi="Courier New" w:cs="Times New Roman"/>
      <w:i/>
      <w:szCs w:val="20"/>
      <w:lang w:eastAsia="en-US"/>
    </w:rPr>
  </w:style>
  <w:style w:type="paragraph" w:customStyle="1" w:styleId="HeadingBase">
    <w:name w:val="Heading Base"/>
    <w:rsid w:val="007D53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5333"/>
    <w:pPr>
      <w:tabs>
        <w:tab w:val="right" w:leader="dot" w:pos="9072"/>
      </w:tabs>
      <w:ind w:left="567"/>
    </w:pPr>
    <w:rPr>
      <w:szCs w:val="22"/>
    </w:rPr>
  </w:style>
  <w:style w:type="paragraph" w:customStyle="1" w:styleId="TOCBase">
    <w:name w:val="TOC Base"/>
    <w:rsid w:val="007D53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5333"/>
    <w:pPr>
      <w:tabs>
        <w:tab w:val="right" w:leader="dot" w:pos="9072"/>
      </w:tabs>
      <w:spacing w:before="40" w:after="40"/>
      <w:ind w:left="284"/>
    </w:pPr>
    <w:rPr>
      <w:rFonts w:ascii="Times New Roman" w:hAnsi="Times New Roman"/>
    </w:rPr>
  </w:style>
  <w:style w:type="paragraph" w:styleId="TOC1">
    <w:name w:val="toc 1"/>
    <w:basedOn w:val="TOCBase"/>
    <w:next w:val="Normal"/>
    <w:rsid w:val="007D53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53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5333"/>
    <w:rPr>
      <w:rFonts w:ascii="Times New Roman" w:eastAsia="Times New Roman" w:hAnsi="Times New Roman" w:cs="Times New Roman"/>
      <w:sz w:val="16"/>
      <w:lang w:eastAsia="en-US"/>
    </w:rPr>
  </w:style>
  <w:style w:type="paragraph" w:styleId="Title">
    <w:name w:val="Title"/>
    <w:basedOn w:val="HeadingBase"/>
    <w:link w:val="TitleChar"/>
    <w:qFormat/>
    <w:rsid w:val="007D5333"/>
    <w:pPr>
      <w:spacing w:before="5040"/>
      <w:jc w:val="center"/>
    </w:pPr>
    <w:rPr>
      <w:sz w:val="48"/>
      <w:szCs w:val="72"/>
      <w:lang w:val="en-US"/>
    </w:rPr>
  </w:style>
  <w:style w:type="character" w:customStyle="1" w:styleId="TitleChar">
    <w:name w:val="Title Char"/>
    <w:basedOn w:val="DefaultParagraphFont"/>
    <w:link w:val="Title"/>
    <w:rsid w:val="007D53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5333"/>
    <w:pPr>
      <w:tabs>
        <w:tab w:val="left" w:pos="3600"/>
        <w:tab w:val="left" w:pos="3958"/>
      </w:tabs>
    </w:pPr>
  </w:style>
  <w:style w:type="paragraph" w:styleId="List">
    <w:name w:val="List"/>
    <w:basedOn w:val="BodyText"/>
    <w:next w:val="BodyText"/>
    <w:rsid w:val="007D5333"/>
    <w:pPr>
      <w:tabs>
        <w:tab w:val="left" w:pos="340"/>
      </w:tabs>
      <w:spacing w:before="60" w:after="60"/>
      <w:ind w:left="340" w:hanging="340"/>
    </w:pPr>
  </w:style>
  <w:style w:type="paragraph" w:customStyle="1" w:styleId="Note">
    <w:name w:val="Note"/>
    <w:basedOn w:val="BodyText"/>
    <w:rsid w:val="007D53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5333"/>
    <w:pPr>
      <w:framePr w:wrap="auto" w:hAnchor="text" w:y="6049"/>
    </w:pPr>
    <w:rPr>
      <w:color w:val="000000"/>
      <w:sz w:val="40"/>
    </w:rPr>
  </w:style>
  <w:style w:type="paragraph" w:customStyle="1" w:styleId="TOCTitle">
    <w:name w:val="TOCTitle"/>
    <w:basedOn w:val="Heading1"/>
    <w:rsid w:val="007D5333"/>
    <w:pPr>
      <w:spacing w:after="240"/>
      <w:jc w:val="center"/>
      <w:outlineLvl w:val="9"/>
    </w:pPr>
    <w:rPr>
      <w:caps/>
    </w:rPr>
  </w:style>
  <w:style w:type="paragraph" w:customStyle="1" w:styleId="Version">
    <w:name w:val="Version"/>
    <w:rsid w:val="007D53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5333"/>
    <w:pPr>
      <w:numPr>
        <w:numId w:val="12"/>
      </w:numPr>
      <w:tabs>
        <w:tab w:val="clear" w:pos="680"/>
      </w:tabs>
    </w:pPr>
  </w:style>
  <w:style w:type="paragraph" w:styleId="Index1">
    <w:name w:val="index 1"/>
    <w:basedOn w:val="Normal"/>
    <w:next w:val="Normal"/>
    <w:semiHidden/>
    <w:rsid w:val="007D5333"/>
    <w:pPr>
      <w:keepNext w:val="0"/>
      <w:tabs>
        <w:tab w:val="right" w:pos="4176"/>
      </w:tabs>
      <w:ind w:left="198" w:hanging="198"/>
    </w:pPr>
    <w:rPr>
      <w:rFonts w:ascii="Garamond" w:hAnsi="Garamond"/>
    </w:rPr>
  </w:style>
  <w:style w:type="paragraph" w:styleId="IndexHeading">
    <w:name w:val="index heading"/>
    <w:basedOn w:val="Normal"/>
    <w:next w:val="Index1"/>
    <w:semiHidden/>
    <w:rsid w:val="007D5333"/>
    <w:pPr>
      <w:spacing w:before="120" w:after="120"/>
    </w:pPr>
    <w:rPr>
      <w:rFonts w:ascii="Arial" w:hAnsi="Arial"/>
      <w:b/>
      <w:color w:val="918585"/>
      <w:sz w:val="24"/>
    </w:rPr>
  </w:style>
  <w:style w:type="paragraph" w:styleId="Header">
    <w:name w:val="header"/>
    <w:basedOn w:val="Normal"/>
    <w:link w:val="HeaderChar"/>
    <w:rsid w:val="007D53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5333"/>
    <w:rPr>
      <w:rFonts w:ascii="Times New Roman" w:eastAsia="Times New Roman" w:hAnsi="Times New Roman" w:cs="Times New Roman"/>
      <w:sz w:val="16"/>
      <w:szCs w:val="20"/>
      <w:lang w:val="en-GB" w:eastAsia="en-US"/>
    </w:rPr>
  </w:style>
  <w:style w:type="paragraph" w:customStyle="1" w:styleId="Chapter">
    <w:name w:val="Chapter"/>
    <w:basedOn w:val="Normal"/>
    <w:rsid w:val="007D5333"/>
    <w:pPr>
      <w:spacing w:before="240"/>
    </w:pPr>
    <w:rPr>
      <w:rFonts w:ascii="Times New Roman" w:hAnsi="Times New Roman"/>
      <w:smallCaps/>
      <w:spacing w:val="80"/>
      <w:sz w:val="28"/>
    </w:rPr>
  </w:style>
  <w:style w:type="paragraph" w:customStyle="1" w:styleId="InChapter">
    <w:name w:val="InChapter"/>
    <w:basedOn w:val="Heading3"/>
    <w:rsid w:val="007D5333"/>
    <w:pPr>
      <w:spacing w:after="240"/>
      <w:outlineLvl w:val="9"/>
    </w:pPr>
    <w:rPr>
      <w:noProof/>
    </w:rPr>
  </w:style>
  <w:style w:type="paragraph" w:styleId="Index2">
    <w:name w:val="index 2"/>
    <w:basedOn w:val="Normal"/>
    <w:next w:val="Normal"/>
    <w:semiHidden/>
    <w:rsid w:val="007D5333"/>
    <w:pPr>
      <w:tabs>
        <w:tab w:val="right" w:pos="4176"/>
      </w:tabs>
      <w:ind w:left="568" w:hanging="284"/>
    </w:pPr>
    <w:rPr>
      <w:rFonts w:ascii="Garamond" w:hAnsi="Garamond"/>
    </w:rPr>
  </w:style>
  <w:style w:type="paragraph" w:customStyle="1" w:styleId="Byline">
    <w:name w:val="Byline"/>
    <w:rsid w:val="007D53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5333"/>
    <w:pPr>
      <w:tabs>
        <w:tab w:val="clear" w:pos="3600"/>
        <w:tab w:val="clear" w:pos="3958"/>
      </w:tabs>
      <w:jc w:val="right"/>
    </w:pPr>
  </w:style>
  <w:style w:type="character" w:styleId="Emphasis">
    <w:name w:val="Emphasis"/>
    <w:basedOn w:val="DefaultParagraphFont"/>
    <w:qFormat/>
    <w:rsid w:val="007D5333"/>
    <w:rPr>
      <w:i/>
    </w:rPr>
  </w:style>
  <w:style w:type="paragraph" w:styleId="Caption">
    <w:name w:val="caption"/>
    <w:basedOn w:val="BodyText"/>
    <w:next w:val="Normal"/>
    <w:qFormat/>
    <w:rsid w:val="007D5333"/>
    <w:pPr>
      <w:framePr w:w="2268" w:hSpace="181" w:vSpace="181" w:wrap="around" w:vAnchor="text" w:hAnchor="page" w:x="1135" w:y="285" w:anchorLock="1"/>
    </w:pPr>
    <w:rPr>
      <w:i/>
    </w:rPr>
  </w:style>
  <w:style w:type="paragraph" w:customStyle="1" w:styleId="MiniTOCTitle">
    <w:name w:val="MiniTOCTitle"/>
    <w:basedOn w:val="Heading4"/>
    <w:rsid w:val="007D5333"/>
    <w:pPr>
      <w:spacing w:before="240"/>
      <w:outlineLvl w:val="9"/>
    </w:pPr>
    <w:rPr>
      <w:noProof/>
      <w:sz w:val="24"/>
    </w:rPr>
  </w:style>
  <w:style w:type="paragraph" w:customStyle="1" w:styleId="MiniTOCItem">
    <w:name w:val="MiniTOCItem"/>
    <w:basedOn w:val="ListBullet"/>
    <w:rsid w:val="007D5333"/>
    <w:pPr>
      <w:numPr>
        <w:numId w:val="0"/>
      </w:numPr>
      <w:tabs>
        <w:tab w:val="right" w:leader="dot" w:pos="6521"/>
      </w:tabs>
      <w:spacing w:before="0" w:after="0"/>
    </w:pPr>
  </w:style>
  <w:style w:type="paragraph" w:customStyle="1" w:styleId="TOFTitle">
    <w:name w:val="TOFTitle"/>
    <w:basedOn w:val="TOCTitle"/>
    <w:rsid w:val="007D5333"/>
  </w:style>
  <w:style w:type="paragraph" w:styleId="TableofFigures">
    <w:name w:val="table of figures"/>
    <w:basedOn w:val="Normal"/>
    <w:next w:val="Normal"/>
    <w:semiHidden/>
    <w:rsid w:val="007D5333"/>
    <w:pPr>
      <w:tabs>
        <w:tab w:val="right" w:leader="dot" w:pos="9072"/>
      </w:tabs>
      <w:ind w:left="970" w:hanging="403"/>
    </w:pPr>
    <w:rPr>
      <w:rFonts w:ascii="Times New Roman" w:hAnsi="Times New Roman"/>
      <w:b/>
    </w:rPr>
  </w:style>
  <w:style w:type="paragraph" w:styleId="ListNumber">
    <w:name w:val="List Number"/>
    <w:basedOn w:val="List"/>
    <w:rsid w:val="007D5333"/>
    <w:pPr>
      <w:numPr>
        <w:numId w:val="14"/>
      </w:numPr>
      <w:tabs>
        <w:tab w:val="clear" w:pos="340"/>
      </w:tabs>
    </w:pPr>
  </w:style>
  <w:style w:type="character" w:customStyle="1" w:styleId="WingdingSymbols">
    <w:name w:val="Wingding Symbols"/>
    <w:rsid w:val="007D5333"/>
    <w:rPr>
      <w:rFonts w:ascii="Wingdings" w:hAnsi="Wingdings"/>
    </w:rPr>
  </w:style>
  <w:style w:type="paragraph" w:customStyle="1" w:styleId="TableHeading">
    <w:name w:val="Table Heading"/>
    <w:basedOn w:val="HeadingBase"/>
    <w:rsid w:val="007D5333"/>
    <w:pPr>
      <w:keepLines/>
      <w:pBdr>
        <w:bottom w:val="single" w:sz="6" w:space="1" w:color="918585"/>
      </w:pBdr>
      <w:spacing w:before="240"/>
    </w:pPr>
  </w:style>
  <w:style w:type="character" w:customStyle="1" w:styleId="HotSpot">
    <w:name w:val="HotSpot"/>
    <w:rsid w:val="007D5333"/>
    <w:rPr>
      <w:color w:val="0033CC"/>
      <w:u w:val="none"/>
    </w:rPr>
  </w:style>
  <w:style w:type="paragraph" w:customStyle="1" w:styleId="BodyTextRight">
    <w:name w:val="Body Text Right"/>
    <w:basedOn w:val="BodyText"/>
    <w:rsid w:val="007D5333"/>
    <w:pPr>
      <w:spacing w:before="0" w:after="0"/>
      <w:jc w:val="right"/>
    </w:pPr>
  </w:style>
  <w:style w:type="paragraph" w:styleId="Index3">
    <w:name w:val="index 3"/>
    <w:basedOn w:val="ListNumber2"/>
    <w:next w:val="Normal"/>
    <w:semiHidden/>
    <w:rsid w:val="007D5333"/>
    <w:pPr>
      <w:numPr>
        <w:numId w:val="0"/>
      </w:numPr>
      <w:tabs>
        <w:tab w:val="right" w:leader="dot" w:pos="4176"/>
      </w:tabs>
    </w:pPr>
  </w:style>
  <w:style w:type="paragraph" w:styleId="ListNumber2">
    <w:name w:val="List Number 2"/>
    <w:basedOn w:val="List2"/>
    <w:rsid w:val="007D5333"/>
    <w:pPr>
      <w:numPr>
        <w:numId w:val="9"/>
      </w:numPr>
      <w:tabs>
        <w:tab w:val="clear" w:pos="1060"/>
      </w:tabs>
    </w:pPr>
  </w:style>
  <w:style w:type="paragraph" w:customStyle="1" w:styleId="MarginNote">
    <w:name w:val="Margin Note"/>
    <w:basedOn w:val="BodyText"/>
    <w:rsid w:val="007D53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53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53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5333"/>
    <w:rPr>
      <w:sz w:val="32"/>
    </w:rPr>
  </w:style>
  <w:style w:type="paragraph" w:customStyle="1" w:styleId="HeadingProcedure">
    <w:name w:val="Heading Procedure"/>
    <w:basedOn w:val="HeadingBase"/>
    <w:next w:val="Normal"/>
    <w:rsid w:val="007D5333"/>
    <w:pPr>
      <w:tabs>
        <w:tab w:val="left" w:pos="0"/>
      </w:tabs>
      <w:spacing w:before="120" w:after="60"/>
    </w:pPr>
    <w:rPr>
      <w:i/>
      <w:color w:val="918585"/>
      <w:sz w:val="22"/>
    </w:rPr>
  </w:style>
  <w:style w:type="paragraph" w:customStyle="1" w:styleId="TableBodyText">
    <w:name w:val="Table Body Text"/>
    <w:basedOn w:val="BodyText"/>
    <w:rsid w:val="007D5333"/>
    <w:pPr>
      <w:spacing w:before="60" w:after="60"/>
    </w:pPr>
  </w:style>
  <w:style w:type="paragraph" w:styleId="ListContinue">
    <w:name w:val="List Continue"/>
    <w:basedOn w:val="List"/>
    <w:rsid w:val="007D5333"/>
    <w:pPr>
      <w:ind w:firstLine="0"/>
    </w:pPr>
  </w:style>
  <w:style w:type="paragraph" w:customStyle="1" w:styleId="ListNote">
    <w:name w:val="List Note"/>
    <w:basedOn w:val="List"/>
    <w:rsid w:val="007D5333"/>
    <w:pPr>
      <w:pBdr>
        <w:top w:val="single" w:sz="6" w:space="2" w:color="918585"/>
        <w:bottom w:val="single" w:sz="6" w:space="2" w:color="918585"/>
      </w:pBdr>
      <w:tabs>
        <w:tab w:val="left" w:pos="1021"/>
      </w:tabs>
      <w:ind w:firstLine="0"/>
    </w:pPr>
  </w:style>
  <w:style w:type="paragraph" w:customStyle="1" w:styleId="Warning">
    <w:name w:val="Warning"/>
    <w:basedOn w:val="BodyText"/>
    <w:rsid w:val="007D5333"/>
    <w:pPr>
      <w:shd w:val="clear" w:color="auto" w:fill="D9D9D9"/>
      <w:tabs>
        <w:tab w:val="left" w:pos="992"/>
      </w:tabs>
      <w:ind w:left="119" w:right="119"/>
    </w:pPr>
    <w:rPr>
      <w:sz w:val="20"/>
    </w:rPr>
  </w:style>
  <w:style w:type="paragraph" w:customStyle="1" w:styleId="MarginIcons">
    <w:name w:val="Margin Icons"/>
    <w:basedOn w:val="BodyText"/>
    <w:rsid w:val="007D53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5333"/>
    <w:rPr>
      <w:rFonts w:ascii="Courier New" w:hAnsi="Courier New"/>
    </w:rPr>
  </w:style>
  <w:style w:type="paragraph" w:customStyle="1" w:styleId="NoteBullet">
    <w:name w:val="Note Bullet"/>
    <w:basedOn w:val="Note"/>
    <w:rsid w:val="007D5333"/>
    <w:pPr>
      <w:tabs>
        <w:tab w:val="clear" w:pos="680"/>
      </w:tabs>
      <w:spacing w:before="60" w:after="60"/>
    </w:pPr>
  </w:style>
  <w:style w:type="paragraph" w:customStyle="1" w:styleId="SubHeading2">
    <w:name w:val="SubHeading2"/>
    <w:basedOn w:val="HeadingBase"/>
    <w:rsid w:val="007D5333"/>
    <w:pPr>
      <w:spacing w:before="240" w:after="60"/>
    </w:pPr>
    <w:rPr>
      <w:sz w:val="20"/>
    </w:rPr>
  </w:style>
  <w:style w:type="paragraph" w:customStyle="1" w:styleId="SubHeading1">
    <w:name w:val="SubHeading1"/>
    <w:basedOn w:val="HeadingBase"/>
    <w:rsid w:val="007D5333"/>
    <w:pPr>
      <w:spacing w:before="240" w:after="60"/>
    </w:pPr>
    <w:rPr>
      <w:color w:val="918585"/>
      <w:sz w:val="22"/>
    </w:rPr>
  </w:style>
  <w:style w:type="paragraph" w:customStyle="1" w:styleId="SideHeading">
    <w:name w:val="Side Heading"/>
    <w:basedOn w:val="HeadingBase"/>
    <w:rsid w:val="007D53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5333"/>
    <w:pPr>
      <w:numPr>
        <w:numId w:val="10"/>
      </w:numPr>
    </w:pPr>
  </w:style>
  <w:style w:type="paragraph" w:styleId="PlainText">
    <w:name w:val="Plain Text"/>
    <w:basedOn w:val="Normal"/>
    <w:link w:val="PlainTextChar"/>
    <w:rsid w:val="007D5333"/>
    <w:rPr>
      <w:sz w:val="20"/>
    </w:rPr>
  </w:style>
  <w:style w:type="character" w:customStyle="1" w:styleId="PlainTextChar">
    <w:name w:val="Plain Text Char"/>
    <w:basedOn w:val="DefaultParagraphFont"/>
    <w:link w:val="PlainText"/>
    <w:rsid w:val="007D5333"/>
    <w:rPr>
      <w:rFonts w:ascii="Courier New" w:eastAsia="Times New Roman" w:hAnsi="Courier New" w:cs="Times New Roman"/>
      <w:sz w:val="20"/>
      <w:szCs w:val="20"/>
      <w:lang w:eastAsia="en-US"/>
    </w:rPr>
  </w:style>
  <w:style w:type="character" w:customStyle="1" w:styleId="MenuOption">
    <w:name w:val="Menu Option"/>
    <w:basedOn w:val="DefaultParagraphFont"/>
    <w:rsid w:val="007D5333"/>
    <w:rPr>
      <w:b/>
      <w:smallCaps/>
    </w:rPr>
  </w:style>
  <w:style w:type="paragraph" w:customStyle="1" w:styleId="TableListNumber">
    <w:name w:val="Table List Number"/>
    <w:basedOn w:val="ListNumber"/>
    <w:rsid w:val="007D5333"/>
    <w:pPr>
      <w:numPr>
        <w:numId w:val="0"/>
      </w:numPr>
    </w:pPr>
  </w:style>
  <w:style w:type="paragraph" w:styleId="TOC4">
    <w:name w:val="toc 4"/>
    <w:basedOn w:val="TOCBase"/>
    <w:next w:val="Normal"/>
    <w:semiHidden/>
    <w:rsid w:val="007D5333"/>
    <w:pPr>
      <w:tabs>
        <w:tab w:val="right" w:leader="dot" w:pos="9071"/>
      </w:tabs>
      <w:ind w:left="1701"/>
    </w:pPr>
  </w:style>
  <w:style w:type="paragraph" w:customStyle="1" w:styleId="ListAlpha">
    <w:name w:val="List Alpha"/>
    <w:basedOn w:val="List"/>
    <w:rsid w:val="007D5333"/>
    <w:pPr>
      <w:numPr>
        <w:numId w:val="8"/>
      </w:numPr>
    </w:pPr>
  </w:style>
  <w:style w:type="paragraph" w:customStyle="1" w:styleId="ListAlpha2">
    <w:name w:val="List Alpha 2"/>
    <w:basedOn w:val="List2"/>
    <w:rsid w:val="007D5333"/>
    <w:pPr>
      <w:numPr>
        <w:numId w:val="7"/>
      </w:numPr>
    </w:pPr>
  </w:style>
  <w:style w:type="paragraph" w:styleId="List2">
    <w:name w:val="List 2"/>
    <w:basedOn w:val="BodyText"/>
    <w:rsid w:val="007D5333"/>
    <w:pPr>
      <w:tabs>
        <w:tab w:val="left" w:pos="680"/>
      </w:tabs>
      <w:spacing w:before="60" w:after="60"/>
      <w:ind w:left="680" w:hanging="340"/>
    </w:pPr>
  </w:style>
  <w:style w:type="paragraph" w:styleId="List3">
    <w:name w:val="List 3"/>
    <w:basedOn w:val="BodyText"/>
    <w:rsid w:val="007D5333"/>
    <w:pPr>
      <w:tabs>
        <w:tab w:val="left" w:pos="1021"/>
      </w:tabs>
      <w:spacing w:before="60" w:after="60"/>
      <w:ind w:left="1020" w:hanging="340"/>
    </w:pPr>
  </w:style>
  <w:style w:type="paragraph" w:styleId="List4">
    <w:name w:val="List 4"/>
    <w:basedOn w:val="BodyText"/>
    <w:rsid w:val="007D5333"/>
    <w:pPr>
      <w:tabs>
        <w:tab w:val="left" w:pos="1361"/>
      </w:tabs>
      <w:spacing w:before="60" w:after="60"/>
      <w:ind w:left="1361" w:hanging="340"/>
    </w:pPr>
  </w:style>
  <w:style w:type="paragraph" w:styleId="List5">
    <w:name w:val="List 5"/>
    <w:basedOn w:val="BodyText"/>
    <w:rsid w:val="007D5333"/>
    <w:pPr>
      <w:tabs>
        <w:tab w:val="left" w:pos="1701"/>
      </w:tabs>
      <w:spacing w:before="60" w:after="60"/>
      <w:ind w:left="1701" w:hanging="340"/>
    </w:pPr>
  </w:style>
  <w:style w:type="paragraph" w:styleId="ListBullet3">
    <w:name w:val="List Bullet 3"/>
    <w:basedOn w:val="List3"/>
    <w:rsid w:val="007D5333"/>
    <w:pPr>
      <w:numPr>
        <w:numId w:val="13"/>
      </w:numPr>
      <w:tabs>
        <w:tab w:val="clear" w:pos="1021"/>
      </w:tabs>
      <w:ind w:left="1037" w:hanging="357"/>
    </w:pPr>
  </w:style>
  <w:style w:type="paragraph" w:styleId="ListBullet4">
    <w:name w:val="List Bullet 4"/>
    <w:basedOn w:val="List4"/>
    <w:rsid w:val="007D5333"/>
    <w:pPr>
      <w:numPr>
        <w:numId w:val="2"/>
      </w:numPr>
      <w:tabs>
        <w:tab w:val="clear" w:pos="1361"/>
      </w:tabs>
    </w:pPr>
  </w:style>
  <w:style w:type="paragraph" w:styleId="ListBullet5">
    <w:name w:val="List Bullet 5"/>
    <w:basedOn w:val="List5"/>
    <w:rsid w:val="007D5333"/>
    <w:pPr>
      <w:numPr>
        <w:numId w:val="3"/>
      </w:numPr>
    </w:pPr>
  </w:style>
  <w:style w:type="paragraph" w:styleId="ListContinue2">
    <w:name w:val="List Continue 2"/>
    <w:basedOn w:val="List2"/>
    <w:rsid w:val="007D5333"/>
    <w:pPr>
      <w:ind w:firstLine="0"/>
    </w:pPr>
  </w:style>
  <w:style w:type="paragraph" w:styleId="ListContinue3">
    <w:name w:val="List Continue 3"/>
    <w:basedOn w:val="List3"/>
    <w:rsid w:val="007D5333"/>
    <w:pPr>
      <w:ind w:left="1021" w:firstLine="0"/>
    </w:pPr>
  </w:style>
  <w:style w:type="paragraph" w:styleId="ListContinue4">
    <w:name w:val="List Continue 4"/>
    <w:basedOn w:val="List4"/>
    <w:rsid w:val="007D5333"/>
    <w:pPr>
      <w:ind w:firstLine="0"/>
    </w:pPr>
  </w:style>
  <w:style w:type="paragraph" w:styleId="ListContinue5">
    <w:name w:val="List Continue 5"/>
    <w:basedOn w:val="List5"/>
    <w:rsid w:val="007D5333"/>
    <w:pPr>
      <w:ind w:firstLine="0"/>
    </w:pPr>
  </w:style>
  <w:style w:type="paragraph" w:styleId="ListNumber3">
    <w:name w:val="List Number 3"/>
    <w:basedOn w:val="List3"/>
    <w:rsid w:val="007D5333"/>
    <w:pPr>
      <w:numPr>
        <w:numId w:val="4"/>
      </w:numPr>
    </w:pPr>
  </w:style>
  <w:style w:type="paragraph" w:styleId="ListNumber4">
    <w:name w:val="List Number 4"/>
    <w:basedOn w:val="List4"/>
    <w:rsid w:val="007D5333"/>
    <w:pPr>
      <w:numPr>
        <w:numId w:val="5"/>
      </w:numPr>
    </w:pPr>
  </w:style>
  <w:style w:type="paragraph" w:styleId="ListNumber5">
    <w:name w:val="List Number 5"/>
    <w:basedOn w:val="List5"/>
    <w:rsid w:val="007D5333"/>
    <w:pPr>
      <w:numPr>
        <w:numId w:val="6"/>
      </w:numPr>
    </w:pPr>
  </w:style>
  <w:style w:type="paragraph" w:styleId="BlockText">
    <w:name w:val="Block Text"/>
    <w:basedOn w:val="Normal"/>
    <w:rsid w:val="007D5333"/>
    <w:pPr>
      <w:spacing w:after="120"/>
      <w:ind w:left="1440" w:right="1440"/>
    </w:pPr>
  </w:style>
  <w:style w:type="character" w:customStyle="1" w:styleId="Subscript">
    <w:name w:val="Subscript"/>
    <w:basedOn w:val="DefaultParagraphFont"/>
    <w:rsid w:val="007D5333"/>
    <w:rPr>
      <w:sz w:val="16"/>
      <w:vertAlign w:val="subscript"/>
    </w:rPr>
  </w:style>
  <w:style w:type="character" w:customStyle="1" w:styleId="Superscript">
    <w:name w:val="Superscript"/>
    <w:basedOn w:val="DefaultParagraphFont"/>
    <w:rsid w:val="007D5333"/>
    <w:rPr>
      <w:sz w:val="16"/>
      <w:vertAlign w:val="superscript"/>
    </w:rPr>
  </w:style>
  <w:style w:type="character" w:customStyle="1" w:styleId="Symbols">
    <w:name w:val="Symbols"/>
    <w:basedOn w:val="DefaultParagraphFont"/>
    <w:rsid w:val="007D5333"/>
    <w:rPr>
      <w:rFonts w:ascii="Symbol" w:hAnsi="Symbol"/>
    </w:rPr>
  </w:style>
  <w:style w:type="character" w:customStyle="1" w:styleId="MenuOptions">
    <w:name w:val="Menu Options"/>
    <w:basedOn w:val="DefaultParagraphFont"/>
    <w:rsid w:val="007D5333"/>
    <w:rPr>
      <w:rFonts w:ascii="Arial Narrow" w:hAnsi="Arial Narrow"/>
      <w:smallCaps/>
    </w:rPr>
  </w:style>
  <w:style w:type="character" w:customStyle="1" w:styleId="Buttons">
    <w:name w:val="Buttons"/>
    <w:basedOn w:val="DefaultParagraphFont"/>
    <w:rsid w:val="007D5333"/>
    <w:rPr>
      <w:b/>
    </w:rPr>
  </w:style>
  <w:style w:type="character" w:customStyle="1" w:styleId="Underlined">
    <w:name w:val="Underlined"/>
    <w:basedOn w:val="DefaultParagraphFont"/>
    <w:rsid w:val="007D5333"/>
    <w:rPr>
      <w:u w:val="single"/>
    </w:rPr>
  </w:style>
  <w:style w:type="paragraph" w:customStyle="1" w:styleId="TableBodyTextRight">
    <w:name w:val="Table Body Text Right"/>
    <w:basedOn w:val="TableBodyText"/>
    <w:rsid w:val="007D5333"/>
    <w:pPr>
      <w:widowControl w:val="0"/>
      <w:autoSpaceDE w:val="0"/>
      <w:autoSpaceDN w:val="0"/>
      <w:adjustRightInd w:val="0"/>
      <w:jc w:val="right"/>
    </w:pPr>
    <w:rPr>
      <w:rFonts w:cs="Arial"/>
      <w:szCs w:val="18"/>
    </w:rPr>
  </w:style>
  <w:style w:type="paragraph" w:customStyle="1" w:styleId="CopyrightText">
    <w:name w:val="Copyright Text"/>
    <w:basedOn w:val="BodyText"/>
    <w:rsid w:val="007D5333"/>
    <w:rPr>
      <w:sz w:val="18"/>
    </w:rPr>
  </w:style>
  <w:style w:type="paragraph" w:customStyle="1" w:styleId="BodySmallRight">
    <w:name w:val="Body Small Right"/>
    <w:basedOn w:val="BodyTextRight"/>
    <w:rsid w:val="007D5333"/>
    <w:rPr>
      <w:sz w:val="18"/>
      <w:szCs w:val="18"/>
    </w:rPr>
  </w:style>
  <w:style w:type="paragraph" w:customStyle="1" w:styleId="MarginEdition">
    <w:name w:val="Margin Edition"/>
    <w:basedOn w:val="MarginNote"/>
    <w:rsid w:val="007D5333"/>
    <w:pPr>
      <w:spacing w:before="0" w:after="0"/>
    </w:pPr>
    <w:rPr>
      <w:rFonts w:ascii="Times New Roman" w:hAnsi="Times New Roman"/>
      <w:color w:val="999999"/>
    </w:rPr>
  </w:style>
  <w:style w:type="paragraph" w:customStyle="1" w:styleId="Spacer">
    <w:name w:val="Spacer"/>
    <w:basedOn w:val="Normal"/>
    <w:rsid w:val="007D5333"/>
    <w:rPr>
      <w:sz w:val="2"/>
      <w:szCs w:val="2"/>
    </w:rPr>
  </w:style>
  <w:style w:type="character" w:customStyle="1" w:styleId="Small">
    <w:name w:val="Small"/>
    <w:basedOn w:val="DefaultParagraphFont"/>
    <w:rsid w:val="007D5333"/>
    <w:rPr>
      <w:sz w:val="16"/>
    </w:rPr>
  </w:style>
  <w:style w:type="paragraph" w:customStyle="1" w:styleId="WideTable">
    <w:name w:val="Wide Table"/>
    <w:basedOn w:val="Normal"/>
    <w:rsid w:val="007D5333"/>
    <w:pPr>
      <w:ind w:left="-1418"/>
    </w:pPr>
    <w:rPr>
      <w:sz w:val="2"/>
      <w:szCs w:val="2"/>
    </w:rPr>
  </w:style>
  <w:style w:type="character" w:styleId="PageNumber">
    <w:name w:val="page number"/>
    <w:basedOn w:val="DefaultParagraphFont"/>
    <w:rsid w:val="007D5333"/>
  </w:style>
  <w:style w:type="paragraph" w:styleId="Quote">
    <w:name w:val="Quote"/>
    <w:basedOn w:val="Heading1"/>
    <w:link w:val="QuoteChar"/>
    <w:qFormat/>
    <w:rsid w:val="007D5333"/>
    <w:rPr>
      <w:b w:val="0"/>
      <w:sz w:val="72"/>
      <w:szCs w:val="72"/>
      <w:lang w:val="en-NZ"/>
    </w:rPr>
  </w:style>
  <w:style w:type="character" w:customStyle="1" w:styleId="QuoteChar">
    <w:name w:val="Quote Char"/>
    <w:basedOn w:val="DefaultParagraphFont"/>
    <w:link w:val="Quote"/>
    <w:rsid w:val="007D53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5333"/>
    <w:pPr>
      <w:pageBreakBefore/>
    </w:pPr>
  </w:style>
  <w:style w:type="paragraph" w:customStyle="1" w:styleId="Border">
    <w:name w:val="Border"/>
    <w:basedOn w:val="Normal"/>
    <w:qFormat/>
    <w:rsid w:val="007D53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5333"/>
    <w:rPr>
      <w:b/>
      <w:bCs/>
      <w:i/>
      <w:iCs/>
      <w:color w:val="auto"/>
    </w:rPr>
  </w:style>
  <w:style w:type="paragraph" w:styleId="IntenseQuote">
    <w:name w:val="Intense Quote"/>
    <w:basedOn w:val="Normal"/>
    <w:next w:val="Normal"/>
    <w:link w:val="IntenseQuoteChar"/>
    <w:uiPriority w:val="30"/>
    <w:qFormat/>
    <w:rsid w:val="007D53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53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5333"/>
    <w:rPr>
      <w:smallCaps/>
      <w:color w:val="auto"/>
      <w:u w:val="single"/>
    </w:rPr>
  </w:style>
  <w:style w:type="character" w:styleId="IntenseReference">
    <w:name w:val="Intense Reference"/>
    <w:basedOn w:val="DefaultParagraphFont"/>
    <w:uiPriority w:val="32"/>
    <w:qFormat/>
    <w:rsid w:val="007D5333"/>
    <w:rPr>
      <w:b/>
      <w:bCs/>
      <w:smallCaps/>
      <w:color w:val="auto"/>
      <w:spacing w:val="5"/>
      <w:u w:val="single"/>
    </w:rPr>
  </w:style>
  <w:style w:type="paragraph" w:customStyle="1" w:styleId="2ColumnHeading">
    <w:name w:val="2Column Heading"/>
    <w:basedOn w:val="BodyText"/>
    <w:qFormat/>
    <w:rsid w:val="007D5333"/>
    <w:pPr>
      <w:spacing w:after="60"/>
      <w:ind w:left="-2268"/>
    </w:pPr>
    <w:rPr>
      <w:b/>
    </w:rPr>
  </w:style>
  <w:style w:type="paragraph" w:customStyle="1" w:styleId="Heading1TOC">
    <w:name w:val="Heading1 TOC"/>
    <w:basedOn w:val="Normal"/>
    <w:qFormat/>
    <w:rsid w:val="007D5333"/>
    <w:pPr>
      <w:spacing w:before="240" w:after="120"/>
    </w:pPr>
    <w:rPr>
      <w:rFonts w:ascii="Times New Roman" w:hAnsi="Times New Roman"/>
      <w:b/>
      <w:sz w:val="32"/>
    </w:rPr>
  </w:style>
  <w:style w:type="paragraph" w:customStyle="1" w:styleId="Heading2TOC">
    <w:name w:val="Heading2 TOC"/>
    <w:basedOn w:val="Normal"/>
    <w:qFormat/>
    <w:rsid w:val="007D5333"/>
    <w:pPr>
      <w:spacing w:before="240" w:after="60"/>
    </w:pPr>
    <w:rPr>
      <w:rFonts w:ascii="Times New Roman" w:hAnsi="Times New Roman"/>
      <w:b/>
      <w:sz w:val="28"/>
    </w:rPr>
  </w:style>
  <w:style w:type="character" w:customStyle="1" w:styleId="Underline">
    <w:name w:val="Underline"/>
    <w:basedOn w:val="DefaultParagraphFont"/>
    <w:qFormat/>
    <w:rsid w:val="007D5333"/>
    <w:rPr>
      <w:u w:val="single"/>
    </w:rPr>
  </w:style>
  <w:style w:type="character" w:customStyle="1" w:styleId="BoldandItalics">
    <w:name w:val="Bold and Italics"/>
    <w:qFormat/>
    <w:rsid w:val="007D5333"/>
    <w:rPr>
      <w:b/>
      <w:i/>
      <w:u w:val="none"/>
    </w:rPr>
  </w:style>
  <w:style w:type="paragraph" w:styleId="BalloonText">
    <w:name w:val="Balloon Text"/>
    <w:basedOn w:val="Normal"/>
    <w:link w:val="BalloonTextChar"/>
    <w:rsid w:val="007D5333"/>
    <w:rPr>
      <w:rFonts w:ascii="Tahoma" w:hAnsi="Tahoma" w:cs="Tahoma"/>
      <w:sz w:val="16"/>
      <w:szCs w:val="16"/>
    </w:rPr>
  </w:style>
  <w:style w:type="character" w:customStyle="1" w:styleId="BalloonTextChar">
    <w:name w:val="Balloon Text Char"/>
    <w:basedOn w:val="DefaultParagraphFont"/>
    <w:link w:val="BalloonText"/>
    <w:rsid w:val="007D53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53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53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5333"/>
    <w:rPr>
      <w:b/>
      <w:color w:val="660033"/>
      <w:spacing w:val="0"/>
    </w:rPr>
  </w:style>
  <w:style w:type="paragraph" w:customStyle="1" w:styleId="Nameditemlist">
    <w:name w:val="Named item list"/>
    <w:basedOn w:val="BodyText"/>
    <w:qFormat/>
    <w:rsid w:val="007D5333"/>
    <w:pPr>
      <w:tabs>
        <w:tab w:val="left" w:pos="2835"/>
      </w:tabs>
      <w:ind w:left="2835" w:hanging="2835"/>
    </w:pPr>
  </w:style>
  <w:style w:type="paragraph" w:customStyle="1" w:styleId="BodyTextnopadding">
    <w:name w:val="Body Text no padding"/>
    <w:basedOn w:val="BodyText"/>
    <w:qFormat/>
    <w:rsid w:val="007D5333"/>
    <w:pPr>
      <w:spacing w:before="0" w:after="0"/>
    </w:pPr>
  </w:style>
  <w:style w:type="paragraph" w:customStyle="1" w:styleId="BodyTextBold">
    <w:name w:val="Body Text Bold"/>
    <w:basedOn w:val="BodyText"/>
    <w:qFormat/>
    <w:rsid w:val="007D5333"/>
    <w:rPr>
      <w:b/>
    </w:rPr>
  </w:style>
  <w:style w:type="character" w:styleId="Hyperlink">
    <w:name w:val="Hyperlink"/>
    <w:basedOn w:val="DefaultParagraphFont"/>
    <w:uiPriority w:val="99"/>
    <w:unhideWhenUsed/>
    <w:rsid w:val="00FA02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1339</Words>
  <Characters>8776</Characters>
  <Application>Microsoft Office Word</Application>
  <DocSecurity>0</DocSecurity>
  <Lines>365</Lines>
  <Paragraphs>219</Paragraphs>
  <ScaleCrop>false</ScaleCrop>
  <Company>Author-it Software Corporation Ltd.</Company>
  <LinksUpToDate>false</LinksUpToDate>
  <CharactersWithSpaces>9896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MARA001 Contribute to safe cargo operations on liquefied gas tankers</dc:title>
  <dc:subject>Approved</dc:subject>
  <dc:creator>Industry Skills Australia</dc:creator>
  <cp:keywords>Release: 1</cp:keywords>
  <dc:description>Review Date: 12 April 2008</dc:description>
  <cp:lastModifiedBy>HSD_TPCMSd.prod</cp:lastModifiedBy>
  <cp:revision>3</cp:revision>
  <dcterms:created xsi:type="dcterms:W3CDTF">2025-03-01T11:39:00Z</dcterms:created>
  <dcterms:modified xsi:type="dcterms:W3CDTF">2025-03-01T11:39:00Z</dcterms:modified>
</cp:coreProperties>
</file>