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AD0" w:rsidP="00A11AD0">
      <w:pPr>
        <w:pStyle w:val="Title"/>
      </w:pPr>
      <w:r>
        <w:fldChar w:fldCharType="begin"/>
      </w:r>
      <w:r>
        <w:instrText xml:space="preserve"> TITLE   \* MERGEFORMAT </w:instrText>
      </w:r>
      <w:r>
        <w:fldChar w:fldCharType="separate"/>
      </w:r>
      <w:r>
        <w:t>Assessment Requirements for MARA001 Contribute to safe cargo operations on liquefied gas tankers</w:t>
      </w:r>
      <w:r>
        <w:fldChar w:fldCharType="end"/>
      </w:r>
    </w:p>
    <w:p w:rsidR="00A11AD0" w:rsidP="00A11AD0">
      <w:pPr>
        <w:pStyle w:val="Version"/>
        <w:sectPr w:rsidSect="00AE4A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A75" w:rsidP="00AE4A75">
      <w:pPr>
        <w:pStyle w:val="SuperHeading"/>
      </w:pPr>
      <w:r w:rsidRPr="00AE4A75">
        <w:t xml:space="preserve">Assessment Requirements for MARA001 Contribute to safe </w:t>
      </w:r>
      <w:r w:rsidRPr="00AE4A75">
        <w:t>cargo operations on liquefied gas tankers</w:t>
      </w:r>
    </w:p>
    <w:p w:rsidR="00000000" w:rsidRPr="00AE4A75" w:rsidP="00AE4A75">
      <w:pPr>
        <w:pStyle w:val="Heading1"/>
      </w:pPr>
      <w:bookmarkStart w:id="1" w:name="O_595207"/>
      <w:bookmarkEnd w:id="1"/>
      <w:r w:rsidRPr="00AE4A75">
        <w:t>Modification History</w:t>
      </w:r>
    </w:p>
    <w:p w:rsidR="00000000" w:rsidRPr="00AE4A75" w:rsidP="00A11AD0">
      <w:pPr>
        <w:pStyle w:val="BodyText"/>
      </w:pPr>
      <w:r w:rsidRPr="00AE4A75">
        <w:t>Release 1. New unit of competency.</w:t>
      </w:r>
    </w:p>
    <w:p w:rsidR="00000000" w:rsidRPr="00AE4A75" w:rsidP="00AE4A75">
      <w:pPr>
        <w:pStyle w:val="Heading1"/>
      </w:pPr>
      <w:bookmarkStart w:id="2" w:name="O_595208"/>
      <w:bookmarkEnd w:id="2"/>
      <w:r w:rsidRPr="00AE4A75">
        <w:t>Performance Evidence</w:t>
      </w:r>
    </w:p>
    <w:p w:rsidR="00000000" w:rsidRPr="00AE4A75" w:rsidP="00A11AD0">
      <w:pPr>
        <w:pStyle w:val="BodyText"/>
      </w:pPr>
      <w:r w:rsidRPr="00AE4A75">
        <w:t>Evidence required to demonstrate competence in this unit must be relevant to and satisfy all of the requirements of the elements and performance criteria on at least one occasion and include:</w:t>
      </w:r>
    </w:p>
    <w:p w:rsidR="00000000" w:rsidRPr="00AE4A75" w:rsidP="00AE4A75">
      <w:pPr>
        <w:pStyle w:val="ListBullet"/>
      </w:pPr>
      <w:r w:rsidRPr="00AE4A75">
        <w:t>communicating clearly and effectively</w:t>
      </w:r>
    </w:p>
    <w:p w:rsidR="00000000" w:rsidRPr="00AE4A75" w:rsidP="00AE4A75">
      <w:pPr>
        <w:pStyle w:val="ListBullet"/>
      </w:pPr>
      <w:r w:rsidRPr="00AE4A75">
        <w:t>correctly identifying saf</w:t>
      </w:r>
      <w:r w:rsidRPr="00AE4A75">
        <w:t>ety data sheets (SDS)/material safety data sheets (MSDS), relevant cargo-related hazards to vessel and to personnel, and taking appropriate action according to organisational procedures</w:t>
      </w:r>
    </w:p>
    <w:p w:rsidR="00000000" w:rsidRPr="00AE4A75" w:rsidP="00AE4A75">
      <w:pPr>
        <w:pStyle w:val="ListBullet"/>
      </w:pPr>
      <w:r w:rsidRPr="00AE4A75">
        <w:t>ensuring cargo operations are carried out according to accepted princi</w:t>
      </w:r>
      <w:r w:rsidRPr="00AE4A75">
        <w:t>ples and procedures to ensure safety of operations</w:t>
      </w:r>
    </w:p>
    <w:p w:rsidR="00000000" w:rsidRPr="00AE4A75" w:rsidP="00AE4A75">
      <w:pPr>
        <w:pStyle w:val="ListBullet"/>
      </w:pPr>
      <w:r w:rsidRPr="00AE4A75">
        <w:t>identifying and acting on becoming aware of a hazardous situation, according to organisational procedures</w:t>
      </w:r>
    </w:p>
    <w:p w:rsidR="00000000" w:rsidRPr="00AE4A75" w:rsidP="00AE4A75">
      <w:pPr>
        <w:pStyle w:val="ListBullet"/>
      </w:pPr>
      <w:r w:rsidRPr="00AE4A75">
        <w:t>interpreting and applying knowledge of liquefied gas tanker layouts, tanker cargo features, charact</w:t>
      </w:r>
      <w:r w:rsidRPr="00AE4A75">
        <w:t>eristics and hazards, and related hazard prevention strategies to duties on various types of liquefied gas tankers</w:t>
      </w:r>
    </w:p>
    <w:p w:rsidR="00000000" w:rsidRPr="00AE4A75" w:rsidP="00AE4A75">
      <w:pPr>
        <w:pStyle w:val="ListBullet"/>
      </w:pPr>
      <w:r w:rsidRPr="00AE4A75">
        <w:t>reading and interpreting SDS/MSDS</w:t>
      </w:r>
    </w:p>
    <w:p w:rsidR="00000000" w:rsidRPr="00AE4A75" w:rsidP="00AE4A75">
      <w:pPr>
        <w:pStyle w:val="ListBullet"/>
      </w:pPr>
      <w:r w:rsidRPr="00AE4A75">
        <w:t>recognising problems and hazards that can arise when managing safety on a liquefied gas tanker, taking appr</w:t>
      </w:r>
      <w:r w:rsidRPr="00AE4A75">
        <w:t>opriate remedial action and initiating appropriate solutions.</w:t>
      </w:r>
    </w:p>
    <w:p w:rsidR="00000000" w:rsidRPr="00AE4A75" w:rsidP="00AE4A75">
      <w:pPr>
        <w:pStyle w:val="AllowPageBreak"/>
      </w:pPr>
    </w:p>
    <w:p w:rsidR="00000000" w:rsidRPr="00AE4A75" w:rsidP="00AE4A75">
      <w:pPr>
        <w:pStyle w:val="Heading1"/>
      </w:pPr>
      <w:bookmarkStart w:id="3" w:name="O_595209"/>
      <w:bookmarkEnd w:id="3"/>
      <w:r w:rsidRPr="00AE4A75">
        <w:t>Knowledge Evidence</w:t>
      </w:r>
    </w:p>
    <w:p w:rsidR="00000000" w:rsidRPr="00AE4A75" w:rsidP="00A11AD0">
      <w:pPr>
        <w:pStyle w:val="BodyText"/>
      </w:pPr>
      <w:r w:rsidRPr="00AE4A75">
        <w:t xml:space="preserve">Evidence required to demonstrate competence in this unit must be relevant to and satisfy all of the requirements of the elements and performance criteria and </w:t>
      </w:r>
      <w:r w:rsidRPr="00AE4A75">
        <w:t>include knowledge of:</w:t>
      </w:r>
    </w:p>
    <w:p w:rsidR="00000000" w:rsidRPr="00AE4A75" w:rsidP="00AE4A75">
      <w:pPr>
        <w:pStyle w:val="ListBullet"/>
      </w:pPr>
      <w:r w:rsidRPr="00AE4A75">
        <w:t>anti-static measures in hazard control</w:t>
      </w:r>
    </w:p>
    <w:p w:rsidR="00000000" w:rsidRPr="00AE4A75" w:rsidP="00AE4A75">
      <w:pPr>
        <w:pStyle w:val="ListBullet"/>
      </w:pPr>
      <w:r w:rsidRPr="00AE4A75">
        <w:t>atmospheric control</w:t>
      </w:r>
    </w:p>
    <w:p w:rsidR="00000000" w:rsidRPr="00AE4A75" w:rsidP="00AE4A75">
      <w:pPr>
        <w:pStyle w:val="ListBullet"/>
      </w:pPr>
      <w:r w:rsidRPr="00AE4A75">
        <w:t>cargo handling equipment</w:t>
      </w:r>
    </w:p>
    <w:p w:rsidR="00000000" w:rsidRPr="00AE4A75" w:rsidP="00AE4A75">
      <w:pPr>
        <w:pStyle w:val="ListBullet"/>
      </w:pPr>
      <w:r w:rsidRPr="00AE4A75">
        <w:t>cargo inhibition in hazard control</w:t>
      </w:r>
    </w:p>
    <w:p w:rsidR="00000000" w:rsidRPr="00AE4A75" w:rsidP="00AE4A75">
      <w:pPr>
        <w:pStyle w:val="ListBullet"/>
      </w:pPr>
      <w:r w:rsidRPr="00AE4A75">
        <w:t>corrosion hazards associated with tanker operations</w:t>
      </w:r>
    </w:p>
    <w:p w:rsidR="00000000" w:rsidRPr="00AE4A75" w:rsidP="00AE4A75">
      <w:pPr>
        <w:pStyle w:val="ListBullet"/>
      </w:pPr>
      <w:r w:rsidRPr="00AE4A75">
        <w:t>emergency shut-down system (ESD)</w:t>
      </w:r>
    </w:p>
    <w:p w:rsidR="00000000" w:rsidRPr="00AE4A75" w:rsidP="00AE4A75">
      <w:pPr>
        <w:pStyle w:val="ListBullet"/>
      </w:pPr>
      <w:r w:rsidRPr="00AE4A75">
        <w:t>environmental hazards associated with tanker operations</w:t>
      </w:r>
    </w:p>
    <w:p w:rsidR="00000000" w:rsidRPr="00AE4A75" w:rsidP="00AE4A75">
      <w:pPr>
        <w:pStyle w:val="ListBullet"/>
      </w:pPr>
      <w:r w:rsidRPr="00AE4A75">
        <w:t>explosion and flammability hazards associated with tanker operations</w:t>
      </w:r>
    </w:p>
    <w:p w:rsidR="00000000" w:rsidRPr="00AE4A75" w:rsidP="00AE4A75">
      <w:pPr>
        <w:pStyle w:val="ListBullet"/>
      </w:pPr>
      <w:r w:rsidRPr="00AE4A75">
        <w:t>extremely low temperatures associated with tanker operations</w:t>
      </w:r>
    </w:p>
    <w:p w:rsidR="00000000" w:rsidRPr="00AE4A75" w:rsidP="00AE4A75">
      <w:pPr>
        <w:pStyle w:val="ListBullet"/>
      </w:pPr>
      <w:r w:rsidRPr="00AE4A75">
        <w:t>gas testing</w:t>
      </w:r>
    </w:p>
    <w:p w:rsidR="00000000" w:rsidRPr="00AE4A75" w:rsidP="00AE4A75">
      <w:pPr>
        <w:pStyle w:val="ListBullet"/>
      </w:pPr>
      <w:r w:rsidRPr="00AE4A75">
        <w:t>general arrangement and construction of liquefied gas tank</w:t>
      </w:r>
      <w:r w:rsidRPr="00AE4A75">
        <w:t>ers</w:t>
      </w:r>
    </w:p>
    <w:p w:rsidR="00000000" w:rsidRPr="00AE4A75" w:rsidP="00AE4A75">
      <w:pPr>
        <w:pStyle w:val="ListBullet"/>
      </w:pPr>
      <w:r w:rsidRPr="00AE4A75">
        <w:t>health hazards associated with tanker operations</w:t>
      </w:r>
    </w:p>
    <w:p w:rsidR="00000000" w:rsidRPr="00AE4A75" w:rsidP="00AE4A75">
      <w:pPr>
        <w:pStyle w:val="ListBullet"/>
      </w:pPr>
      <w:r w:rsidRPr="00AE4A75">
        <w:t>importance of cargo compatibility</w:t>
      </w:r>
    </w:p>
    <w:p w:rsidR="00000000" w:rsidRPr="00AE4A75" w:rsidP="00AE4A75">
      <w:pPr>
        <w:pStyle w:val="ListBullet"/>
      </w:pPr>
      <w:r w:rsidRPr="00AE4A75">
        <w:t>inerting, drying and monitoring techniques in hazard control</w:t>
      </w:r>
    </w:p>
    <w:p w:rsidR="00000000" w:rsidRPr="00AE4A75" w:rsidP="00AE4A75">
      <w:pPr>
        <w:pStyle w:val="ListBullet"/>
      </w:pPr>
      <w:r w:rsidRPr="00AE4A75">
        <w:t>information on a SDS/MSDS</w:t>
      </w:r>
    </w:p>
    <w:p w:rsidR="00000000" w:rsidRPr="00AE4A75" w:rsidP="00AE4A75">
      <w:pPr>
        <w:pStyle w:val="ListBullet"/>
      </w:pPr>
      <w:r w:rsidRPr="00AE4A75">
        <w:t>loading, unloading and care in transit</w:t>
      </w:r>
    </w:p>
    <w:p w:rsidR="00000000" w:rsidRPr="00AE4A75" w:rsidP="00AE4A75">
      <w:pPr>
        <w:pStyle w:val="ListBullet"/>
      </w:pPr>
      <w:r w:rsidRPr="00AE4A75">
        <w:t>piping systems and valves</w:t>
      </w:r>
    </w:p>
    <w:p w:rsidR="00000000" w:rsidRPr="00AE4A75" w:rsidP="00AE4A75">
      <w:pPr>
        <w:pStyle w:val="ListBullet"/>
      </w:pPr>
      <w:r w:rsidRPr="00AE4A75">
        <w:t>pressure and temp</w:t>
      </w:r>
      <w:r w:rsidRPr="00AE4A75">
        <w:t>erature, including vapour pressure/temperature relationship</w:t>
      </w:r>
    </w:p>
    <w:p w:rsidR="00000000" w:rsidRPr="00AE4A75" w:rsidP="00AE4A75">
      <w:pPr>
        <w:pStyle w:val="ListBullet"/>
      </w:pPr>
      <w:r w:rsidRPr="00AE4A75">
        <w:t>pressure hazards associated with tanker operations</w:t>
      </w:r>
    </w:p>
    <w:p w:rsidR="00000000" w:rsidRPr="00AE4A75" w:rsidP="00AE4A75">
      <w:pPr>
        <w:pStyle w:val="ListBullet"/>
      </w:pPr>
      <w:r w:rsidRPr="00AE4A75">
        <w:t>properties and characteristics of liquefied gas</w:t>
      </w:r>
    </w:p>
    <w:p w:rsidR="00000000" w:rsidRPr="00AE4A75" w:rsidP="00AE4A75">
      <w:pPr>
        <w:pStyle w:val="ListBullet"/>
      </w:pPr>
      <w:r w:rsidRPr="00AE4A75">
        <w:t>reactivity hazards associated with tanker operations</w:t>
      </w:r>
    </w:p>
    <w:p w:rsidR="00000000" w:rsidRPr="00AE4A75" w:rsidP="00AE4A75">
      <w:pPr>
        <w:pStyle w:val="ListBullet"/>
      </w:pPr>
      <w:r w:rsidRPr="00AE4A75">
        <w:t>relevant chemical symbols</w:t>
      </w:r>
    </w:p>
    <w:p w:rsidR="00000000" w:rsidRPr="00AE4A75" w:rsidP="00AE4A75">
      <w:pPr>
        <w:pStyle w:val="ListBullet"/>
      </w:pPr>
      <w:r w:rsidRPr="00AE4A75">
        <w:t>relevant firefight</w:t>
      </w:r>
      <w:r w:rsidRPr="00AE4A75">
        <w:t>ing operations and the use of firefighting installations</w:t>
      </w:r>
    </w:p>
    <w:p w:rsidR="00000000" w:rsidRPr="00AE4A75" w:rsidP="00AE4A75">
      <w:pPr>
        <w:pStyle w:val="ListBullet"/>
      </w:pPr>
      <w:r w:rsidRPr="00AE4A75">
        <w:t>segregation in hazard control</w:t>
      </w:r>
    </w:p>
    <w:p w:rsidR="00000000" w:rsidRPr="00AE4A75" w:rsidP="00AE4A75">
      <w:pPr>
        <w:pStyle w:val="ListBullet"/>
      </w:pPr>
      <w:r w:rsidRPr="00AE4A75">
        <w:t>sources of ignition associated with tanker operations</w:t>
      </w:r>
    </w:p>
    <w:p w:rsidR="00000000" w:rsidRPr="00AE4A75" w:rsidP="00AE4A75">
      <w:pPr>
        <w:pStyle w:val="ListBullet"/>
      </w:pPr>
      <w:r w:rsidRPr="00AE4A75">
        <w:t>tanker cleaning, purging, gas-freeing and inerting</w:t>
      </w:r>
    </w:p>
    <w:p w:rsidR="00000000" w:rsidRPr="00AE4A75" w:rsidP="00AE4A75">
      <w:pPr>
        <w:pStyle w:val="ListBullet"/>
      </w:pPr>
      <w:r w:rsidRPr="00AE4A75">
        <w:t>tanker safety culture and safety management</w:t>
      </w:r>
    </w:p>
    <w:p w:rsidR="00000000" w:rsidRPr="00AE4A75" w:rsidP="00AE4A75">
      <w:pPr>
        <w:pStyle w:val="ListBullet"/>
      </w:pPr>
      <w:r w:rsidRPr="00AE4A75">
        <w:t>types of electrostatic charge generation</w:t>
      </w:r>
    </w:p>
    <w:p w:rsidR="00000000" w:rsidRPr="00AE4A75" w:rsidP="00AE4A75">
      <w:pPr>
        <w:pStyle w:val="ListBullet"/>
      </w:pPr>
      <w:r w:rsidRPr="00AE4A75">
        <w:t>types of liquefied gas tankers</w:t>
      </w:r>
    </w:p>
    <w:p w:rsidR="00000000" w:rsidRPr="00AE4A75" w:rsidP="00AE4A75">
      <w:pPr>
        <w:pStyle w:val="ListBullet"/>
      </w:pPr>
      <w:r w:rsidRPr="00AE4A75">
        <w:t>vapour leaks and clouds associated with tanker operations</w:t>
      </w:r>
    </w:p>
    <w:p w:rsidR="00000000" w:rsidRPr="00AE4A75" w:rsidP="00AE4A75">
      <w:pPr>
        <w:pStyle w:val="ListBullet"/>
      </w:pPr>
      <w:r w:rsidRPr="00AE4A75">
        <w:t>ventilation in hazard control</w:t>
      </w:r>
    </w:p>
    <w:p w:rsidR="00000000" w:rsidRPr="00AE4A75" w:rsidP="00AE4A75">
      <w:pPr>
        <w:pStyle w:val="ListBullet"/>
      </w:pPr>
      <w:r w:rsidRPr="00AE4A75">
        <w:t>work health and safety (WHS)/occupational health and safety (OHS) requirements and work practice</w:t>
      </w:r>
      <w:r w:rsidRPr="00AE4A75">
        <w:t>s.</w:t>
      </w:r>
    </w:p>
    <w:p w:rsidR="00000000" w:rsidRPr="00AE4A75" w:rsidP="00AE4A75">
      <w:pPr>
        <w:pStyle w:val="AllowPageBreak"/>
      </w:pPr>
    </w:p>
    <w:p w:rsidR="00000000" w:rsidRPr="00AE4A75" w:rsidP="00AE4A75">
      <w:pPr>
        <w:pStyle w:val="Heading1"/>
      </w:pPr>
      <w:bookmarkStart w:id="4" w:name="O_595210"/>
      <w:bookmarkEnd w:id="4"/>
      <w:r w:rsidRPr="00AE4A75">
        <w:t>Assessment Conditions</w:t>
      </w:r>
    </w:p>
    <w:p w:rsidR="00000000" w:rsidRPr="00AE4A75" w:rsidP="00A11AD0">
      <w:pPr>
        <w:pStyle w:val="BodyText"/>
      </w:pPr>
      <w:r w:rsidRPr="00AE4A75">
        <w:t>Assessors must satisfy National Vocational Education and Training Regulator (NVR)/Australian Quality Training Framework (AQTF) assessor requirements.</w:t>
      </w:r>
    </w:p>
    <w:p w:rsidR="00000000" w:rsidRPr="00AE4A75" w:rsidP="00A11AD0">
      <w:pPr>
        <w:pStyle w:val="BodyText"/>
      </w:pPr>
      <w:r w:rsidRPr="00AE4A75">
        <w:t>Assessment must occur in workplace operational situations where</w:t>
      </w:r>
      <w:r w:rsidRPr="00AE4A75">
        <w:t xml:space="preserve"> it is appropriate to do so; where this is not appropriate, assessment must occur in simulated workplace operational situations that reflect workplace conditions.</w:t>
      </w:r>
    </w:p>
    <w:p w:rsidR="00000000" w:rsidRPr="00AE4A75" w:rsidP="00A11AD0">
      <w:pPr>
        <w:pStyle w:val="BodyText"/>
      </w:pPr>
      <w:r w:rsidRPr="00AE4A75">
        <w:t>Assessment processes and techniques must be appropriate to the language, literacy and numera</w:t>
      </w:r>
      <w:r w:rsidRPr="00AE4A75">
        <w:t>cy requirements of the work being performed and the needs of the candidate.</w:t>
      </w:r>
    </w:p>
    <w:p w:rsidR="00000000" w:rsidRPr="00AE4A75" w:rsidP="00A11AD0">
      <w:pPr>
        <w:pStyle w:val="BodyText"/>
      </w:pPr>
      <w:r w:rsidRPr="00AE4A75">
        <w:t>Resources for assessment must include access to:</w:t>
      </w:r>
    </w:p>
    <w:p w:rsidR="00000000" w:rsidRPr="00AE4A75" w:rsidP="00AE4A75">
      <w:pPr>
        <w:pStyle w:val="ListBullet"/>
      </w:pPr>
      <w:r w:rsidRPr="00AE4A75">
        <w:t>tools, equipment, machinery, materials and personal protective equipment currently used in industry</w:t>
      </w:r>
    </w:p>
    <w:p w:rsidR="00000000" w:rsidRPr="00AE4A75" w:rsidP="00AE4A75">
      <w:pPr>
        <w:pStyle w:val="ListBullet"/>
      </w:pPr>
      <w:r w:rsidRPr="00AE4A75">
        <w:t>applicable documentation such</w:t>
      </w:r>
      <w:r w:rsidRPr="00AE4A75">
        <w:t xml:space="preserve"> as legislation, regulations, codes of practice, workplace procedures and operational manuals </w:t>
      </w:r>
    </w:p>
    <w:p w:rsidR="00000000" w:rsidRPr="00AE4A75" w:rsidP="00AE4A75">
      <w:pPr>
        <w:pStyle w:val="ListBullet"/>
      </w:pPr>
      <w:r w:rsidRPr="00AE4A75">
        <w:t>range of relevant exercises, case studies and/or simulations.</w:t>
      </w:r>
    </w:p>
    <w:p w:rsidR="00000000" w:rsidRPr="00AE4A75" w:rsidP="00AE4A75">
      <w:pPr>
        <w:pStyle w:val="AllowPageBreak"/>
      </w:pPr>
    </w:p>
    <w:p w:rsidR="00000000" w:rsidRPr="00AE4A75" w:rsidP="00AE4A75">
      <w:pPr>
        <w:pStyle w:val="Heading1"/>
      </w:pPr>
      <w:bookmarkStart w:id="5" w:name="O_595213"/>
      <w:bookmarkEnd w:id="5"/>
      <w:r w:rsidRPr="00AE4A75">
        <w:t>Links</w:t>
      </w:r>
    </w:p>
    <w:p w:rsidR="00000000" w:rsidRPr="00AE4A75" w:rsidP="00A11AD0">
      <w:pPr>
        <w:pStyle w:val="BodyText"/>
      </w:pPr>
      <w:r w:rsidRPr="00AE4A7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33CAA">
        <w:rPr>
          <w:rStyle w:val="Hyperlink"/>
        </w:rPr>
        <w:t>https://vetnet.gov.au/Pages/TrainingDocs.aspx?q=772efb7b-4cce-47fe-9bbd-ee3b1d1eb4c2</w:t>
      </w:r>
      <w:r>
        <w:fldChar w:fldCharType="end"/>
      </w:r>
    </w:p>
    <w:p w:rsidR="00000000" w:rsidRPr="00AE4A75" w:rsidP="00AE4A75"/>
    <w:sectPr w:rsidSect="00AE4A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A75" w:rsidRPr="00A11AD0" w:rsidP="00A11A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D0" w:rsidP="00AE4A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1AD0" w:rsidP="00AE4A7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11AD0" w:rsidP="00AE4A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4A75" w:rsidRPr="00A11AD0" w:rsidP="00A11A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D0" w:rsidRPr="002D2AF8" w:rsidP="00AE4A75">
    <w:pPr>
      <w:pStyle w:val="Header"/>
      <w:framePr w:wrap="around"/>
    </w:pPr>
    <w:r>
      <w:fldChar w:fldCharType="begin"/>
    </w:r>
    <w:r>
      <w:instrText xml:space="preserve"> TITLE   \* MERGEFORMAT </w:instrText>
    </w:r>
    <w:r>
      <w:fldChar w:fldCharType="separate"/>
    </w:r>
    <w:r>
      <w:t>Assessment Requirements for MARA001 Contribute to safe cargo operations on liquefied gas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A11AD0" w:rsidP="00AE4A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E439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AE5C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A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A75"/>
    <w:pPr>
      <w:spacing w:before="360" w:after="60"/>
      <w:outlineLvl w:val="0"/>
    </w:pPr>
    <w:rPr>
      <w:sz w:val="32"/>
    </w:rPr>
  </w:style>
  <w:style w:type="paragraph" w:styleId="Heading2">
    <w:name w:val="heading 2"/>
    <w:basedOn w:val="HeadingBase"/>
    <w:next w:val="BodyText"/>
    <w:link w:val="Heading2Char"/>
    <w:qFormat/>
    <w:rsid w:val="00AE4A75"/>
    <w:pPr>
      <w:keepLines/>
      <w:spacing w:before="240" w:after="120"/>
      <w:outlineLvl w:val="1"/>
    </w:pPr>
    <w:rPr>
      <w:sz w:val="28"/>
      <w:szCs w:val="40"/>
    </w:rPr>
  </w:style>
  <w:style w:type="paragraph" w:styleId="Heading3">
    <w:name w:val="heading 3"/>
    <w:basedOn w:val="HeadingBase"/>
    <w:next w:val="BodyText"/>
    <w:link w:val="Heading3Char"/>
    <w:qFormat/>
    <w:rsid w:val="00AE4A75"/>
    <w:pPr>
      <w:spacing w:before="180" w:after="120"/>
      <w:outlineLvl w:val="2"/>
    </w:pPr>
    <w:rPr>
      <w:spacing w:val="-10"/>
      <w:kern w:val="32"/>
    </w:rPr>
  </w:style>
  <w:style w:type="paragraph" w:styleId="Heading4">
    <w:name w:val="heading 4"/>
    <w:basedOn w:val="HeadingBase"/>
    <w:next w:val="BodyText"/>
    <w:link w:val="Heading4Char"/>
    <w:qFormat/>
    <w:rsid w:val="00AE4A75"/>
    <w:pPr>
      <w:spacing w:before="160" w:after="120"/>
      <w:outlineLvl w:val="3"/>
    </w:pPr>
    <w:rPr>
      <w:sz w:val="22"/>
    </w:rPr>
  </w:style>
  <w:style w:type="paragraph" w:styleId="Heading5">
    <w:name w:val="heading 5"/>
    <w:basedOn w:val="HeadingBase"/>
    <w:next w:val="Normal"/>
    <w:link w:val="Heading5Char"/>
    <w:qFormat/>
    <w:rsid w:val="00AE4A75"/>
    <w:pPr>
      <w:spacing w:before="80"/>
      <w:outlineLvl w:val="4"/>
    </w:pPr>
    <w:rPr>
      <w:color w:val="918585"/>
      <w:sz w:val="20"/>
    </w:rPr>
  </w:style>
  <w:style w:type="paragraph" w:styleId="Heading6">
    <w:name w:val="heading 6"/>
    <w:basedOn w:val="HeadingBase"/>
    <w:next w:val="Normal"/>
    <w:link w:val="Heading6Char"/>
    <w:qFormat/>
    <w:rsid w:val="00AE4A75"/>
    <w:pPr>
      <w:spacing w:before="60"/>
      <w:outlineLvl w:val="5"/>
    </w:pPr>
    <w:rPr>
      <w:color w:val="918585"/>
      <w:sz w:val="20"/>
    </w:rPr>
  </w:style>
  <w:style w:type="paragraph" w:styleId="Heading7">
    <w:name w:val="heading 7"/>
    <w:basedOn w:val="Normal"/>
    <w:next w:val="Normal"/>
    <w:link w:val="Heading7Char"/>
    <w:qFormat/>
    <w:rsid w:val="00AE4A75"/>
    <w:pPr>
      <w:ind w:left="720"/>
      <w:outlineLvl w:val="6"/>
    </w:pPr>
    <w:rPr>
      <w:i/>
    </w:rPr>
  </w:style>
  <w:style w:type="paragraph" w:styleId="Heading8">
    <w:name w:val="heading 8"/>
    <w:basedOn w:val="Normal"/>
    <w:next w:val="Normal"/>
    <w:link w:val="Heading8Char"/>
    <w:qFormat/>
    <w:rsid w:val="00AE4A75"/>
    <w:pPr>
      <w:ind w:left="720"/>
      <w:outlineLvl w:val="7"/>
    </w:pPr>
    <w:rPr>
      <w:i/>
    </w:rPr>
  </w:style>
  <w:style w:type="paragraph" w:styleId="Heading9">
    <w:name w:val="heading 9"/>
    <w:basedOn w:val="Normal"/>
    <w:next w:val="Normal"/>
    <w:link w:val="Heading9Char"/>
    <w:qFormat/>
    <w:rsid w:val="00AE4A75"/>
    <w:pPr>
      <w:ind w:left="720"/>
      <w:outlineLvl w:val="8"/>
    </w:pPr>
    <w:rPr>
      <w:i/>
    </w:rPr>
  </w:style>
  <w:style w:type="character" w:default="1" w:styleId="DefaultParagraphFont">
    <w:name w:val="Default Paragraph Font"/>
    <w:uiPriority w:val="1"/>
    <w:unhideWhenUsed/>
    <w:rsid w:val="00AE4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A75"/>
  </w:style>
  <w:style w:type="character" w:customStyle="1" w:styleId="Heading1Char">
    <w:name w:val="Heading 1 Char"/>
    <w:basedOn w:val="DefaultParagraphFont"/>
    <w:link w:val="Heading1"/>
    <w:rsid w:val="00AE4A75"/>
    <w:rPr>
      <w:rFonts w:ascii="Times New Roman" w:eastAsia="Times New Roman" w:hAnsi="Times New Roman" w:cs="Times New Roman"/>
      <w:b/>
      <w:sz w:val="32"/>
      <w:szCs w:val="20"/>
      <w:lang w:eastAsia="en-US"/>
    </w:rPr>
  </w:style>
  <w:style w:type="paragraph" w:styleId="BodyText">
    <w:name w:val="Body Text"/>
    <w:basedOn w:val="Normal"/>
    <w:link w:val="BodyTextChar"/>
    <w:rsid w:val="00AE4A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4A75"/>
    <w:rPr>
      <w:rFonts w:ascii="Times New Roman" w:eastAsia="Times New Roman" w:hAnsi="Times New Roman" w:cs="Times New Roman"/>
      <w:sz w:val="24"/>
      <w:lang w:eastAsia="en-US"/>
    </w:rPr>
  </w:style>
  <w:style w:type="paragraph" w:styleId="ListBullet">
    <w:name w:val="List Bullet"/>
    <w:basedOn w:val="List"/>
    <w:rsid w:val="00AE4A75"/>
    <w:pPr>
      <w:numPr>
        <w:numId w:val="11"/>
      </w:numPr>
      <w:tabs>
        <w:tab w:val="clear" w:pos="340"/>
      </w:tabs>
      <w:spacing w:before="40" w:after="40"/>
    </w:pPr>
  </w:style>
  <w:style w:type="paragraph" w:customStyle="1" w:styleId="SuperHeading">
    <w:name w:val="SuperHeading"/>
    <w:basedOn w:val="Normal"/>
    <w:rsid w:val="00AE4A75"/>
    <w:pPr>
      <w:spacing w:before="240" w:after="120"/>
      <w:outlineLvl w:val="0"/>
    </w:pPr>
    <w:rPr>
      <w:rFonts w:ascii="Times New Roman" w:hAnsi="Times New Roman"/>
      <w:b/>
      <w:sz w:val="32"/>
    </w:rPr>
  </w:style>
  <w:style w:type="paragraph" w:customStyle="1" w:styleId="AllowPageBreak">
    <w:name w:val="AllowPageBreak"/>
    <w:rsid w:val="00AE4A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4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A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A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A75"/>
    <w:rPr>
      <w:rFonts w:ascii="Courier New" w:eastAsia="Times New Roman" w:hAnsi="Courier New" w:cs="Times New Roman"/>
      <w:i/>
      <w:szCs w:val="20"/>
      <w:lang w:eastAsia="en-US"/>
    </w:rPr>
  </w:style>
  <w:style w:type="paragraph" w:customStyle="1" w:styleId="HeadingBase">
    <w:name w:val="Heading Base"/>
    <w:rsid w:val="00AE4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A75"/>
    <w:pPr>
      <w:tabs>
        <w:tab w:val="right" w:leader="dot" w:pos="9072"/>
      </w:tabs>
      <w:ind w:left="567"/>
    </w:pPr>
    <w:rPr>
      <w:szCs w:val="22"/>
    </w:rPr>
  </w:style>
  <w:style w:type="paragraph" w:customStyle="1" w:styleId="TOCBase">
    <w:name w:val="TOC Base"/>
    <w:rsid w:val="00AE4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A75"/>
    <w:pPr>
      <w:tabs>
        <w:tab w:val="right" w:leader="dot" w:pos="9072"/>
      </w:tabs>
      <w:spacing w:before="40" w:after="40"/>
      <w:ind w:left="284"/>
    </w:pPr>
    <w:rPr>
      <w:rFonts w:ascii="Times New Roman" w:hAnsi="Times New Roman"/>
    </w:rPr>
  </w:style>
  <w:style w:type="paragraph" w:styleId="TOC1">
    <w:name w:val="toc 1"/>
    <w:basedOn w:val="TOCBase"/>
    <w:next w:val="Normal"/>
    <w:rsid w:val="00AE4A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A75"/>
    <w:rPr>
      <w:rFonts w:ascii="Times New Roman" w:eastAsia="Times New Roman" w:hAnsi="Times New Roman" w:cs="Times New Roman"/>
      <w:sz w:val="16"/>
      <w:lang w:eastAsia="en-US"/>
    </w:rPr>
  </w:style>
  <w:style w:type="paragraph" w:styleId="Title">
    <w:name w:val="Title"/>
    <w:basedOn w:val="HeadingBase"/>
    <w:link w:val="TitleChar"/>
    <w:qFormat/>
    <w:rsid w:val="00AE4A75"/>
    <w:pPr>
      <w:spacing w:before="5040"/>
      <w:jc w:val="center"/>
    </w:pPr>
    <w:rPr>
      <w:sz w:val="48"/>
      <w:szCs w:val="72"/>
      <w:lang w:val="en-US"/>
    </w:rPr>
  </w:style>
  <w:style w:type="character" w:customStyle="1" w:styleId="TitleChar">
    <w:name w:val="Title Char"/>
    <w:basedOn w:val="DefaultParagraphFont"/>
    <w:link w:val="Title"/>
    <w:rsid w:val="00AE4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A75"/>
    <w:pPr>
      <w:tabs>
        <w:tab w:val="left" w:pos="3600"/>
        <w:tab w:val="left" w:pos="3958"/>
      </w:tabs>
    </w:pPr>
  </w:style>
  <w:style w:type="paragraph" w:styleId="List">
    <w:name w:val="List"/>
    <w:basedOn w:val="BodyText"/>
    <w:next w:val="BodyText"/>
    <w:rsid w:val="00AE4A75"/>
    <w:pPr>
      <w:tabs>
        <w:tab w:val="left" w:pos="340"/>
      </w:tabs>
      <w:spacing w:before="60" w:after="60"/>
      <w:ind w:left="340" w:hanging="340"/>
    </w:pPr>
  </w:style>
  <w:style w:type="paragraph" w:customStyle="1" w:styleId="Note">
    <w:name w:val="Note"/>
    <w:basedOn w:val="BodyText"/>
    <w:rsid w:val="00AE4A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4A75"/>
    <w:rPr>
      <w:b/>
      <w:spacing w:val="0"/>
    </w:rPr>
  </w:style>
  <w:style w:type="paragraph" w:customStyle="1" w:styleId="SuperTitle">
    <w:name w:val="SuperTitle"/>
    <w:basedOn w:val="Title"/>
    <w:rsid w:val="00AE4A75"/>
    <w:pPr>
      <w:framePr w:wrap="auto" w:hAnchor="text" w:y="6049"/>
    </w:pPr>
    <w:rPr>
      <w:color w:val="000000"/>
      <w:sz w:val="40"/>
    </w:rPr>
  </w:style>
  <w:style w:type="paragraph" w:customStyle="1" w:styleId="TOCTitle">
    <w:name w:val="TOCTitle"/>
    <w:basedOn w:val="Heading1"/>
    <w:rsid w:val="00AE4A75"/>
    <w:pPr>
      <w:spacing w:after="240"/>
      <w:jc w:val="center"/>
      <w:outlineLvl w:val="9"/>
    </w:pPr>
    <w:rPr>
      <w:caps/>
    </w:rPr>
  </w:style>
  <w:style w:type="paragraph" w:customStyle="1" w:styleId="Version">
    <w:name w:val="Version"/>
    <w:rsid w:val="00AE4A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4A75"/>
    <w:pPr>
      <w:numPr>
        <w:numId w:val="12"/>
      </w:numPr>
      <w:tabs>
        <w:tab w:val="clear" w:pos="680"/>
      </w:tabs>
    </w:pPr>
  </w:style>
  <w:style w:type="paragraph" w:styleId="Index1">
    <w:name w:val="index 1"/>
    <w:basedOn w:val="Normal"/>
    <w:next w:val="Normal"/>
    <w:semiHidden/>
    <w:rsid w:val="00AE4A75"/>
    <w:pPr>
      <w:keepNext w:val="0"/>
      <w:tabs>
        <w:tab w:val="right" w:pos="4176"/>
      </w:tabs>
      <w:ind w:left="198" w:hanging="198"/>
    </w:pPr>
    <w:rPr>
      <w:rFonts w:ascii="Garamond" w:hAnsi="Garamond"/>
    </w:rPr>
  </w:style>
  <w:style w:type="paragraph" w:styleId="IndexHeading">
    <w:name w:val="index heading"/>
    <w:basedOn w:val="Normal"/>
    <w:next w:val="Index1"/>
    <w:semiHidden/>
    <w:rsid w:val="00AE4A75"/>
    <w:pPr>
      <w:spacing w:before="120" w:after="120"/>
    </w:pPr>
    <w:rPr>
      <w:rFonts w:ascii="Arial" w:hAnsi="Arial"/>
      <w:b/>
      <w:color w:val="918585"/>
      <w:sz w:val="24"/>
    </w:rPr>
  </w:style>
  <w:style w:type="paragraph" w:styleId="Header">
    <w:name w:val="header"/>
    <w:basedOn w:val="Normal"/>
    <w:link w:val="HeaderChar"/>
    <w:rsid w:val="00AE4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A75"/>
    <w:rPr>
      <w:rFonts w:ascii="Times New Roman" w:eastAsia="Times New Roman" w:hAnsi="Times New Roman" w:cs="Times New Roman"/>
      <w:sz w:val="16"/>
      <w:szCs w:val="20"/>
      <w:lang w:val="en-GB" w:eastAsia="en-US"/>
    </w:rPr>
  </w:style>
  <w:style w:type="paragraph" w:customStyle="1" w:styleId="Chapter">
    <w:name w:val="Chapter"/>
    <w:basedOn w:val="Normal"/>
    <w:rsid w:val="00AE4A75"/>
    <w:pPr>
      <w:spacing w:before="240"/>
    </w:pPr>
    <w:rPr>
      <w:rFonts w:ascii="Times New Roman" w:hAnsi="Times New Roman"/>
      <w:smallCaps/>
      <w:spacing w:val="80"/>
      <w:sz w:val="28"/>
    </w:rPr>
  </w:style>
  <w:style w:type="paragraph" w:customStyle="1" w:styleId="InChapter">
    <w:name w:val="InChapter"/>
    <w:basedOn w:val="Heading3"/>
    <w:rsid w:val="00AE4A75"/>
    <w:pPr>
      <w:spacing w:after="240"/>
      <w:outlineLvl w:val="9"/>
    </w:pPr>
    <w:rPr>
      <w:noProof/>
    </w:rPr>
  </w:style>
  <w:style w:type="paragraph" w:styleId="Index2">
    <w:name w:val="index 2"/>
    <w:basedOn w:val="Normal"/>
    <w:next w:val="Normal"/>
    <w:semiHidden/>
    <w:rsid w:val="00AE4A75"/>
    <w:pPr>
      <w:tabs>
        <w:tab w:val="right" w:pos="4176"/>
      </w:tabs>
      <w:ind w:left="568" w:hanging="284"/>
    </w:pPr>
    <w:rPr>
      <w:rFonts w:ascii="Garamond" w:hAnsi="Garamond"/>
    </w:rPr>
  </w:style>
  <w:style w:type="paragraph" w:customStyle="1" w:styleId="Byline">
    <w:name w:val="Byline"/>
    <w:rsid w:val="00AE4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A75"/>
    <w:pPr>
      <w:tabs>
        <w:tab w:val="clear" w:pos="3600"/>
        <w:tab w:val="clear" w:pos="3958"/>
      </w:tabs>
      <w:jc w:val="right"/>
    </w:pPr>
  </w:style>
  <w:style w:type="character" w:styleId="Emphasis">
    <w:name w:val="Emphasis"/>
    <w:basedOn w:val="DefaultParagraphFont"/>
    <w:qFormat/>
    <w:rsid w:val="00AE4A75"/>
    <w:rPr>
      <w:i/>
    </w:rPr>
  </w:style>
  <w:style w:type="paragraph" w:styleId="Caption">
    <w:name w:val="caption"/>
    <w:basedOn w:val="BodyText"/>
    <w:next w:val="Normal"/>
    <w:qFormat/>
    <w:rsid w:val="00AE4A75"/>
    <w:pPr>
      <w:framePr w:w="2268" w:hSpace="181" w:vSpace="181" w:wrap="around" w:vAnchor="text" w:hAnchor="page" w:x="1135" w:y="285" w:anchorLock="1"/>
    </w:pPr>
    <w:rPr>
      <w:i/>
    </w:rPr>
  </w:style>
  <w:style w:type="paragraph" w:customStyle="1" w:styleId="MiniTOCTitle">
    <w:name w:val="MiniTOCTitle"/>
    <w:basedOn w:val="Heading4"/>
    <w:rsid w:val="00AE4A75"/>
    <w:pPr>
      <w:spacing w:before="240"/>
      <w:outlineLvl w:val="9"/>
    </w:pPr>
    <w:rPr>
      <w:noProof/>
      <w:sz w:val="24"/>
    </w:rPr>
  </w:style>
  <w:style w:type="paragraph" w:customStyle="1" w:styleId="MiniTOCItem">
    <w:name w:val="MiniTOCItem"/>
    <w:basedOn w:val="ListBullet"/>
    <w:rsid w:val="00AE4A75"/>
    <w:pPr>
      <w:numPr>
        <w:numId w:val="0"/>
      </w:numPr>
      <w:tabs>
        <w:tab w:val="right" w:leader="dot" w:pos="6521"/>
      </w:tabs>
      <w:spacing w:before="0" w:after="0"/>
    </w:pPr>
  </w:style>
  <w:style w:type="paragraph" w:customStyle="1" w:styleId="TOFTitle">
    <w:name w:val="TOFTitle"/>
    <w:basedOn w:val="TOCTitle"/>
    <w:rsid w:val="00AE4A75"/>
  </w:style>
  <w:style w:type="paragraph" w:styleId="TableofFigures">
    <w:name w:val="table of figures"/>
    <w:basedOn w:val="Normal"/>
    <w:next w:val="Normal"/>
    <w:semiHidden/>
    <w:rsid w:val="00AE4A75"/>
    <w:pPr>
      <w:tabs>
        <w:tab w:val="right" w:leader="dot" w:pos="9072"/>
      </w:tabs>
      <w:ind w:left="970" w:hanging="403"/>
    </w:pPr>
    <w:rPr>
      <w:rFonts w:ascii="Times New Roman" w:hAnsi="Times New Roman"/>
      <w:b/>
    </w:rPr>
  </w:style>
  <w:style w:type="paragraph" w:styleId="ListNumber">
    <w:name w:val="List Number"/>
    <w:basedOn w:val="List"/>
    <w:rsid w:val="00AE4A75"/>
    <w:pPr>
      <w:numPr>
        <w:numId w:val="14"/>
      </w:numPr>
      <w:tabs>
        <w:tab w:val="clear" w:pos="340"/>
      </w:tabs>
    </w:pPr>
  </w:style>
  <w:style w:type="character" w:customStyle="1" w:styleId="WingdingSymbols">
    <w:name w:val="Wingding Symbols"/>
    <w:rsid w:val="00AE4A75"/>
    <w:rPr>
      <w:rFonts w:ascii="Wingdings" w:hAnsi="Wingdings"/>
    </w:rPr>
  </w:style>
  <w:style w:type="paragraph" w:customStyle="1" w:styleId="TableHeading">
    <w:name w:val="Table Heading"/>
    <w:basedOn w:val="HeadingBase"/>
    <w:rsid w:val="00AE4A75"/>
    <w:pPr>
      <w:keepLines/>
      <w:pBdr>
        <w:bottom w:val="single" w:sz="6" w:space="1" w:color="918585"/>
      </w:pBdr>
      <w:spacing w:before="240"/>
    </w:pPr>
  </w:style>
  <w:style w:type="character" w:customStyle="1" w:styleId="HotSpot">
    <w:name w:val="HotSpot"/>
    <w:rsid w:val="00AE4A75"/>
    <w:rPr>
      <w:color w:val="0033CC"/>
      <w:u w:val="none"/>
    </w:rPr>
  </w:style>
  <w:style w:type="paragraph" w:customStyle="1" w:styleId="BodyTextRight">
    <w:name w:val="Body Text Right"/>
    <w:basedOn w:val="BodyText"/>
    <w:rsid w:val="00AE4A75"/>
    <w:pPr>
      <w:spacing w:before="0" w:after="0"/>
      <w:jc w:val="right"/>
    </w:pPr>
  </w:style>
  <w:style w:type="paragraph" w:styleId="Index3">
    <w:name w:val="index 3"/>
    <w:basedOn w:val="ListNumber2"/>
    <w:next w:val="Normal"/>
    <w:semiHidden/>
    <w:rsid w:val="00AE4A75"/>
    <w:pPr>
      <w:numPr>
        <w:numId w:val="0"/>
      </w:numPr>
      <w:tabs>
        <w:tab w:val="right" w:leader="dot" w:pos="4176"/>
      </w:tabs>
    </w:pPr>
  </w:style>
  <w:style w:type="paragraph" w:styleId="ListNumber2">
    <w:name w:val="List Number 2"/>
    <w:basedOn w:val="List2"/>
    <w:rsid w:val="00AE4A75"/>
    <w:pPr>
      <w:numPr>
        <w:numId w:val="9"/>
      </w:numPr>
      <w:tabs>
        <w:tab w:val="clear" w:pos="1060"/>
      </w:tabs>
    </w:pPr>
  </w:style>
  <w:style w:type="paragraph" w:customStyle="1" w:styleId="MarginNote">
    <w:name w:val="Margin Note"/>
    <w:basedOn w:val="BodyText"/>
    <w:rsid w:val="00AE4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A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A75"/>
    <w:rPr>
      <w:sz w:val="32"/>
    </w:rPr>
  </w:style>
  <w:style w:type="paragraph" w:customStyle="1" w:styleId="HeadingProcedure">
    <w:name w:val="Heading Procedure"/>
    <w:basedOn w:val="HeadingBase"/>
    <w:next w:val="Normal"/>
    <w:rsid w:val="00AE4A75"/>
    <w:pPr>
      <w:tabs>
        <w:tab w:val="left" w:pos="0"/>
      </w:tabs>
      <w:spacing w:before="120" w:after="60"/>
    </w:pPr>
    <w:rPr>
      <w:i/>
      <w:color w:val="918585"/>
      <w:sz w:val="22"/>
    </w:rPr>
  </w:style>
  <w:style w:type="paragraph" w:customStyle="1" w:styleId="TableBodyText">
    <w:name w:val="Table Body Text"/>
    <w:basedOn w:val="BodyText"/>
    <w:rsid w:val="00AE4A75"/>
    <w:pPr>
      <w:spacing w:before="60" w:after="60"/>
    </w:pPr>
  </w:style>
  <w:style w:type="paragraph" w:styleId="ListContinue">
    <w:name w:val="List Continue"/>
    <w:basedOn w:val="List"/>
    <w:rsid w:val="00AE4A75"/>
    <w:pPr>
      <w:ind w:firstLine="0"/>
    </w:pPr>
  </w:style>
  <w:style w:type="paragraph" w:customStyle="1" w:styleId="ListNote">
    <w:name w:val="List Note"/>
    <w:basedOn w:val="List"/>
    <w:rsid w:val="00AE4A75"/>
    <w:pPr>
      <w:pBdr>
        <w:top w:val="single" w:sz="6" w:space="2" w:color="918585"/>
        <w:bottom w:val="single" w:sz="6" w:space="2" w:color="918585"/>
      </w:pBdr>
      <w:tabs>
        <w:tab w:val="left" w:pos="1021"/>
      </w:tabs>
      <w:ind w:firstLine="0"/>
    </w:pPr>
  </w:style>
  <w:style w:type="paragraph" w:customStyle="1" w:styleId="Warning">
    <w:name w:val="Warning"/>
    <w:basedOn w:val="BodyText"/>
    <w:rsid w:val="00AE4A75"/>
    <w:pPr>
      <w:shd w:val="clear" w:color="auto" w:fill="D9D9D9"/>
      <w:tabs>
        <w:tab w:val="left" w:pos="992"/>
      </w:tabs>
      <w:ind w:left="119" w:right="119"/>
    </w:pPr>
    <w:rPr>
      <w:sz w:val="20"/>
    </w:rPr>
  </w:style>
  <w:style w:type="paragraph" w:customStyle="1" w:styleId="MarginIcons">
    <w:name w:val="Margin Icons"/>
    <w:basedOn w:val="BodyText"/>
    <w:rsid w:val="00AE4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A75"/>
    <w:rPr>
      <w:rFonts w:ascii="Courier New" w:hAnsi="Courier New"/>
    </w:rPr>
  </w:style>
  <w:style w:type="paragraph" w:customStyle="1" w:styleId="NoteBullet">
    <w:name w:val="Note Bullet"/>
    <w:basedOn w:val="Note"/>
    <w:rsid w:val="00AE4A75"/>
    <w:pPr>
      <w:tabs>
        <w:tab w:val="clear" w:pos="680"/>
      </w:tabs>
      <w:spacing w:before="60" w:after="60"/>
    </w:pPr>
  </w:style>
  <w:style w:type="paragraph" w:customStyle="1" w:styleId="SubHeading2">
    <w:name w:val="SubHeading2"/>
    <w:basedOn w:val="HeadingBase"/>
    <w:rsid w:val="00AE4A75"/>
    <w:pPr>
      <w:spacing w:before="240" w:after="60"/>
    </w:pPr>
    <w:rPr>
      <w:sz w:val="20"/>
    </w:rPr>
  </w:style>
  <w:style w:type="paragraph" w:customStyle="1" w:styleId="SubHeading1">
    <w:name w:val="SubHeading1"/>
    <w:basedOn w:val="HeadingBase"/>
    <w:rsid w:val="00AE4A75"/>
    <w:pPr>
      <w:spacing w:before="240" w:after="60"/>
    </w:pPr>
    <w:rPr>
      <w:color w:val="918585"/>
      <w:sz w:val="22"/>
    </w:rPr>
  </w:style>
  <w:style w:type="paragraph" w:customStyle="1" w:styleId="SideHeading">
    <w:name w:val="Side Heading"/>
    <w:basedOn w:val="HeadingBase"/>
    <w:rsid w:val="00AE4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A75"/>
    <w:pPr>
      <w:numPr>
        <w:numId w:val="10"/>
      </w:numPr>
    </w:pPr>
  </w:style>
  <w:style w:type="paragraph" w:styleId="PlainText">
    <w:name w:val="Plain Text"/>
    <w:basedOn w:val="Normal"/>
    <w:link w:val="PlainTextChar"/>
    <w:rsid w:val="00AE4A75"/>
    <w:rPr>
      <w:sz w:val="20"/>
    </w:rPr>
  </w:style>
  <w:style w:type="character" w:customStyle="1" w:styleId="PlainTextChar">
    <w:name w:val="Plain Text Char"/>
    <w:basedOn w:val="DefaultParagraphFont"/>
    <w:link w:val="PlainText"/>
    <w:rsid w:val="00AE4A75"/>
    <w:rPr>
      <w:rFonts w:ascii="Courier New" w:eastAsia="Times New Roman" w:hAnsi="Courier New" w:cs="Times New Roman"/>
      <w:sz w:val="20"/>
      <w:szCs w:val="20"/>
      <w:lang w:eastAsia="en-US"/>
    </w:rPr>
  </w:style>
  <w:style w:type="character" w:customStyle="1" w:styleId="MenuOption">
    <w:name w:val="Menu Option"/>
    <w:basedOn w:val="DefaultParagraphFont"/>
    <w:rsid w:val="00AE4A75"/>
    <w:rPr>
      <w:b/>
      <w:smallCaps/>
    </w:rPr>
  </w:style>
  <w:style w:type="paragraph" w:customStyle="1" w:styleId="TableListNumber">
    <w:name w:val="Table List Number"/>
    <w:basedOn w:val="ListNumber"/>
    <w:rsid w:val="00AE4A75"/>
    <w:pPr>
      <w:numPr>
        <w:numId w:val="0"/>
      </w:numPr>
    </w:pPr>
  </w:style>
  <w:style w:type="paragraph" w:styleId="TOC4">
    <w:name w:val="toc 4"/>
    <w:basedOn w:val="TOCBase"/>
    <w:next w:val="Normal"/>
    <w:semiHidden/>
    <w:rsid w:val="00AE4A75"/>
    <w:pPr>
      <w:tabs>
        <w:tab w:val="right" w:leader="dot" w:pos="9071"/>
      </w:tabs>
      <w:ind w:left="1701"/>
    </w:pPr>
  </w:style>
  <w:style w:type="paragraph" w:customStyle="1" w:styleId="ListAlpha">
    <w:name w:val="List Alpha"/>
    <w:basedOn w:val="List"/>
    <w:rsid w:val="00AE4A75"/>
    <w:pPr>
      <w:numPr>
        <w:numId w:val="8"/>
      </w:numPr>
    </w:pPr>
  </w:style>
  <w:style w:type="paragraph" w:customStyle="1" w:styleId="ListAlpha2">
    <w:name w:val="List Alpha 2"/>
    <w:basedOn w:val="List2"/>
    <w:rsid w:val="00AE4A75"/>
    <w:pPr>
      <w:numPr>
        <w:numId w:val="7"/>
      </w:numPr>
    </w:pPr>
  </w:style>
  <w:style w:type="paragraph" w:styleId="List2">
    <w:name w:val="List 2"/>
    <w:basedOn w:val="BodyText"/>
    <w:rsid w:val="00AE4A75"/>
    <w:pPr>
      <w:tabs>
        <w:tab w:val="left" w:pos="680"/>
      </w:tabs>
      <w:spacing w:before="60" w:after="60"/>
      <w:ind w:left="680" w:hanging="340"/>
    </w:pPr>
  </w:style>
  <w:style w:type="paragraph" w:styleId="List3">
    <w:name w:val="List 3"/>
    <w:basedOn w:val="BodyText"/>
    <w:rsid w:val="00AE4A75"/>
    <w:pPr>
      <w:tabs>
        <w:tab w:val="left" w:pos="1021"/>
      </w:tabs>
      <w:spacing w:before="60" w:after="60"/>
      <w:ind w:left="1020" w:hanging="340"/>
    </w:pPr>
  </w:style>
  <w:style w:type="paragraph" w:styleId="List4">
    <w:name w:val="List 4"/>
    <w:basedOn w:val="BodyText"/>
    <w:rsid w:val="00AE4A75"/>
    <w:pPr>
      <w:tabs>
        <w:tab w:val="left" w:pos="1361"/>
      </w:tabs>
      <w:spacing w:before="60" w:after="60"/>
      <w:ind w:left="1361" w:hanging="340"/>
    </w:pPr>
  </w:style>
  <w:style w:type="paragraph" w:styleId="List5">
    <w:name w:val="List 5"/>
    <w:basedOn w:val="BodyText"/>
    <w:rsid w:val="00AE4A75"/>
    <w:pPr>
      <w:tabs>
        <w:tab w:val="left" w:pos="1701"/>
      </w:tabs>
      <w:spacing w:before="60" w:after="60"/>
      <w:ind w:left="1701" w:hanging="340"/>
    </w:pPr>
  </w:style>
  <w:style w:type="paragraph" w:styleId="ListBullet3">
    <w:name w:val="List Bullet 3"/>
    <w:basedOn w:val="List3"/>
    <w:rsid w:val="00AE4A75"/>
    <w:pPr>
      <w:numPr>
        <w:numId w:val="13"/>
      </w:numPr>
      <w:tabs>
        <w:tab w:val="clear" w:pos="1021"/>
      </w:tabs>
      <w:ind w:left="1037" w:hanging="357"/>
    </w:pPr>
  </w:style>
  <w:style w:type="paragraph" w:styleId="ListBullet4">
    <w:name w:val="List Bullet 4"/>
    <w:basedOn w:val="List4"/>
    <w:rsid w:val="00AE4A75"/>
    <w:pPr>
      <w:numPr>
        <w:numId w:val="2"/>
      </w:numPr>
      <w:tabs>
        <w:tab w:val="clear" w:pos="1361"/>
      </w:tabs>
    </w:pPr>
  </w:style>
  <w:style w:type="paragraph" w:styleId="ListBullet5">
    <w:name w:val="List Bullet 5"/>
    <w:basedOn w:val="List5"/>
    <w:rsid w:val="00AE4A75"/>
    <w:pPr>
      <w:numPr>
        <w:numId w:val="3"/>
      </w:numPr>
    </w:pPr>
  </w:style>
  <w:style w:type="paragraph" w:styleId="ListContinue2">
    <w:name w:val="List Continue 2"/>
    <w:basedOn w:val="List2"/>
    <w:rsid w:val="00AE4A75"/>
    <w:pPr>
      <w:ind w:firstLine="0"/>
    </w:pPr>
  </w:style>
  <w:style w:type="paragraph" w:styleId="ListContinue3">
    <w:name w:val="List Continue 3"/>
    <w:basedOn w:val="List3"/>
    <w:rsid w:val="00AE4A75"/>
    <w:pPr>
      <w:ind w:left="1021" w:firstLine="0"/>
    </w:pPr>
  </w:style>
  <w:style w:type="paragraph" w:styleId="ListContinue4">
    <w:name w:val="List Continue 4"/>
    <w:basedOn w:val="List4"/>
    <w:rsid w:val="00AE4A75"/>
    <w:pPr>
      <w:ind w:firstLine="0"/>
    </w:pPr>
  </w:style>
  <w:style w:type="paragraph" w:styleId="ListContinue5">
    <w:name w:val="List Continue 5"/>
    <w:basedOn w:val="List5"/>
    <w:rsid w:val="00AE4A75"/>
    <w:pPr>
      <w:ind w:firstLine="0"/>
    </w:pPr>
  </w:style>
  <w:style w:type="paragraph" w:styleId="ListNumber3">
    <w:name w:val="List Number 3"/>
    <w:basedOn w:val="List3"/>
    <w:rsid w:val="00AE4A75"/>
    <w:pPr>
      <w:numPr>
        <w:numId w:val="4"/>
      </w:numPr>
    </w:pPr>
  </w:style>
  <w:style w:type="paragraph" w:styleId="ListNumber4">
    <w:name w:val="List Number 4"/>
    <w:basedOn w:val="List4"/>
    <w:rsid w:val="00AE4A75"/>
    <w:pPr>
      <w:numPr>
        <w:numId w:val="5"/>
      </w:numPr>
    </w:pPr>
  </w:style>
  <w:style w:type="paragraph" w:styleId="ListNumber5">
    <w:name w:val="List Number 5"/>
    <w:basedOn w:val="List5"/>
    <w:rsid w:val="00AE4A75"/>
    <w:pPr>
      <w:numPr>
        <w:numId w:val="6"/>
      </w:numPr>
    </w:pPr>
  </w:style>
  <w:style w:type="paragraph" w:styleId="BlockText">
    <w:name w:val="Block Text"/>
    <w:basedOn w:val="Normal"/>
    <w:rsid w:val="00AE4A75"/>
    <w:pPr>
      <w:spacing w:after="120"/>
      <w:ind w:left="1440" w:right="1440"/>
    </w:pPr>
  </w:style>
  <w:style w:type="character" w:customStyle="1" w:styleId="Subscript">
    <w:name w:val="Subscript"/>
    <w:basedOn w:val="DefaultParagraphFont"/>
    <w:rsid w:val="00AE4A75"/>
    <w:rPr>
      <w:sz w:val="16"/>
      <w:vertAlign w:val="subscript"/>
    </w:rPr>
  </w:style>
  <w:style w:type="character" w:customStyle="1" w:styleId="Superscript">
    <w:name w:val="Superscript"/>
    <w:basedOn w:val="DefaultParagraphFont"/>
    <w:rsid w:val="00AE4A75"/>
    <w:rPr>
      <w:sz w:val="16"/>
      <w:vertAlign w:val="superscript"/>
    </w:rPr>
  </w:style>
  <w:style w:type="character" w:customStyle="1" w:styleId="Symbols">
    <w:name w:val="Symbols"/>
    <w:basedOn w:val="DefaultParagraphFont"/>
    <w:rsid w:val="00AE4A75"/>
    <w:rPr>
      <w:rFonts w:ascii="Symbol" w:hAnsi="Symbol"/>
    </w:rPr>
  </w:style>
  <w:style w:type="character" w:customStyle="1" w:styleId="MenuOptions">
    <w:name w:val="Menu Options"/>
    <w:basedOn w:val="DefaultParagraphFont"/>
    <w:rsid w:val="00AE4A75"/>
    <w:rPr>
      <w:rFonts w:ascii="Arial Narrow" w:hAnsi="Arial Narrow"/>
      <w:smallCaps/>
    </w:rPr>
  </w:style>
  <w:style w:type="character" w:customStyle="1" w:styleId="Buttons">
    <w:name w:val="Buttons"/>
    <w:basedOn w:val="DefaultParagraphFont"/>
    <w:rsid w:val="00AE4A75"/>
    <w:rPr>
      <w:b/>
    </w:rPr>
  </w:style>
  <w:style w:type="character" w:customStyle="1" w:styleId="Underlined">
    <w:name w:val="Underlined"/>
    <w:basedOn w:val="DefaultParagraphFont"/>
    <w:rsid w:val="00AE4A75"/>
    <w:rPr>
      <w:u w:val="single"/>
    </w:rPr>
  </w:style>
  <w:style w:type="paragraph" w:customStyle="1" w:styleId="TableBodyTextRight">
    <w:name w:val="Table Body Text Right"/>
    <w:basedOn w:val="TableBodyText"/>
    <w:rsid w:val="00AE4A75"/>
    <w:pPr>
      <w:widowControl w:val="0"/>
      <w:autoSpaceDE w:val="0"/>
      <w:autoSpaceDN w:val="0"/>
      <w:adjustRightInd w:val="0"/>
      <w:jc w:val="right"/>
    </w:pPr>
    <w:rPr>
      <w:rFonts w:cs="Arial"/>
      <w:szCs w:val="18"/>
    </w:rPr>
  </w:style>
  <w:style w:type="paragraph" w:customStyle="1" w:styleId="CopyrightText">
    <w:name w:val="Copyright Text"/>
    <w:basedOn w:val="BodyText"/>
    <w:rsid w:val="00AE4A75"/>
    <w:rPr>
      <w:sz w:val="18"/>
    </w:rPr>
  </w:style>
  <w:style w:type="paragraph" w:customStyle="1" w:styleId="BodySmallRight">
    <w:name w:val="Body Small Right"/>
    <w:basedOn w:val="BodyTextRight"/>
    <w:rsid w:val="00AE4A75"/>
    <w:rPr>
      <w:sz w:val="18"/>
      <w:szCs w:val="18"/>
    </w:rPr>
  </w:style>
  <w:style w:type="paragraph" w:customStyle="1" w:styleId="MarginEdition">
    <w:name w:val="Margin Edition"/>
    <w:basedOn w:val="MarginNote"/>
    <w:rsid w:val="00AE4A75"/>
    <w:pPr>
      <w:spacing w:before="0" w:after="0"/>
    </w:pPr>
    <w:rPr>
      <w:rFonts w:ascii="Times New Roman" w:hAnsi="Times New Roman"/>
      <w:color w:val="999999"/>
    </w:rPr>
  </w:style>
  <w:style w:type="paragraph" w:customStyle="1" w:styleId="Spacer">
    <w:name w:val="Spacer"/>
    <w:basedOn w:val="Normal"/>
    <w:rsid w:val="00AE4A75"/>
    <w:rPr>
      <w:sz w:val="2"/>
      <w:szCs w:val="2"/>
    </w:rPr>
  </w:style>
  <w:style w:type="character" w:customStyle="1" w:styleId="Small">
    <w:name w:val="Small"/>
    <w:basedOn w:val="DefaultParagraphFont"/>
    <w:rsid w:val="00AE4A75"/>
    <w:rPr>
      <w:sz w:val="16"/>
    </w:rPr>
  </w:style>
  <w:style w:type="paragraph" w:customStyle="1" w:styleId="WideTable">
    <w:name w:val="Wide Table"/>
    <w:basedOn w:val="Normal"/>
    <w:rsid w:val="00AE4A75"/>
    <w:pPr>
      <w:ind w:left="-1418"/>
    </w:pPr>
    <w:rPr>
      <w:sz w:val="2"/>
      <w:szCs w:val="2"/>
    </w:rPr>
  </w:style>
  <w:style w:type="character" w:styleId="PageNumber">
    <w:name w:val="page number"/>
    <w:basedOn w:val="DefaultParagraphFont"/>
    <w:rsid w:val="00AE4A75"/>
  </w:style>
  <w:style w:type="paragraph" w:styleId="Quote">
    <w:name w:val="Quote"/>
    <w:basedOn w:val="Heading1"/>
    <w:link w:val="QuoteChar"/>
    <w:qFormat/>
    <w:rsid w:val="00AE4A75"/>
    <w:rPr>
      <w:b w:val="0"/>
      <w:sz w:val="72"/>
      <w:szCs w:val="72"/>
      <w:lang w:val="en-NZ"/>
    </w:rPr>
  </w:style>
  <w:style w:type="character" w:customStyle="1" w:styleId="QuoteChar">
    <w:name w:val="Quote Char"/>
    <w:basedOn w:val="DefaultParagraphFont"/>
    <w:link w:val="Quote"/>
    <w:rsid w:val="00AE4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A75"/>
    <w:pPr>
      <w:pageBreakBefore/>
    </w:pPr>
  </w:style>
  <w:style w:type="paragraph" w:customStyle="1" w:styleId="Border">
    <w:name w:val="Border"/>
    <w:basedOn w:val="Normal"/>
    <w:qFormat/>
    <w:rsid w:val="00AE4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A75"/>
    <w:rPr>
      <w:b/>
      <w:bCs/>
      <w:i/>
      <w:iCs/>
      <w:color w:val="auto"/>
    </w:rPr>
  </w:style>
  <w:style w:type="paragraph" w:styleId="IntenseQuote">
    <w:name w:val="Intense Quote"/>
    <w:basedOn w:val="Normal"/>
    <w:next w:val="Normal"/>
    <w:link w:val="IntenseQuoteChar"/>
    <w:uiPriority w:val="30"/>
    <w:qFormat/>
    <w:rsid w:val="00AE4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A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A75"/>
    <w:rPr>
      <w:smallCaps/>
      <w:color w:val="auto"/>
      <w:u w:val="single"/>
    </w:rPr>
  </w:style>
  <w:style w:type="character" w:styleId="IntenseReference">
    <w:name w:val="Intense Reference"/>
    <w:basedOn w:val="DefaultParagraphFont"/>
    <w:uiPriority w:val="32"/>
    <w:qFormat/>
    <w:rsid w:val="00AE4A75"/>
    <w:rPr>
      <w:b/>
      <w:bCs/>
      <w:smallCaps/>
      <w:color w:val="auto"/>
      <w:spacing w:val="5"/>
      <w:u w:val="single"/>
    </w:rPr>
  </w:style>
  <w:style w:type="paragraph" w:customStyle="1" w:styleId="2ColumnHeading">
    <w:name w:val="2Column Heading"/>
    <w:basedOn w:val="BodyText"/>
    <w:qFormat/>
    <w:rsid w:val="00AE4A75"/>
    <w:pPr>
      <w:spacing w:after="60"/>
      <w:ind w:left="-2268"/>
    </w:pPr>
    <w:rPr>
      <w:b/>
    </w:rPr>
  </w:style>
  <w:style w:type="paragraph" w:customStyle="1" w:styleId="Heading1TOC">
    <w:name w:val="Heading1 TOC"/>
    <w:basedOn w:val="Normal"/>
    <w:qFormat/>
    <w:rsid w:val="00AE4A75"/>
    <w:pPr>
      <w:spacing w:before="240" w:after="120"/>
    </w:pPr>
    <w:rPr>
      <w:rFonts w:ascii="Times New Roman" w:hAnsi="Times New Roman"/>
      <w:b/>
      <w:sz w:val="32"/>
    </w:rPr>
  </w:style>
  <w:style w:type="paragraph" w:customStyle="1" w:styleId="Heading2TOC">
    <w:name w:val="Heading2 TOC"/>
    <w:basedOn w:val="Normal"/>
    <w:qFormat/>
    <w:rsid w:val="00AE4A75"/>
    <w:pPr>
      <w:spacing w:before="240" w:after="60"/>
    </w:pPr>
    <w:rPr>
      <w:rFonts w:ascii="Times New Roman" w:hAnsi="Times New Roman"/>
      <w:b/>
      <w:sz w:val="28"/>
    </w:rPr>
  </w:style>
  <w:style w:type="character" w:customStyle="1" w:styleId="Underline">
    <w:name w:val="Underline"/>
    <w:basedOn w:val="DefaultParagraphFont"/>
    <w:qFormat/>
    <w:rsid w:val="00AE4A75"/>
    <w:rPr>
      <w:u w:val="single"/>
    </w:rPr>
  </w:style>
  <w:style w:type="character" w:customStyle="1" w:styleId="BoldandItalics">
    <w:name w:val="Bold and Italics"/>
    <w:qFormat/>
    <w:rsid w:val="00AE4A75"/>
    <w:rPr>
      <w:b/>
      <w:i/>
      <w:u w:val="none"/>
    </w:rPr>
  </w:style>
  <w:style w:type="paragraph" w:styleId="BalloonText">
    <w:name w:val="Balloon Text"/>
    <w:basedOn w:val="Normal"/>
    <w:link w:val="BalloonTextChar"/>
    <w:rsid w:val="00AE4A75"/>
    <w:rPr>
      <w:rFonts w:ascii="Tahoma" w:hAnsi="Tahoma" w:cs="Tahoma"/>
      <w:sz w:val="16"/>
      <w:szCs w:val="16"/>
    </w:rPr>
  </w:style>
  <w:style w:type="character" w:customStyle="1" w:styleId="BalloonTextChar">
    <w:name w:val="Balloon Text Char"/>
    <w:basedOn w:val="DefaultParagraphFont"/>
    <w:link w:val="BalloonText"/>
    <w:rsid w:val="00AE4A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A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4A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A75"/>
    <w:rPr>
      <w:b/>
      <w:color w:val="660033"/>
      <w:spacing w:val="0"/>
    </w:rPr>
  </w:style>
  <w:style w:type="paragraph" w:customStyle="1" w:styleId="Nameditemlist">
    <w:name w:val="Named item list"/>
    <w:basedOn w:val="BodyText"/>
    <w:qFormat/>
    <w:rsid w:val="00AE4A75"/>
    <w:pPr>
      <w:tabs>
        <w:tab w:val="left" w:pos="2835"/>
      </w:tabs>
      <w:ind w:left="2835" w:hanging="2835"/>
    </w:pPr>
  </w:style>
  <w:style w:type="paragraph" w:customStyle="1" w:styleId="BodyTextnopadding">
    <w:name w:val="Body Text no padding"/>
    <w:basedOn w:val="BodyText"/>
    <w:qFormat/>
    <w:rsid w:val="00AE4A75"/>
    <w:pPr>
      <w:spacing w:before="0" w:after="0"/>
    </w:pPr>
  </w:style>
  <w:style w:type="paragraph" w:customStyle="1" w:styleId="BodyTextBold">
    <w:name w:val="Body Text Bold"/>
    <w:basedOn w:val="BodyText"/>
    <w:qFormat/>
    <w:rsid w:val="00AE4A75"/>
    <w:rPr>
      <w:b/>
    </w:rPr>
  </w:style>
  <w:style w:type="character" w:styleId="Hyperlink">
    <w:name w:val="Hyperlink"/>
    <w:basedOn w:val="DefaultParagraphFont"/>
    <w:uiPriority w:val="99"/>
    <w:unhideWhenUsed/>
    <w:rsid w:val="00A11A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3719</Characters>
  <Application>Microsoft Office Word</Application>
  <DocSecurity>0</DocSecurity>
  <Lines>92</Lines>
  <Paragraphs>67</Paragraphs>
  <ScaleCrop>false</ScaleCrop>
  <Company>Author-it Software Corporation Ltd.</Company>
  <LinksUpToDate>false</LinksUpToDate>
  <CharactersWithSpaces>4193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MARA001 Contribute to safe cargo operations on liquefied gas tankers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2020-10-27T01:27:00Z</dcterms:created>
  <dcterms:modified xsi:type="dcterms:W3CDTF">2020-10-27T01:27:00Z</dcterms:modified>
</cp:coreProperties>
</file>