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7F1" w:rsidP="00E16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MAR30818 Certificate III in Maritime Operations (Marine Engine Driver Grade 2 Near Coastal)</w:t>
      </w:r>
      <w:r>
        <w:fldChar w:fldCharType="end"/>
      </w:r>
    </w:p>
    <w:p w:rsidR="00E167F1" w:rsidP="00E167F1">
      <w:pPr>
        <w:pStyle w:val="Version"/>
        <w:sectPr w:rsidSect="00AB4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D9C" w:rsidP="00AB4D9C">
      <w:pPr>
        <w:pStyle w:val="SuperHeading"/>
      </w:pPr>
      <w:r w:rsidRPr="00AB4D9C">
        <w:t>MAR30818 Certificate III in Maritime Operations (Marine Engine Driver Grade 2 Near Coastal)</w:t>
      </w:r>
    </w:p>
    <w:p w:rsidR="00000000" w:rsidRPr="00AB4D9C" w:rsidP="00AB4D9C">
      <w:pPr>
        <w:pStyle w:val="Heading1"/>
      </w:pPr>
      <w:bookmarkStart w:id="1" w:name="O_962397"/>
      <w:bookmarkEnd w:id="1"/>
      <w:r w:rsidRPr="00AB4D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Release 1. First release of this qualification.</w:t>
            </w:r>
          </w:p>
        </w:tc>
      </w:tr>
    </w:tbl>
    <w:p w:rsidR="00000000" w:rsidRPr="00AB4D9C" w:rsidP="00AB4D9C">
      <w:pPr>
        <w:pStyle w:val="NoPaddingFontSize1"/>
      </w:pPr>
    </w:p>
    <w:p w:rsidR="00000000" w:rsidRPr="00AB4D9C" w:rsidP="00AB4D9C">
      <w:pPr>
        <w:pStyle w:val="AllowPageBreak"/>
      </w:pPr>
    </w:p>
    <w:p w:rsidR="00000000" w:rsidRPr="00AB4D9C" w:rsidP="00AB4D9C">
      <w:pPr>
        <w:pStyle w:val="Heading1"/>
      </w:pPr>
      <w:bookmarkStart w:id="2" w:name="O_962398"/>
      <w:bookmarkEnd w:id="2"/>
      <w:r w:rsidRPr="00AB4D9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This qualification applies to people working in maritime industry seeking an Australian Maritime Safety Authority (AMSA) certificate of competency in the capacity of:</w:t>
            </w:r>
          </w:p>
          <w:p w:rsidR="00000000" w:rsidRPr="00AB4D9C" w:rsidP="00AB4D9C">
            <w:pPr>
              <w:pStyle w:val="ListBullet"/>
            </w:pPr>
            <w:r w:rsidRPr="00AB4D9C">
              <w:t>chief engineer on vessels with an inboard engine with propulsion power &lt;750 kW within th</w:t>
            </w:r>
            <w:r w:rsidRPr="00AB4D9C">
              <w:t>e exclusive economic zone (EEZ) or</w:t>
            </w:r>
          </w:p>
          <w:p w:rsidR="00000000" w:rsidRPr="00AB4D9C" w:rsidP="00AB4D9C">
            <w:pPr>
              <w:pStyle w:val="ListBullet"/>
            </w:pPr>
            <w:r w:rsidRPr="00AB4D9C">
              <w:t>second engineer on vessels with an inboard engine with propulsion power &lt;1500 kW within the EEZ or</w:t>
            </w:r>
          </w:p>
          <w:p w:rsidR="00000000" w:rsidRPr="00AB4D9C" w:rsidP="00AB4D9C">
            <w:pPr>
              <w:pStyle w:val="ListBullet"/>
            </w:pPr>
            <w:r w:rsidRPr="00AB4D9C">
              <w:t>chief or second engineer on vessels with an outboard engine with unlimited propulsion power within the EEZ or</w:t>
            </w:r>
          </w:p>
          <w:p w:rsidR="00000000" w:rsidRPr="00AB4D9C" w:rsidP="00AB4D9C">
            <w:pPr>
              <w:pStyle w:val="ListBullet"/>
            </w:pPr>
            <w:r w:rsidRPr="00AB4D9C">
              <w:t>assistant un</w:t>
            </w:r>
            <w:r w:rsidRPr="00AB4D9C">
              <w:t>der direct supervision of a chief engineer or</w:t>
            </w:r>
          </w:p>
          <w:p w:rsidR="00000000" w:rsidRPr="00AB4D9C" w:rsidP="00AB4D9C">
            <w:pPr>
              <w:pStyle w:val="ListBullet"/>
            </w:pPr>
            <w:r w:rsidRPr="00AB4D9C">
              <w:t>worker in an engine room of a vessel &lt;80 m long with propulsion power &lt;3000 kW.</w:t>
            </w:r>
          </w:p>
          <w:p w:rsidR="00000000" w:rsidRPr="00AB4D9C" w:rsidP="00AB4D9C">
            <w:pPr>
              <w:pStyle w:val="BodyText"/>
            </w:pPr>
            <w:r w:rsidRPr="00AB4D9C">
              <w:t>Licensing/Regulatory Information</w:t>
            </w:r>
          </w:p>
          <w:p w:rsidR="00000000" w:rsidRPr="00AB4D9C" w:rsidP="00AB4D9C">
            <w:pPr>
              <w:pStyle w:val="BodyText"/>
            </w:pPr>
            <w:r w:rsidRPr="00AB4D9C">
              <w:t xml:space="preserve">This qualification is required to obtain an AMSA certification as a Marine Engine Driver Grade 2 </w:t>
            </w:r>
            <w:r w:rsidRPr="00AB4D9C">
              <w:t xml:space="preserve">Near Coastal NC as defined in the National Standard for Commercial Vessels (NSCV) Part D. </w:t>
            </w:r>
          </w:p>
          <w:p w:rsidR="00000000" w:rsidRPr="00AB4D9C" w:rsidP="00AB4D9C">
            <w:pPr>
              <w:pStyle w:val="BodyText"/>
            </w:pPr>
            <w:r w:rsidRPr="00AB4D9C">
              <w:t>AMSA certification will require:</w:t>
            </w:r>
          </w:p>
          <w:p w:rsidR="00000000" w:rsidRPr="00AB4D9C" w:rsidP="00AB4D9C">
            <w:pPr>
              <w:pStyle w:val="ListBullet"/>
            </w:pPr>
            <w:r w:rsidRPr="00AB4D9C">
              <w:t xml:space="preserve">achieving MAR30818 Certificate III in Maritime Operations (Marine Engine Driver Grade 2 NC </w:t>
            </w:r>
          </w:p>
          <w:p w:rsidR="00000000" w:rsidRPr="00AB4D9C" w:rsidP="00AB4D9C">
            <w:pPr>
              <w:pStyle w:val="ListBullet"/>
            </w:pPr>
            <w:r w:rsidRPr="00AB4D9C">
              <w:t>sea service consisting of:</w:t>
            </w:r>
          </w:p>
          <w:p w:rsidR="00000000" w:rsidRPr="00AB4D9C" w:rsidP="00AB4D9C">
            <w:pPr>
              <w:pStyle w:val="ListBullet2"/>
            </w:pPr>
            <w:r w:rsidRPr="00AB4D9C">
              <w:t xml:space="preserve">180 days qualifying sea service and a completed AMSA approved task book </w:t>
            </w:r>
          </w:p>
          <w:p w:rsidR="00000000" w:rsidRPr="00AB4D9C" w:rsidP="00AB4D9C">
            <w:pPr>
              <w:pStyle w:val="BodyText"/>
            </w:pPr>
            <w:r w:rsidRPr="00AB4D9C">
              <w:t xml:space="preserve">or </w:t>
            </w:r>
          </w:p>
          <w:p w:rsidR="00000000" w:rsidRPr="00AB4D9C" w:rsidP="00AB4D9C">
            <w:pPr>
              <w:pStyle w:val="ListBullet2"/>
            </w:pPr>
            <w:r w:rsidRPr="00AB4D9C">
              <w:t>360 days qualifying sea service</w:t>
            </w:r>
          </w:p>
          <w:p w:rsidR="00000000" w:rsidRPr="00AB4D9C" w:rsidP="00AB4D9C">
            <w:pPr>
              <w:pStyle w:val="BodyText"/>
            </w:pPr>
            <w:r w:rsidRPr="00AB4D9C">
              <w:t xml:space="preserve">or </w:t>
            </w:r>
          </w:p>
          <w:p w:rsidR="00000000" w:rsidRPr="00AB4D9C" w:rsidP="00AB4D9C">
            <w:pPr>
              <w:pStyle w:val="ListBullet2"/>
            </w:pPr>
            <w:r w:rsidRPr="00AB4D9C">
              <w:t>120 days qualifying sea service and a completed AMSA approved task book, while holding a Coxswain 1 (Cox 1), Coxswain 2 endorsed for 500 kW i</w:t>
            </w:r>
            <w:r w:rsidRPr="00AB4D9C">
              <w:t xml:space="preserve">nboard propulsion (Cox 2 500 kW), or Marine Engine Driver Grade 3 (MED 3) </w:t>
            </w:r>
          </w:p>
          <w:p w:rsidR="00000000" w:rsidRPr="00AB4D9C" w:rsidP="00AB4D9C">
            <w:pPr>
              <w:pStyle w:val="BodyText"/>
            </w:pPr>
            <w:r w:rsidRPr="00AB4D9C">
              <w:t xml:space="preserve">or </w:t>
            </w:r>
          </w:p>
          <w:p w:rsidR="00000000" w:rsidRPr="00AB4D9C" w:rsidP="00AB4D9C">
            <w:pPr>
              <w:pStyle w:val="ListBullet2"/>
            </w:pPr>
            <w:r w:rsidRPr="00AB4D9C">
              <w:t>240 days qualifying sea service while holding a Cox 1, Cox 2 500 kW or MED 3</w:t>
            </w:r>
          </w:p>
          <w:p w:rsidR="00000000" w:rsidRPr="00AB4D9C" w:rsidP="00AB4D9C">
            <w:pPr>
              <w:pStyle w:val="BodyText"/>
            </w:pPr>
            <w:r w:rsidRPr="00AB4D9C">
              <w:t xml:space="preserve">or </w:t>
            </w:r>
          </w:p>
          <w:p w:rsidR="00000000" w:rsidRPr="00AB4D9C" w:rsidP="00AB4D9C">
            <w:pPr>
              <w:pStyle w:val="ListBullet2"/>
            </w:pPr>
            <w:r w:rsidRPr="00AB4D9C">
              <w:t>90 days qualifying sea service and a completed AMSA approved task book while holding a worksho</w:t>
            </w:r>
            <w:r w:rsidRPr="00AB4D9C">
              <w:t xml:space="preserve">p skill equivalent qualification </w:t>
            </w:r>
          </w:p>
          <w:p w:rsidR="00000000" w:rsidRPr="00AB4D9C" w:rsidP="00AB4D9C">
            <w:pPr>
              <w:pStyle w:val="BodyText"/>
            </w:pPr>
            <w:r w:rsidRPr="00AB4D9C">
              <w:t xml:space="preserve">or </w:t>
            </w:r>
          </w:p>
          <w:p w:rsidR="00000000" w:rsidRPr="00AB4D9C" w:rsidP="00AB4D9C">
            <w:pPr>
              <w:pStyle w:val="ListBullet2"/>
            </w:pPr>
            <w:r w:rsidRPr="00AB4D9C">
              <w:t>180 days qualifying sea service while holding a workshop skill equivalent qualification</w:t>
            </w:r>
          </w:p>
          <w:p w:rsidR="00000000" w:rsidRPr="00AB4D9C" w:rsidP="00AB4D9C">
            <w:pPr>
              <w:pStyle w:val="ListBullet"/>
            </w:pPr>
            <w:r w:rsidRPr="00AB4D9C">
              <w:t>meeting the medical and eyesight requirements specified in the NSCV Part D and</w:t>
            </w:r>
          </w:p>
          <w:p w:rsidR="00000000" w:rsidRPr="00AB4D9C" w:rsidP="00AB4D9C">
            <w:pPr>
              <w:pStyle w:val="ListBullet"/>
            </w:pPr>
            <w:r w:rsidRPr="00AB4D9C">
              <w:t>assessment by an AMSA approved assessor u</w:t>
            </w:r>
            <w:r w:rsidRPr="00AB4D9C">
              <w:t>sing the AMSA mandated practical assessment (AMPA).</w:t>
            </w:r>
          </w:p>
          <w:p w:rsidR="00000000" w:rsidRPr="00AB4D9C" w:rsidP="00AB4D9C">
            <w:pPr>
              <w:pStyle w:val="BodyText"/>
            </w:pPr>
            <w:r w:rsidRPr="00AB4D9C">
              <w:rPr>
                <w:rStyle w:val="SpecialBold"/>
              </w:rPr>
              <w:t xml:space="preserve">^ From 1 July 2022 the core unit HLTAID003 must no longer be delivered and will be replaced in the Packaging Rules by the unit HLTAID011 </w:t>
            </w:r>
            <w:r w:rsidRPr="00AB4D9C">
              <w:t xml:space="preserve">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BD1252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AB4D9C" w:rsidP="00AB4D9C">
      <w:pPr>
        <w:pStyle w:val="NoPaddingFontSize1"/>
      </w:pPr>
    </w:p>
    <w:p w:rsidR="00000000" w:rsidRPr="00AB4D9C" w:rsidP="00AB4D9C">
      <w:pPr>
        <w:pStyle w:val="AllowPageBreak"/>
      </w:pPr>
    </w:p>
    <w:p w:rsidR="00000000" w:rsidRPr="00AB4D9C" w:rsidP="00AB4D9C">
      <w:pPr>
        <w:pStyle w:val="Heading1"/>
      </w:pPr>
      <w:bookmarkStart w:id="3" w:name="O_962399"/>
      <w:bookmarkEnd w:id="3"/>
      <w:r w:rsidRPr="00AB4D9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Not applicable.</w:t>
            </w:r>
          </w:p>
        </w:tc>
      </w:tr>
    </w:tbl>
    <w:p w:rsidR="00000000" w:rsidRPr="00AB4D9C" w:rsidP="00AB4D9C">
      <w:pPr>
        <w:pStyle w:val="NoPaddingFontSize1"/>
      </w:pPr>
    </w:p>
    <w:p w:rsidR="00000000" w:rsidRPr="00AB4D9C" w:rsidP="00AB4D9C">
      <w:pPr>
        <w:pStyle w:val="AllowPageBreak"/>
      </w:pPr>
    </w:p>
    <w:p w:rsidR="00000000" w:rsidRPr="00AB4D9C" w:rsidP="00AB4D9C">
      <w:pPr>
        <w:pStyle w:val="Heading1"/>
      </w:pPr>
      <w:bookmarkStart w:id="4" w:name="O_962400"/>
      <w:bookmarkEnd w:id="4"/>
      <w:r w:rsidRPr="00AB4D9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rPr>
                <w:rStyle w:val="SpecialBold"/>
              </w:rPr>
              <w:t>Total number of units = 17 units</w:t>
            </w:r>
          </w:p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rPr>
                <w:rStyle w:val="SpecialBold"/>
              </w:rPr>
              <w:t>17 core units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rPr>
                <w:rStyle w:val="SpecialBold"/>
              </w:rPr>
              <w:t>Core units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BSBWOR203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Work effectively with others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HLTAID003</w:t>
            </w:r>
          </w:p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rPr>
                <w:rStyle w:val="SpecialBold"/>
              </w:rPr>
              <w:t>^ HLTAID011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Provide first aid</w:t>
            </w:r>
          </w:p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rPr>
                <w:rStyle w:val="SpecialBold"/>
              </w:rPr>
              <w:t>Provide First Aid (must be delivered from 1 July 2022)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MARB031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Maintain marine internal combustion engines, propulsion plant and auxiliary systems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MARB032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Undertake basic maintenance of electrical systems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MARC033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 xml:space="preserve">Complete engine room </w:t>
            </w:r>
            <w:r w:rsidRPr="00AB4D9C">
              <w:t>tasks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MARC034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Maintain hull out of water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MARC035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Operate and maintain extra low and low voltage electrical systems and equipment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MARC036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Operate deck machinery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MARC039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Operate marine internal combustion engines, and propulsion and auxiliary systems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MARC040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Manage fuel systems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MARC041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 xml:space="preserve">Operate and monitor marine internal combustion engines, propulsion plant </w:t>
            </w:r>
            <w:r w:rsidRPr="00AB4D9C">
              <w:t>and auxiliary systems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MARC042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Operate electrical systems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MARF027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Apply basic survival skills in the event of vessel abandonment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MARF028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 xml:space="preserve">Follow </w:t>
            </w:r>
            <w:r w:rsidRPr="00AB4D9C">
              <w:t>procedures to minimise and fight fires on board a vessel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MARF029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Meet work health and safety requirements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MARF030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Survive at sea using survival craft</w:t>
            </w:r>
          </w:p>
        </w:tc>
      </w:tr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9C">
            <w:pPr>
              <w:pStyle w:val="BodyText"/>
              <w:rPr>
                <w:lang w:val="en-NZ"/>
              </w:rPr>
            </w:pPr>
            <w:r w:rsidRPr="00AB4D9C">
              <w:t>MARJ006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Follow environmental work practices</w:t>
            </w:r>
          </w:p>
        </w:tc>
      </w:tr>
    </w:tbl>
    <w:p w:rsidR="00E167F1" w:rsidP="00AB4D9C">
      <w:pPr>
        <w:pStyle w:val="NoPaddingFontSize1"/>
      </w:pPr>
    </w:p>
    <w:p w:rsidR="00E167F1" w:rsidP="00AB4D9C">
      <w:pPr>
        <w:pStyle w:val="NoPaddingFontSize1"/>
      </w:pPr>
    </w:p>
    <w:p w:rsidR="00000000" w:rsidRPr="00AB4D9C" w:rsidP="00AB4D9C">
      <w:pPr>
        <w:pStyle w:val="Heading1"/>
      </w:pPr>
      <w:bookmarkStart w:id="5" w:name="O_962401"/>
      <w:bookmarkEnd w:id="5"/>
      <w:r w:rsidRPr="00AB4D9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4D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9C" w:rsidP="00AB4D9C">
            <w:pPr>
              <w:pStyle w:val="BodyText"/>
            </w:pPr>
            <w:r w:rsidRPr="00AB4D9C">
              <w:t>This qualification supersedes and is equivalent to MAR30813 Certificate III in Maritime Operations (Marine Engine Driver Grade 2 Near Coastal).</w:t>
            </w:r>
          </w:p>
        </w:tc>
      </w:tr>
    </w:tbl>
    <w:p w:rsidR="00000000" w:rsidRPr="00AB4D9C" w:rsidP="00AB4D9C">
      <w:pPr>
        <w:pStyle w:val="NoPaddingFontSize1"/>
      </w:pPr>
    </w:p>
    <w:p w:rsidR="00000000" w:rsidRPr="00AB4D9C" w:rsidP="00AB4D9C">
      <w:pPr>
        <w:pStyle w:val="AllowPageBreak"/>
      </w:pPr>
    </w:p>
    <w:p w:rsidR="00000000" w:rsidRPr="00AB4D9C" w:rsidP="00AB4D9C">
      <w:pPr>
        <w:pStyle w:val="Heading1"/>
      </w:pPr>
      <w:bookmarkStart w:id="6" w:name="O_962403"/>
      <w:bookmarkEnd w:id="6"/>
      <w:r w:rsidRPr="00AB4D9C">
        <w:t>Links</w:t>
      </w:r>
    </w:p>
    <w:p w:rsidR="00000000" w:rsidRPr="00AB4D9C" w:rsidP="00E167F1">
      <w:pPr>
        <w:pStyle w:val="BodyText"/>
      </w:pPr>
      <w:r w:rsidRPr="00AB4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D125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B4D9C" w:rsidP="00AB4D9C"/>
    <w:sectPr w:rsidSect="00AB4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9C" w:rsidRPr="00E167F1" w:rsidP="00E16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F1" w:rsidP="00AB4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7F1" w:rsidP="00AB4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67F1" w:rsidP="00AB4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D9C" w:rsidRPr="00E167F1" w:rsidP="00E16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7F1" w:rsidRPr="002D2AF8" w:rsidP="00AB4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MAR30818 Certificate III in Maritime Operations (Marine Engine Driver Grade 2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167F1" w:rsidP="00AB4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BE74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D4D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E89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D9C"/>
  </w:style>
  <w:style w:type="character" w:customStyle="1" w:styleId="Heading1Char">
    <w:name w:val="Heading 1 Char"/>
    <w:basedOn w:val="DefaultParagraphFont"/>
    <w:link w:val="Heading1"/>
    <w:rsid w:val="00AB4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D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D9C"/>
    <w:rPr>
      <w:b/>
      <w:spacing w:val="0"/>
    </w:rPr>
  </w:style>
  <w:style w:type="paragraph" w:styleId="ListBullet2">
    <w:name w:val="List Bullet 2"/>
    <w:basedOn w:val="List2"/>
    <w:rsid w:val="00AB4D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4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D9C"/>
    <w:rPr>
      <w:i/>
    </w:rPr>
  </w:style>
  <w:style w:type="paragraph" w:styleId="Caption">
    <w:name w:val="caption"/>
    <w:basedOn w:val="BodyText"/>
    <w:next w:val="Normal"/>
    <w:qFormat/>
    <w:rsid w:val="00AB4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D9C"/>
  </w:style>
  <w:style w:type="paragraph" w:styleId="TableofFigures">
    <w:name w:val="table of figures"/>
    <w:basedOn w:val="Normal"/>
    <w:next w:val="Normal"/>
    <w:semiHidden/>
    <w:rsid w:val="00AB4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D9C"/>
    <w:rPr>
      <w:rFonts w:ascii="Wingdings" w:hAnsi="Wingdings"/>
    </w:rPr>
  </w:style>
  <w:style w:type="paragraph" w:customStyle="1" w:styleId="TableHeading">
    <w:name w:val="Table Heading"/>
    <w:basedOn w:val="HeadingBase"/>
    <w:rsid w:val="00AB4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D9C"/>
    <w:rPr>
      <w:color w:val="0033CC"/>
      <w:u w:val="none"/>
    </w:rPr>
  </w:style>
  <w:style w:type="paragraph" w:customStyle="1" w:styleId="BodyTextRight">
    <w:name w:val="Body Text Right"/>
    <w:basedOn w:val="BodyText"/>
    <w:rsid w:val="00AB4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D9C"/>
    <w:rPr>
      <w:sz w:val="32"/>
    </w:rPr>
  </w:style>
  <w:style w:type="paragraph" w:customStyle="1" w:styleId="HeadingProcedure">
    <w:name w:val="Heading Procedure"/>
    <w:basedOn w:val="HeadingBase"/>
    <w:next w:val="Normal"/>
    <w:rsid w:val="00AB4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D9C"/>
    <w:pPr>
      <w:spacing w:before="60" w:after="60"/>
    </w:pPr>
  </w:style>
  <w:style w:type="paragraph" w:styleId="ListContinue">
    <w:name w:val="List Continue"/>
    <w:basedOn w:val="List"/>
    <w:rsid w:val="00AB4D9C"/>
    <w:pPr>
      <w:ind w:firstLine="0"/>
    </w:pPr>
  </w:style>
  <w:style w:type="paragraph" w:customStyle="1" w:styleId="ListNote">
    <w:name w:val="List Note"/>
    <w:basedOn w:val="List"/>
    <w:rsid w:val="00AB4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D9C"/>
    <w:rPr>
      <w:rFonts w:ascii="Courier New" w:hAnsi="Courier New"/>
    </w:rPr>
  </w:style>
  <w:style w:type="paragraph" w:customStyle="1" w:styleId="NoteBullet">
    <w:name w:val="Note Bullet"/>
    <w:basedOn w:val="Note"/>
    <w:rsid w:val="00AB4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D9C"/>
    <w:rPr>
      <w:b/>
      <w:smallCaps/>
    </w:rPr>
  </w:style>
  <w:style w:type="paragraph" w:customStyle="1" w:styleId="TableListNumber">
    <w:name w:val="Table List Number"/>
    <w:basedOn w:val="ListNumber"/>
    <w:rsid w:val="00AB4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D9C"/>
    <w:pPr>
      <w:numPr>
        <w:numId w:val="9"/>
      </w:numPr>
    </w:pPr>
  </w:style>
  <w:style w:type="paragraph" w:customStyle="1" w:styleId="ListAlpha2">
    <w:name w:val="List Alpha 2"/>
    <w:basedOn w:val="List2"/>
    <w:rsid w:val="00AB4D9C"/>
    <w:pPr>
      <w:numPr>
        <w:numId w:val="8"/>
      </w:numPr>
    </w:pPr>
  </w:style>
  <w:style w:type="paragraph" w:styleId="List2">
    <w:name w:val="List 2"/>
    <w:basedOn w:val="BodyText"/>
    <w:rsid w:val="00AB4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D9C"/>
    <w:pPr>
      <w:numPr>
        <w:numId w:val="4"/>
      </w:numPr>
    </w:pPr>
  </w:style>
  <w:style w:type="paragraph" w:styleId="ListContinue2">
    <w:name w:val="List Continue 2"/>
    <w:basedOn w:val="List2"/>
    <w:rsid w:val="00AB4D9C"/>
    <w:pPr>
      <w:ind w:firstLine="0"/>
    </w:pPr>
  </w:style>
  <w:style w:type="paragraph" w:styleId="ListContinue3">
    <w:name w:val="List Continue 3"/>
    <w:basedOn w:val="List3"/>
    <w:rsid w:val="00AB4D9C"/>
    <w:pPr>
      <w:ind w:left="1021" w:firstLine="0"/>
    </w:pPr>
  </w:style>
  <w:style w:type="paragraph" w:styleId="ListContinue4">
    <w:name w:val="List Continue 4"/>
    <w:basedOn w:val="List4"/>
    <w:rsid w:val="00AB4D9C"/>
    <w:pPr>
      <w:ind w:firstLine="0"/>
    </w:pPr>
  </w:style>
  <w:style w:type="paragraph" w:styleId="ListContinue5">
    <w:name w:val="List Continue 5"/>
    <w:basedOn w:val="List5"/>
    <w:rsid w:val="00AB4D9C"/>
    <w:pPr>
      <w:ind w:firstLine="0"/>
    </w:pPr>
  </w:style>
  <w:style w:type="paragraph" w:styleId="ListNumber3">
    <w:name w:val="List Number 3"/>
    <w:basedOn w:val="List3"/>
    <w:rsid w:val="00AB4D9C"/>
    <w:pPr>
      <w:numPr>
        <w:numId w:val="5"/>
      </w:numPr>
    </w:pPr>
  </w:style>
  <w:style w:type="paragraph" w:styleId="ListNumber4">
    <w:name w:val="List Number 4"/>
    <w:basedOn w:val="List4"/>
    <w:rsid w:val="00AB4D9C"/>
    <w:pPr>
      <w:numPr>
        <w:numId w:val="6"/>
      </w:numPr>
    </w:pPr>
  </w:style>
  <w:style w:type="paragraph" w:styleId="ListNumber5">
    <w:name w:val="List Number 5"/>
    <w:basedOn w:val="List5"/>
    <w:rsid w:val="00AB4D9C"/>
    <w:pPr>
      <w:numPr>
        <w:numId w:val="7"/>
      </w:numPr>
    </w:pPr>
  </w:style>
  <w:style w:type="paragraph" w:styleId="BlockText">
    <w:name w:val="Block Text"/>
    <w:basedOn w:val="Normal"/>
    <w:rsid w:val="00AB4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D9C"/>
    <w:rPr>
      <w:sz w:val="16"/>
      <w:vertAlign w:val="superscript"/>
    </w:rPr>
  </w:style>
  <w:style w:type="character" w:customStyle="1" w:styleId="Symbols">
    <w:name w:val="Symbols"/>
    <w:basedOn w:val="DefaultParagraphFont"/>
    <w:rsid w:val="00AB4D9C"/>
    <w:rPr>
      <w:rFonts w:ascii="Symbol" w:hAnsi="Symbol"/>
    </w:rPr>
  </w:style>
  <w:style w:type="character" w:customStyle="1" w:styleId="MenuOptions">
    <w:name w:val="Menu Options"/>
    <w:basedOn w:val="DefaultParagraphFont"/>
    <w:rsid w:val="00AB4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D9C"/>
    <w:rPr>
      <w:b/>
    </w:rPr>
  </w:style>
  <w:style w:type="character" w:customStyle="1" w:styleId="Underlined">
    <w:name w:val="Underlined"/>
    <w:basedOn w:val="DefaultParagraphFont"/>
    <w:rsid w:val="00AB4D9C"/>
    <w:rPr>
      <w:u w:val="single"/>
    </w:rPr>
  </w:style>
  <w:style w:type="paragraph" w:customStyle="1" w:styleId="TableBodyTextRight">
    <w:name w:val="Table Body Text Right"/>
    <w:basedOn w:val="TableBodyText"/>
    <w:rsid w:val="00AB4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D9C"/>
    <w:rPr>
      <w:sz w:val="18"/>
    </w:rPr>
  </w:style>
  <w:style w:type="paragraph" w:customStyle="1" w:styleId="BodySmallRight">
    <w:name w:val="Body Small Right"/>
    <w:basedOn w:val="BodyTextRight"/>
    <w:rsid w:val="00AB4D9C"/>
    <w:rPr>
      <w:sz w:val="18"/>
      <w:szCs w:val="18"/>
    </w:rPr>
  </w:style>
  <w:style w:type="paragraph" w:customStyle="1" w:styleId="MarginEdition">
    <w:name w:val="Margin Edition"/>
    <w:basedOn w:val="MarginNote"/>
    <w:rsid w:val="00AB4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D9C"/>
    <w:rPr>
      <w:sz w:val="2"/>
      <w:szCs w:val="2"/>
    </w:rPr>
  </w:style>
  <w:style w:type="character" w:customStyle="1" w:styleId="Small">
    <w:name w:val="Small"/>
    <w:basedOn w:val="DefaultParagraphFont"/>
    <w:rsid w:val="00AB4D9C"/>
    <w:rPr>
      <w:sz w:val="16"/>
    </w:rPr>
  </w:style>
  <w:style w:type="paragraph" w:customStyle="1" w:styleId="WideTable">
    <w:name w:val="Wide Table"/>
    <w:basedOn w:val="Normal"/>
    <w:rsid w:val="00AB4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D9C"/>
  </w:style>
  <w:style w:type="paragraph" w:styleId="Quote">
    <w:name w:val="Quote"/>
    <w:basedOn w:val="Heading1"/>
    <w:link w:val="QuoteChar"/>
    <w:qFormat/>
    <w:rsid w:val="00AB4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D9C"/>
    <w:pPr>
      <w:pageBreakBefore/>
    </w:pPr>
  </w:style>
  <w:style w:type="paragraph" w:customStyle="1" w:styleId="Border">
    <w:name w:val="Border"/>
    <w:basedOn w:val="Normal"/>
    <w:qFormat/>
    <w:rsid w:val="00AB4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D9C"/>
    <w:rPr>
      <w:u w:val="single"/>
    </w:rPr>
  </w:style>
  <w:style w:type="character" w:customStyle="1" w:styleId="BoldandItalics">
    <w:name w:val="Bold and Italics"/>
    <w:qFormat/>
    <w:rsid w:val="00AB4D9C"/>
    <w:rPr>
      <w:b/>
      <w:i/>
      <w:u w:val="none"/>
    </w:rPr>
  </w:style>
  <w:style w:type="paragraph" w:styleId="BalloonText">
    <w:name w:val="Balloon Text"/>
    <w:basedOn w:val="Normal"/>
    <w:link w:val="BalloonTextChar"/>
    <w:rsid w:val="00AB4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D9C"/>
    <w:pPr>
      <w:spacing w:before="0" w:after="0"/>
    </w:pPr>
  </w:style>
  <w:style w:type="paragraph" w:customStyle="1" w:styleId="BodyTextBold">
    <w:name w:val="Body Text Bold"/>
    <w:basedOn w:val="BodyText"/>
    <w:qFormat/>
    <w:rsid w:val="00AB4D9C"/>
    <w:rPr>
      <w:b/>
    </w:rPr>
  </w:style>
  <w:style w:type="character" w:styleId="Hyperlink">
    <w:name w:val="Hyperlink"/>
    <w:basedOn w:val="DefaultParagraphFont"/>
    <w:uiPriority w:val="99"/>
    <w:unhideWhenUsed/>
    <w:rsid w:val="00E16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3504</Characters>
  <Application>Microsoft Office Word</Application>
  <DocSecurity>0</DocSecurity>
  <Lines>120</Lines>
  <Paragraphs>95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MAR30818 Certificate III in Maritime Operations (Marine Engine Driver Grade 2 Near Coastal)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