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7FD" w:rsidP="004F37FD">
      <w:pPr>
        <w:pStyle w:val="Title"/>
      </w:pPr>
      <w:r>
        <w:fldChar w:fldCharType="begin"/>
      </w:r>
      <w:r>
        <w:instrText xml:space="preserve"> TITLE   \* MERGEFORMAT </w:instrText>
      </w:r>
      <w:r>
        <w:fldChar w:fldCharType="separate"/>
      </w:r>
      <w:r>
        <w:t>MAR30218 Certificate III in Maritime Operations (Integrated Rating)</w:t>
      </w:r>
      <w:r>
        <w:fldChar w:fldCharType="end"/>
      </w:r>
    </w:p>
    <w:p w:rsidR="004F37FD" w:rsidP="004F37FD">
      <w:pPr>
        <w:pStyle w:val="Version"/>
        <w:sectPr w:rsidSect="00666C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6C5E" w:rsidP="00666C5E">
      <w:pPr>
        <w:pStyle w:val="SuperHeading"/>
      </w:pPr>
      <w:r w:rsidRPr="00666C5E">
        <w:t>MAR30218 Certificate III in Maritime Operations (Integrated Rating)</w:t>
      </w:r>
    </w:p>
    <w:p w:rsidR="00000000" w:rsidRPr="00666C5E" w:rsidP="00666C5E">
      <w:pPr>
        <w:pStyle w:val="Heading1"/>
      </w:pPr>
      <w:bookmarkStart w:id="1" w:name="O_997482"/>
      <w:bookmarkEnd w:id="1"/>
      <w:r w:rsidRPr="00666C5E">
        <w:t>Modification History</w:t>
      </w:r>
    </w:p>
    <w:tbl>
      <w:tblPr>
        <w:tblW w:w="9497" w:type="dxa"/>
        <w:tblLayout w:type="fixed"/>
        <w:tblCellMar>
          <w:left w:w="62" w:type="dxa"/>
          <w:right w:w="62" w:type="dxa"/>
        </w:tblCellMar>
        <w:tblLook w:val="0000"/>
      </w:tblPr>
      <w:tblGrid>
        <w:gridCol w:w="9497"/>
      </w:tblGrid>
      <w:tr w:rsidTr="00666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6C5E" w:rsidP="00666C5E">
            <w:pPr>
              <w:pStyle w:val="BodyText"/>
            </w:pPr>
            <w:r w:rsidRPr="00666C5E">
              <w:t>Release 1. New qualification.</w:t>
            </w:r>
          </w:p>
        </w:tc>
      </w:tr>
    </w:tbl>
    <w:p w:rsidR="00000000" w:rsidRPr="00666C5E" w:rsidP="00666C5E">
      <w:pPr>
        <w:pStyle w:val="NoPaddingFontSize1"/>
      </w:pPr>
    </w:p>
    <w:p w:rsidR="00000000" w:rsidRPr="00666C5E" w:rsidP="00666C5E">
      <w:pPr>
        <w:pStyle w:val="AllowPageBreak"/>
      </w:pPr>
    </w:p>
    <w:p w:rsidR="00000000" w:rsidRPr="00666C5E" w:rsidP="00666C5E">
      <w:pPr>
        <w:pStyle w:val="Heading1"/>
      </w:pPr>
      <w:bookmarkStart w:id="2" w:name="O_997483"/>
      <w:bookmarkEnd w:id="2"/>
      <w:r w:rsidRPr="00666C5E">
        <w:t>Qualification Description</w:t>
      </w:r>
    </w:p>
    <w:tbl>
      <w:tblPr>
        <w:tblW w:w="9497" w:type="dxa"/>
        <w:tblLayout w:type="fixed"/>
        <w:tblCellMar>
          <w:left w:w="62" w:type="dxa"/>
          <w:right w:w="62" w:type="dxa"/>
        </w:tblCellMar>
        <w:tblLook w:val="0000"/>
      </w:tblPr>
      <w:tblGrid>
        <w:gridCol w:w="9497"/>
      </w:tblGrid>
      <w:tr w:rsidTr="00666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6C5E" w:rsidP="00666C5E">
            <w:pPr>
              <w:pStyle w:val="BodyText"/>
            </w:pPr>
            <w:r w:rsidRPr="00666C5E">
              <w:t>This qualification is suitable for people working in the rating stream in the maritime industry as a crew member on a ship, carrying out maintenance and lookout duties on decks and in ship engine rooms. Integrated ratings steer a vessel under the direction</w:t>
            </w:r>
            <w:r w:rsidRPr="00666C5E">
              <w:t xml:space="preserve"> of the officer of the watch, and work on deck and in the engine room under the direction of the officer of the watch. This qualification meets the competency requirements of an Integrated Rating as described in Marine Orders 70 and 73 (2014) under the Aus</w:t>
            </w:r>
            <w:r w:rsidRPr="00666C5E">
              <w:t>tralian Navigation Act 2012 administered by the Australian Maritime Safety Authority (AMSA). Other requirements include sea-service, a declaration of medical fitness and completion of a task record book. People seeking AMSA certification should check the r</w:t>
            </w:r>
            <w:r w:rsidRPr="00666C5E">
              <w:t>equirements with AMSA.</w:t>
            </w:r>
          </w:p>
        </w:tc>
      </w:tr>
    </w:tbl>
    <w:p w:rsidR="00000000" w:rsidRPr="00666C5E" w:rsidP="00666C5E">
      <w:pPr>
        <w:pStyle w:val="NoPaddingFontSize1"/>
      </w:pPr>
    </w:p>
    <w:p w:rsidR="00000000" w:rsidRPr="00666C5E" w:rsidP="00666C5E">
      <w:pPr>
        <w:pStyle w:val="AllowPageBreak"/>
      </w:pPr>
    </w:p>
    <w:p w:rsidR="00000000" w:rsidRPr="00666C5E" w:rsidP="00666C5E">
      <w:pPr>
        <w:pStyle w:val="Heading1"/>
      </w:pPr>
      <w:bookmarkStart w:id="3" w:name="O_997484"/>
      <w:bookmarkEnd w:id="3"/>
      <w:r w:rsidRPr="00666C5E">
        <w:t>Entry Requirements</w:t>
      </w:r>
    </w:p>
    <w:tbl>
      <w:tblPr>
        <w:tblW w:w="9497" w:type="dxa"/>
        <w:tblLayout w:type="fixed"/>
        <w:tblCellMar>
          <w:left w:w="62" w:type="dxa"/>
          <w:right w:w="62" w:type="dxa"/>
        </w:tblCellMar>
        <w:tblLook w:val="0000"/>
      </w:tblPr>
      <w:tblGrid>
        <w:gridCol w:w="9497"/>
      </w:tblGrid>
      <w:tr w:rsidTr="00666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6C5E" w:rsidP="00666C5E">
            <w:pPr>
              <w:pStyle w:val="BodyText"/>
            </w:pPr>
            <w:r w:rsidRPr="00666C5E">
              <w:t>There are no entry requirements for this qualification.</w:t>
            </w:r>
          </w:p>
        </w:tc>
      </w:tr>
    </w:tbl>
    <w:p w:rsidR="00000000" w:rsidRPr="00666C5E" w:rsidP="00666C5E">
      <w:pPr>
        <w:pStyle w:val="NoPaddingFontSize1"/>
      </w:pPr>
    </w:p>
    <w:p w:rsidR="00000000" w:rsidRPr="00666C5E" w:rsidP="00666C5E">
      <w:pPr>
        <w:pStyle w:val="AllowPageBreak"/>
      </w:pPr>
    </w:p>
    <w:p w:rsidR="00000000" w:rsidRPr="00666C5E" w:rsidP="00666C5E">
      <w:pPr>
        <w:pStyle w:val="Heading1"/>
      </w:pPr>
      <w:bookmarkStart w:id="4" w:name="O_997485"/>
      <w:bookmarkEnd w:id="4"/>
      <w:r w:rsidRPr="00666C5E">
        <w:t>Packaging Rules</w:t>
      </w:r>
    </w:p>
    <w:tbl>
      <w:tblPr>
        <w:tblW w:w="9497" w:type="dxa"/>
        <w:tblLayout w:type="fixed"/>
        <w:tblCellMar>
          <w:left w:w="62" w:type="dxa"/>
          <w:right w:w="62" w:type="dxa"/>
        </w:tblCellMar>
        <w:tblLook w:val="0000"/>
      </w:tblPr>
      <w:tblGrid>
        <w:gridCol w:w="2185"/>
        <w:gridCol w:w="7312"/>
      </w:tblGrid>
      <w:tr w:rsidTr="00666C5E">
        <w:tblPrEx>
          <w:tblW w:w="9497" w:type="dxa"/>
          <w:tblLayout w:type="fixed"/>
          <w:tblCellMar>
            <w:left w:w="62" w:type="dxa"/>
            <w:right w:w="62" w:type="dxa"/>
          </w:tblCellMar>
          <w:tblLook w:val="0000"/>
        </w:tblPrEx>
        <w:trPr>
          <w:trHeight w:val="1076"/>
        </w:trPr>
        <w:tc>
          <w:tcPr>
            <w:tcW w:w="9497" w:type="dxa"/>
            <w:gridSpan w:val="2"/>
            <w:tcBorders>
              <w:top w:val="nil"/>
              <w:left w:val="nil"/>
              <w:bottom w:val="nil"/>
              <w:right w:val="nil"/>
            </w:tcBorders>
            <w:tcMar>
              <w:top w:w="0" w:type="dxa"/>
              <w:left w:w="62" w:type="dxa"/>
              <w:bottom w:w="0" w:type="dxa"/>
              <w:right w:w="62" w:type="dxa"/>
            </w:tcMar>
          </w:tcPr>
          <w:p w:rsidR="00000000" w:rsidRPr="00666C5E" w:rsidP="00666C5E">
            <w:pPr>
              <w:pStyle w:val="BodyText"/>
            </w:pPr>
            <w:r w:rsidRPr="00666C5E">
              <w:t>Total number of units = 22</w:t>
            </w:r>
          </w:p>
          <w:p w:rsidR="00000000" w:rsidP="00666C5E">
            <w:pPr>
              <w:pStyle w:val="BodyText"/>
              <w:rPr>
                <w:lang w:val="en-NZ"/>
              </w:rPr>
            </w:pPr>
            <w:r w:rsidRPr="00666C5E">
              <w:t>22 core units</w:t>
            </w:r>
          </w:p>
        </w:tc>
      </w:tr>
      <w:tr w:rsidTr="00666C5E">
        <w:tblPrEx>
          <w:tblW w:w="9497" w:type="dxa"/>
          <w:tblLayout w:type="fixed"/>
          <w:tblCellMar>
            <w:left w:w="62" w:type="dxa"/>
            <w:right w:w="62" w:type="dxa"/>
          </w:tblCellMar>
          <w:tblLook w:val="0000"/>
        </w:tblPrEx>
        <w:trPr>
          <w:trHeight w:val="1076"/>
        </w:trPr>
        <w:tc>
          <w:tcPr>
            <w:tcW w:w="9497" w:type="dxa"/>
            <w:gridSpan w:val="2"/>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Core units</w:t>
            </w:r>
          </w:p>
        </w:tc>
      </w:tr>
      <w:tr w:rsidTr="00666C5E">
        <w:tblPrEx>
          <w:tblW w:w="9497" w:type="dxa"/>
          <w:tblLayout w:type="fixed"/>
          <w:tblCellMar>
            <w:left w:w="62" w:type="dxa"/>
            <w:right w:w="62" w:type="dxa"/>
          </w:tblCellMar>
          <w:tblLook w:val="0000"/>
        </w:tblPrEx>
        <w:trPr>
          <w:trHeight w:val="1076"/>
        </w:trPr>
        <w:tc>
          <w:tcPr>
            <w:tcW w:w="2185"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HLTAID003</w:t>
            </w:r>
          </w:p>
        </w:tc>
        <w:tc>
          <w:tcPr>
            <w:tcW w:w="7312"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 xml:space="preserve">Provide first aid </w:t>
            </w:r>
          </w:p>
        </w:tc>
      </w:tr>
      <w:tr w:rsidTr="00666C5E">
        <w:tblPrEx>
          <w:tblW w:w="9497" w:type="dxa"/>
          <w:tblLayout w:type="fixed"/>
          <w:tblCellMar>
            <w:left w:w="62" w:type="dxa"/>
            <w:right w:w="62" w:type="dxa"/>
          </w:tblCellMar>
          <w:tblLook w:val="0000"/>
        </w:tblPrEx>
        <w:trPr>
          <w:trHeight w:val="1076"/>
        </w:trPr>
        <w:tc>
          <w:tcPr>
            <w:tcW w:w="2185"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MARB016</w:t>
            </w:r>
          </w:p>
        </w:tc>
        <w:tc>
          <w:tcPr>
            <w:tcW w:w="7312"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 xml:space="preserve">Contribute to routine engine maintenance on a vessel </w:t>
            </w:r>
          </w:p>
        </w:tc>
      </w:tr>
      <w:tr w:rsidTr="00666C5E">
        <w:tblPrEx>
          <w:tblW w:w="9497" w:type="dxa"/>
          <w:tblLayout w:type="fixed"/>
          <w:tblCellMar>
            <w:left w:w="62" w:type="dxa"/>
            <w:right w:w="62" w:type="dxa"/>
          </w:tblCellMar>
          <w:tblLook w:val="0000"/>
        </w:tblPrEx>
        <w:trPr>
          <w:trHeight w:val="1076"/>
        </w:trPr>
        <w:tc>
          <w:tcPr>
            <w:tcW w:w="2185"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MARB017</w:t>
            </w:r>
          </w:p>
        </w:tc>
        <w:tc>
          <w:tcPr>
            <w:tcW w:w="7312"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Perform routine maintenance and repairs on a vessel</w:t>
            </w:r>
          </w:p>
        </w:tc>
      </w:tr>
      <w:tr w:rsidTr="00666C5E">
        <w:tblPrEx>
          <w:tblW w:w="9497" w:type="dxa"/>
          <w:tblLayout w:type="fixed"/>
          <w:tblCellMar>
            <w:left w:w="62" w:type="dxa"/>
            <w:right w:w="62" w:type="dxa"/>
          </w:tblCellMar>
          <w:tblLook w:val="0000"/>
        </w:tblPrEx>
        <w:trPr>
          <w:trHeight w:val="1076"/>
        </w:trPr>
        <w:tc>
          <w:tcPr>
            <w:tcW w:w="2185"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MARC027</w:t>
            </w:r>
          </w:p>
        </w:tc>
        <w:tc>
          <w:tcPr>
            <w:tcW w:w="7312"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Contribute to the operation of engine equipment and associated propulsion plant</w:t>
            </w:r>
          </w:p>
        </w:tc>
      </w:tr>
      <w:tr w:rsidTr="00666C5E">
        <w:tblPrEx>
          <w:tblW w:w="9497" w:type="dxa"/>
          <w:tblLayout w:type="fixed"/>
          <w:tblCellMar>
            <w:left w:w="62" w:type="dxa"/>
            <w:right w:w="62" w:type="dxa"/>
          </w:tblCellMar>
          <w:tblLook w:val="0000"/>
        </w:tblPrEx>
        <w:trPr>
          <w:trHeight w:val="1076"/>
        </w:trPr>
        <w:tc>
          <w:tcPr>
            <w:tcW w:w="2185"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MARC028</w:t>
            </w:r>
          </w:p>
        </w:tc>
        <w:tc>
          <w:tcPr>
            <w:tcW w:w="7312"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Operate deck machinery, cargo handling gear</w:t>
            </w:r>
            <w:r w:rsidRPr="00666C5E">
              <w:t xml:space="preserve"> and equipment on a vessel</w:t>
            </w:r>
          </w:p>
        </w:tc>
      </w:tr>
      <w:tr w:rsidTr="00666C5E">
        <w:tblPrEx>
          <w:tblW w:w="9497" w:type="dxa"/>
          <w:tblLayout w:type="fixed"/>
          <w:tblCellMar>
            <w:left w:w="62" w:type="dxa"/>
            <w:right w:w="62" w:type="dxa"/>
          </w:tblCellMar>
          <w:tblLook w:val="0000"/>
        </w:tblPrEx>
        <w:trPr>
          <w:trHeight w:val="1076"/>
        </w:trPr>
        <w:tc>
          <w:tcPr>
            <w:tcW w:w="2185"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MARC029</w:t>
            </w:r>
          </w:p>
        </w:tc>
        <w:tc>
          <w:tcPr>
            <w:tcW w:w="7312"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Perform rigging on board a vessel</w:t>
            </w:r>
          </w:p>
        </w:tc>
      </w:tr>
      <w:tr w:rsidTr="00666C5E">
        <w:tblPrEx>
          <w:tblW w:w="9497" w:type="dxa"/>
          <w:tblLayout w:type="fixed"/>
          <w:tblCellMar>
            <w:left w:w="62" w:type="dxa"/>
            <w:right w:w="62" w:type="dxa"/>
          </w:tblCellMar>
          <w:tblLook w:val="0000"/>
        </w:tblPrEx>
        <w:trPr>
          <w:trHeight w:val="1076"/>
        </w:trPr>
        <w:tc>
          <w:tcPr>
            <w:tcW w:w="2185"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MARC030</w:t>
            </w:r>
          </w:p>
        </w:tc>
        <w:tc>
          <w:tcPr>
            <w:tcW w:w="7312"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Use and care for hand and power tools</w:t>
            </w:r>
          </w:p>
        </w:tc>
      </w:tr>
      <w:tr w:rsidTr="00666C5E">
        <w:tblPrEx>
          <w:tblW w:w="9497" w:type="dxa"/>
          <w:tblLayout w:type="fixed"/>
          <w:tblCellMar>
            <w:left w:w="62" w:type="dxa"/>
            <w:right w:w="62" w:type="dxa"/>
          </w:tblCellMar>
          <w:tblLook w:val="0000"/>
        </w:tblPrEx>
        <w:trPr>
          <w:trHeight w:val="1076"/>
        </w:trPr>
        <w:tc>
          <w:tcPr>
            <w:tcW w:w="2185"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 xml:space="preserve">MARC032 </w:t>
            </w:r>
          </w:p>
        </w:tc>
        <w:tc>
          <w:tcPr>
            <w:tcW w:w="7312"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Perform dogging on board a vessel</w:t>
            </w:r>
          </w:p>
        </w:tc>
      </w:tr>
      <w:tr w:rsidTr="00666C5E">
        <w:tblPrEx>
          <w:tblW w:w="9497" w:type="dxa"/>
          <w:tblLayout w:type="fixed"/>
          <w:tblCellMar>
            <w:left w:w="62" w:type="dxa"/>
            <w:right w:w="62" w:type="dxa"/>
          </w:tblCellMar>
          <w:tblLook w:val="0000"/>
        </w:tblPrEx>
        <w:trPr>
          <w:trHeight w:val="1076"/>
        </w:trPr>
        <w:tc>
          <w:tcPr>
            <w:tcW w:w="2185"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 xml:space="preserve">MARF003 </w:t>
            </w:r>
          </w:p>
        </w:tc>
        <w:tc>
          <w:tcPr>
            <w:tcW w:w="7312"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 xml:space="preserve">Follow vessel security procedures </w:t>
            </w:r>
          </w:p>
        </w:tc>
      </w:tr>
      <w:tr w:rsidTr="00666C5E">
        <w:tblPrEx>
          <w:tblW w:w="9497" w:type="dxa"/>
          <w:tblLayout w:type="fixed"/>
          <w:tblCellMar>
            <w:left w:w="62" w:type="dxa"/>
            <w:right w:w="62" w:type="dxa"/>
          </w:tblCellMar>
          <w:tblLook w:val="0000"/>
        </w:tblPrEx>
        <w:trPr>
          <w:trHeight w:val="1076"/>
        </w:trPr>
        <w:tc>
          <w:tcPr>
            <w:tcW w:w="2185"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MARF006</w:t>
            </w:r>
          </w:p>
        </w:tc>
        <w:tc>
          <w:tcPr>
            <w:tcW w:w="7312"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Observe personal safety and social responsibility</w:t>
            </w:r>
          </w:p>
        </w:tc>
      </w:tr>
      <w:tr w:rsidTr="00666C5E">
        <w:tblPrEx>
          <w:tblW w:w="9497" w:type="dxa"/>
          <w:tblLayout w:type="fixed"/>
          <w:tblCellMar>
            <w:left w:w="62" w:type="dxa"/>
            <w:right w:w="62" w:type="dxa"/>
          </w:tblCellMar>
          <w:tblLook w:val="0000"/>
        </w:tblPrEx>
        <w:trPr>
          <w:trHeight w:val="1076"/>
        </w:trPr>
        <w:tc>
          <w:tcPr>
            <w:tcW w:w="2185"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MARF007</w:t>
            </w:r>
          </w:p>
        </w:tc>
        <w:tc>
          <w:tcPr>
            <w:tcW w:w="7312"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Operate survival craft and other lifesaving appliances</w:t>
            </w:r>
          </w:p>
        </w:tc>
      </w:tr>
      <w:tr w:rsidTr="00666C5E">
        <w:tblPrEx>
          <w:tblW w:w="9497" w:type="dxa"/>
          <w:tblLayout w:type="fixed"/>
          <w:tblCellMar>
            <w:left w:w="62" w:type="dxa"/>
            <w:right w:w="62" w:type="dxa"/>
          </w:tblCellMar>
          <w:tblLook w:val="0000"/>
        </w:tblPrEx>
        <w:trPr>
          <w:trHeight w:val="1076"/>
        </w:trPr>
        <w:tc>
          <w:tcPr>
            <w:tcW w:w="2185"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MARF008</w:t>
            </w:r>
          </w:p>
        </w:tc>
        <w:tc>
          <w:tcPr>
            <w:tcW w:w="7312"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Prevent and fight fires on board a vessel</w:t>
            </w:r>
          </w:p>
        </w:tc>
      </w:tr>
      <w:tr w:rsidTr="00666C5E">
        <w:tblPrEx>
          <w:tblW w:w="9497" w:type="dxa"/>
          <w:tblLayout w:type="fixed"/>
          <w:tblCellMar>
            <w:left w:w="62" w:type="dxa"/>
            <w:right w:w="62" w:type="dxa"/>
          </w:tblCellMar>
          <w:tblLook w:val="0000"/>
        </w:tblPrEx>
        <w:trPr>
          <w:trHeight w:val="1076"/>
        </w:trPr>
        <w:tc>
          <w:tcPr>
            <w:tcW w:w="2185"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MARF009</w:t>
            </w:r>
          </w:p>
        </w:tc>
        <w:tc>
          <w:tcPr>
            <w:tcW w:w="7312"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Survive at sea in the event of vessel abandonment</w:t>
            </w:r>
          </w:p>
        </w:tc>
      </w:tr>
      <w:tr w:rsidTr="00666C5E">
        <w:tblPrEx>
          <w:tblW w:w="9497" w:type="dxa"/>
          <w:tblLayout w:type="fixed"/>
          <w:tblCellMar>
            <w:left w:w="62" w:type="dxa"/>
            <w:right w:w="62" w:type="dxa"/>
          </w:tblCellMar>
          <w:tblLook w:val="0000"/>
        </w:tblPrEx>
        <w:trPr>
          <w:trHeight w:val="1076"/>
        </w:trPr>
        <w:tc>
          <w:tcPr>
            <w:tcW w:w="2185"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MARF018</w:t>
            </w:r>
          </w:p>
        </w:tc>
        <w:tc>
          <w:tcPr>
            <w:tcW w:w="7312"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Assist in an emergency response</w:t>
            </w:r>
          </w:p>
        </w:tc>
      </w:tr>
      <w:tr w:rsidTr="00666C5E">
        <w:tblPrEx>
          <w:tblW w:w="9497" w:type="dxa"/>
          <w:tblLayout w:type="fixed"/>
          <w:tblCellMar>
            <w:left w:w="62" w:type="dxa"/>
            <w:right w:w="62" w:type="dxa"/>
          </w:tblCellMar>
          <w:tblLook w:val="0000"/>
        </w:tblPrEx>
        <w:trPr>
          <w:trHeight w:val="1076"/>
        </w:trPr>
        <w:tc>
          <w:tcPr>
            <w:tcW w:w="2185"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MARF019</w:t>
            </w:r>
          </w:p>
        </w:tc>
        <w:tc>
          <w:tcPr>
            <w:tcW w:w="7312"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Operate emergency equipment and apply emergency procedures</w:t>
            </w:r>
          </w:p>
        </w:tc>
      </w:tr>
      <w:tr w:rsidTr="00666C5E">
        <w:tblPrEx>
          <w:tblW w:w="9497" w:type="dxa"/>
          <w:tblLayout w:type="fixed"/>
          <w:tblCellMar>
            <w:left w:w="62" w:type="dxa"/>
            <w:right w:w="62" w:type="dxa"/>
          </w:tblCellMar>
          <w:tblLook w:val="0000"/>
        </w:tblPrEx>
        <w:trPr>
          <w:trHeight w:val="1076"/>
        </w:trPr>
        <w:tc>
          <w:tcPr>
            <w:tcW w:w="2185"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MARJ006</w:t>
            </w:r>
          </w:p>
        </w:tc>
        <w:tc>
          <w:tcPr>
            <w:tcW w:w="7312"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Follow environmental work practices</w:t>
            </w:r>
          </w:p>
        </w:tc>
      </w:tr>
      <w:tr w:rsidTr="00666C5E">
        <w:tblPrEx>
          <w:tblW w:w="9497" w:type="dxa"/>
          <w:tblLayout w:type="fixed"/>
          <w:tblCellMar>
            <w:left w:w="62" w:type="dxa"/>
            <w:right w:w="62" w:type="dxa"/>
          </w:tblCellMar>
          <w:tblLook w:val="0000"/>
        </w:tblPrEx>
        <w:trPr>
          <w:trHeight w:val="1076"/>
        </w:trPr>
        <w:tc>
          <w:tcPr>
            <w:tcW w:w="2185"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MARK005</w:t>
            </w:r>
          </w:p>
        </w:tc>
        <w:tc>
          <w:tcPr>
            <w:tcW w:w="7312"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Steer a vessel under direction of the Master</w:t>
            </w:r>
          </w:p>
        </w:tc>
      </w:tr>
      <w:tr w:rsidTr="00666C5E">
        <w:tblPrEx>
          <w:tblW w:w="9497" w:type="dxa"/>
          <w:tblLayout w:type="fixed"/>
          <w:tblCellMar>
            <w:left w:w="62" w:type="dxa"/>
            <w:right w:w="62" w:type="dxa"/>
          </w:tblCellMar>
          <w:tblLook w:val="0000"/>
        </w:tblPrEx>
        <w:trPr>
          <w:trHeight w:val="1076"/>
        </w:trPr>
        <w:tc>
          <w:tcPr>
            <w:tcW w:w="2185"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MARN007</w:t>
            </w:r>
          </w:p>
        </w:tc>
        <w:tc>
          <w:tcPr>
            <w:tcW w:w="7312"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Use seamanship skills on board a vessel</w:t>
            </w:r>
          </w:p>
        </w:tc>
      </w:tr>
      <w:tr w:rsidTr="00666C5E">
        <w:tblPrEx>
          <w:tblW w:w="9497" w:type="dxa"/>
          <w:tblLayout w:type="fixed"/>
          <w:tblCellMar>
            <w:left w:w="62" w:type="dxa"/>
            <w:right w:w="62" w:type="dxa"/>
          </w:tblCellMar>
          <w:tblLook w:val="0000"/>
        </w:tblPrEx>
        <w:trPr>
          <w:trHeight w:val="1076"/>
        </w:trPr>
        <w:tc>
          <w:tcPr>
            <w:tcW w:w="2185"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MARO005</w:t>
            </w:r>
          </w:p>
        </w:tc>
        <w:tc>
          <w:tcPr>
            <w:tcW w:w="7312"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Contribute to monitoring and controlling a safe engine watch</w:t>
            </w:r>
          </w:p>
        </w:tc>
      </w:tr>
      <w:tr w:rsidTr="00666C5E">
        <w:tblPrEx>
          <w:tblW w:w="9497" w:type="dxa"/>
          <w:tblLayout w:type="fixed"/>
          <w:tblCellMar>
            <w:left w:w="62" w:type="dxa"/>
            <w:right w:w="62" w:type="dxa"/>
          </w:tblCellMar>
          <w:tblLook w:val="0000"/>
        </w:tblPrEx>
        <w:trPr>
          <w:trHeight w:val="1076"/>
        </w:trPr>
        <w:tc>
          <w:tcPr>
            <w:tcW w:w="2185"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MARO006</w:t>
            </w:r>
          </w:p>
        </w:tc>
        <w:tc>
          <w:tcPr>
            <w:tcW w:w="7312"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Contribute to monitoring and controlling a safe navigational watch</w:t>
            </w:r>
          </w:p>
        </w:tc>
      </w:tr>
      <w:tr w:rsidTr="00666C5E">
        <w:tblPrEx>
          <w:tblW w:w="9497" w:type="dxa"/>
          <w:tblLayout w:type="fixed"/>
          <w:tblCellMar>
            <w:left w:w="62" w:type="dxa"/>
            <w:right w:w="62" w:type="dxa"/>
          </w:tblCellMar>
          <w:tblLook w:val="0000"/>
        </w:tblPrEx>
        <w:trPr>
          <w:trHeight w:val="1076"/>
        </w:trPr>
        <w:tc>
          <w:tcPr>
            <w:tcW w:w="2185"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 xml:space="preserve">MSMPER200 </w:t>
            </w:r>
          </w:p>
        </w:tc>
        <w:tc>
          <w:tcPr>
            <w:tcW w:w="7312"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 xml:space="preserve">Work in accordance with an issued permit </w:t>
            </w:r>
          </w:p>
        </w:tc>
      </w:tr>
      <w:tr w:rsidTr="00666C5E">
        <w:tblPrEx>
          <w:tblW w:w="9497" w:type="dxa"/>
          <w:tblLayout w:type="fixed"/>
          <w:tblCellMar>
            <w:left w:w="62" w:type="dxa"/>
            <w:right w:w="62" w:type="dxa"/>
          </w:tblCellMar>
          <w:tblLook w:val="0000"/>
        </w:tblPrEx>
        <w:trPr>
          <w:trHeight w:val="1076"/>
        </w:trPr>
        <w:tc>
          <w:tcPr>
            <w:tcW w:w="2185" w:type="dxa"/>
            <w:tcBorders>
              <w:top w:val="nil"/>
              <w:left w:val="nil"/>
              <w:bottom w:val="nil"/>
              <w:right w:val="nil"/>
            </w:tcBorders>
            <w:tcMar>
              <w:top w:w="0" w:type="dxa"/>
              <w:left w:w="62" w:type="dxa"/>
              <w:bottom w:w="0" w:type="dxa"/>
              <w:right w:w="62" w:type="dxa"/>
            </w:tcMar>
          </w:tcPr>
          <w:p w:rsidR="00000000" w:rsidP="00666C5E">
            <w:pPr>
              <w:pStyle w:val="BodyText"/>
              <w:rPr>
                <w:lang w:val="en-NZ"/>
              </w:rPr>
            </w:pPr>
            <w:r w:rsidRPr="00666C5E">
              <w:t xml:space="preserve">MSMPER205 </w:t>
            </w:r>
          </w:p>
        </w:tc>
        <w:tc>
          <w:tcPr>
            <w:tcW w:w="7312" w:type="dxa"/>
            <w:tcBorders>
              <w:top w:val="nil"/>
              <w:left w:val="nil"/>
              <w:bottom w:val="nil"/>
              <w:right w:val="nil"/>
            </w:tcBorders>
            <w:tcMar>
              <w:top w:w="0" w:type="dxa"/>
              <w:left w:w="62" w:type="dxa"/>
              <w:bottom w:w="0" w:type="dxa"/>
              <w:right w:w="62" w:type="dxa"/>
            </w:tcMar>
          </w:tcPr>
          <w:p w:rsidR="00000000" w:rsidRPr="00666C5E" w:rsidP="00666C5E">
            <w:pPr>
              <w:pStyle w:val="BodyText"/>
            </w:pPr>
            <w:r w:rsidRPr="00666C5E">
              <w:t xml:space="preserve">Enter confined space </w:t>
            </w:r>
          </w:p>
        </w:tc>
      </w:tr>
    </w:tbl>
    <w:p w:rsidR="00000000" w:rsidRPr="00666C5E" w:rsidP="00666C5E">
      <w:pPr>
        <w:pStyle w:val="NoPaddingFontSize1"/>
      </w:pPr>
    </w:p>
    <w:p w:rsidR="00000000" w:rsidRPr="00666C5E" w:rsidP="00666C5E">
      <w:pPr>
        <w:pStyle w:val="AllowPageBreak"/>
      </w:pPr>
    </w:p>
    <w:p w:rsidR="00000000" w:rsidRPr="00666C5E" w:rsidP="00666C5E">
      <w:pPr>
        <w:pStyle w:val="Heading1"/>
      </w:pPr>
      <w:bookmarkStart w:id="5" w:name="O_997486"/>
      <w:bookmarkEnd w:id="5"/>
      <w:r w:rsidRPr="00666C5E">
        <w:t>Qualification Mapping Information</w:t>
      </w:r>
    </w:p>
    <w:tbl>
      <w:tblPr>
        <w:tblW w:w="9497" w:type="dxa"/>
        <w:tblLayout w:type="fixed"/>
        <w:tblCellMar>
          <w:left w:w="62" w:type="dxa"/>
          <w:right w:w="62" w:type="dxa"/>
        </w:tblCellMar>
        <w:tblLook w:val="0000"/>
      </w:tblPr>
      <w:tblGrid>
        <w:gridCol w:w="9497"/>
      </w:tblGrid>
      <w:tr w:rsidTr="00666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6C5E" w:rsidP="00666C5E">
            <w:pPr>
              <w:pStyle w:val="BodyText"/>
            </w:pPr>
            <w:r w:rsidRPr="00666C5E">
              <w:t>This qualification supersedes and is equivalent to MAR30116 Certificate III in Maritime Operations (Integrated Rating)</w:t>
            </w:r>
          </w:p>
        </w:tc>
      </w:tr>
    </w:tbl>
    <w:p w:rsidR="00000000" w:rsidRPr="00666C5E" w:rsidP="00666C5E">
      <w:pPr>
        <w:pStyle w:val="NoPaddingFontSize1"/>
      </w:pPr>
    </w:p>
    <w:p w:rsidR="00000000" w:rsidRPr="00666C5E" w:rsidP="00666C5E">
      <w:pPr>
        <w:pStyle w:val="AllowPageBreak"/>
      </w:pPr>
    </w:p>
    <w:p w:rsidR="00000000" w:rsidRPr="00666C5E" w:rsidP="00666C5E">
      <w:pPr>
        <w:pStyle w:val="Heading1"/>
      </w:pPr>
      <w:bookmarkStart w:id="6" w:name="O_997488"/>
      <w:bookmarkEnd w:id="6"/>
      <w:r w:rsidRPr="00666C5E">
        <w:t>Links</w:t>
      </w:r>
    </w:p>
    <w:p w:rsidR="00000000" w:rsidRPr="00666C5E" w:rsidP="00666C5E">
      <w:pPr>
        <w:pStyle w:val="BodyText"/>
      </w:pPr>
      <w:r w:rsidRPr="00666C5E">
        <w:t>Companion Volume implementation guides are found in VETNet - https://vetnet.ed</w:t>
      </w:r>
      <w:r w:rsidRPr="00666C5E">
        <w:t>ucation.gov.au/Pages/TrainingDocs.aspx?q=772efb7b-4cce-47fe-9bbd-ee3b1d1eb4c2</w:t>
      </w:r>
    </w:p>
    <w:p w:rsidR="00000000" w:rsidRPr="00666C5E" w:rsidP="00666C5E"/>
    <w:sectPr w:rsidSect="00666C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5E" w:rsidRPr="004F37FD" w:rsidP="004F37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7FD" w:rsidP="00666C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F37FD" w:rsidP="00666C5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F37FD" w:rsidP="00666C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7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6C5E" w:rsidRPr="004F37FD" w:rsidP="004F37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7FD" w:rsidRPr="002D2AF8" w:rsidP="00666C5E">
    <w:pPr>
      <w:pStyle w:val="Header"/>
      <w:framePr w:wrap="around"/>
    </w:pPr>
    <w:r>
      <w:fldChar w:fldCharType="begin"/>
    </w:r>
    <w:r>
      <w:instrText xml:space="preserve"> TITLE   \* MERGEFORMAT </w:instrText>
    </w:r>
    <w:r>
      <w:fldChar w:fldCharType="separate"/>
    </w:r>
    <w:r>
      <w:t>MAR30218 Certificate III in Maritime Operations (Integrated Rating)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July 2018</w:t>
    </w:r>
    <w:r>
      <w:fldChar w:fldCharType="end"/>
    </w:r>
  </w:p>
  <w:p w:rsidR="004F37FD" w:rsidP="00666C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C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6C5E"/>
    <w:pPr>
      <w:spacing w:before="360" w:after="60"/>
      <w:outlineLvl w:val="0"/>
    </w:pPr>
    <w:rPr>
      <w:sz w:val="32"/>
    </w:rPr>
  </w:style>
  <w:style w:type="paragraph" w:styleId="Heading2">
    <w:name w:val="heading 2"/>
    <w:basedOn w:val="HeadingBase"/>
    <w:next w:val="BodyText"/>
    <w:link w:val="Heading2Char"/>
    <w:qFormat/>
    <w:rsid w:val="00666C5E"/>
    <w:pPr>
      <w:keepLines/>
      <w:spacing w:before="240" w:after="120"/>
      <w:outlineLvl w:val="1"/>
    </w:pPr>
    <w:rPr>
      <w:sz w:val="28"/>
      <w:szCs w:val="40"/>
    </w:rPr>
  </w:style>
  <w:style w:type="paragraph" w:styleId="Heading3">
    <w:name w:val="heading 3"/>
    <w:basedOn w:val="HeadingBase"/>
    <w:next w:val="BodyText"/>
    <w:link w:val="Heading3Char"/>
    <w:qFormat/>
    <w:rsid w:val="00666C5E"/>
    <w:pPr>
      <w:spacing w:before="180" w:after="120"/>
      <w:outlineLvl w:val="2"/>
    </w:pPr>
    <w:rPr>
      <w:spacing w:val="-10"/>
      <w:kern w:val="32"/>
    </w:rPr>
  </w:style>
  <w:style w:type="paragraph" w:styleId="Heading4">
    <w:name w:val="heading 4"/>
    <w:basedOn w:val="HeadingBase"/>
    <w:next w:val="BodyText"/>
    <w:link w:val="Heading4Char"/>
    <w:qFormat/>
    <w:rsid w:val="00666C5E"/>
    <w:pPr>
      <w:spacing w:before="160" w:after="120"/>
      <w:outlineLvl w:val="3"/>
    </w:pPr>
    <w:rPr>
      <w:sz w:val="22"/>
    </w:rPr>
  </w:style>
  <w:style w:type="paragraph" w:styleId="Heading5">
    <w:name w:val="heading 5"/>
    <w:basedOn w:val="HeadingBase"/>
    <w:next w:val="Normal"/>
    <w:link w:val="Heading5Char"/>
    <w:qFormat/>
    <w:rsid w:val="00666C5E"/>
    <w:pPr>
      <w:spacing w:before="80"/>
      <w:outlineLvl w:val="4"/>
    </w:pPr>
    <w:rPr>
      <w:color w:val="918585"/>
      <w:sz w:val="20"/>
    </w:rPr>
  </w:style>
  <w:style w:type="paragraph" w:styleId="Heading6">
    <w:name w:val="heading 6"/>
    <w:basedOn w:val="HeadingBase"/>
    <w:next w:val="Normal"/>
    <w:link w:val="Heading6Char"/>
    <w:qFormat/>
    <w:rsid w:val="00666C5E"/>
    <w:pPr>
      <w:spacing w:before="60"/>
      <w:outlineLvl w:val="5"/>
    </w:pPr>
    <w:rPr>
      <w:color w:val="918585"/>
      <w:sz w:val="20"/>
    </w:rPr>
  </w:style>
  <w:style w:type="paragraph" w:styleId="Heading7">
    <w:name w:val="heading 7"/>
    <w:basedOn w:val="Normal"/>
    <w:next w:val="Normal"/>
    <w:link w:val="Heading7Char"/>
    <w:qFormat/>
    <w:rsid w:val="00666C5E"/>
    <w:pPr>
      <w:ind w:left="720"/>
      <w:outlineLvl w:val="6"/>
    </w:pPr>
    <w:rPr>
      <w:i/>
    </w:rPr>
  </w:style>
  <w:style w:type="paragraph" w:styleId="Heading8">
    <w:name w:val="heading 8"/>
    <w:basedOn w:val="Normal"/>
    <w:next w:val="Normal"/>
    <w:link w:val="Heading8Char"/>
    <w:qFormat/>
    <w:rsid w:val="00666C5E"/>
    <w:pPr>
      <w:ind w:left="720"/>
      <w:outlineLvl w:val="7"/>
    </w:pPr>
    <w:rPr>
      <w:i/>
    </w:rPr>
  </w:style>
  <w:style w:type="paragraph" w:styleId="Heading9">
    <w:name w:val="heading 9"/>
    <w:basedOn w:val="Normal"/>
    <w:next w:val="Normal"/>
    <w:link w:val="Heading9Char"/>
    <w:qFormat/>
    <w:rsid w:val="00666C5E"/>
    <w:pPr>
      <w:ind w:left="720"/>
      <w:outlineLvl w:val="8"/>
    </w:pPr>
    <w:rPr>
      <w:i/>
    </w:rPr>
  </w:style>
  <w:style w:type="character" w:default="1" w:styleId="DefaultParagraphFont">
    <w:name w:val="Default Paragraph Font"/>
    <w:uiPriority w:val="1"/>
    <w:unhideWhenUsed/>
    <w:rsid w:val="00666C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C5E"/>
  </w:style>
  <w:style w:type="character" w:customStyle="1" w:styleId="Heading1Char">
    <w:name w:val="Heading 1 Char"/>
    <w:basedOn w:val="DefaultParagraphFont"/>
    <w:link w:val="Heading1"/>
    <w:rsid w:val="00666C5E"/>
    <w:rPr>
      <w:rFonts w:ascii="Times New Roman" w:eastAsia="Times New Roman" w:hAnsi="Times New Roman" w:cs="Times New Roman"/>
      <w:b/>
      <w:sz w:val="32"/>
      <w:szCs w:val="20"/>
      <w:lang w:eastAsia="en-US"/>
    </w:rPr>
  </w:style>
  <w:style w:type="paragraph" w:styleId="BodyText">
    <w:name w:val="Body Text"/>
    <w:basedOn w:val="Normal"/>
    <w:link w:val="BodyTextChar"/>
    <w:rsid w:val="00666C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6C5E"/>
    <w:rPr>
      <w:rFonts w:ascii="Times New Roman" w:eastAsia="Times New Roman" w:hAnsi="Times New Roman" w:cs="Times New Roman"/>
      <w:sz w:val="24"/>
      <w:lang w:eastAsia="en-US"/>
    </w:rPr>
  </w:style>
  <w:style w:type="paragraph" w:customStyle="1" w:styleId="SuperHeading">
    <w:name w:val="SuperHeading"/>
    <w:basedOn w:val="Normal"/>
    <w:rsid w:val="00666C5E"/>
    <w:pPr>
      <w:spacing w:before="240" w:after="120"/>
      <w:outlineLvl w:val="0"/>
    </w:pPr>
    <w:rPr>
      <w:rFonts w:ascii="Times New Roman" w:hAnsi="Times New Roman"/>
      <w:b/>
      <w:sz w:val="32"/>
    </w:rPr>
  </w:style>
  <w:style w:type="paragraph" w:customStyle="1" w:styleId="AllowPageBreak">
    <w:name w:val="AllowPageBreak"/>
    <w:rsid w:val="00666C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6C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C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C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C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C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C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6C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6C5E"/>
    <w:rPr>
      <w:rFonts w:ascii="Courier New" w:eastAsia="Times New Roman" w:hAnsi="Courier New" w:cs="Times New Roman"/>
      <w:i/>
      <w:szCs w:val="20"/>
      <w:lang w:eastAsia="en-US"/>
    </w:rPr>
  </w:style>
  <w:style w:type="paragraph" w:customStyle="1" w:styleId="HeadingBase">
    <w:name w:val="Heading Base"/>
    <w:rsid w:val="00666C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C5E"/>
    <w:pPr>
      <w:tabs>
        <w:tab w:val="right" w:leader="dot" w:pos="9072"/>
      </w:tabs>
      <w:ind w:left="567"/>
    </w:pPr>
    <w:rPr>
      <w:szCs w:val="22"/>
    </w:rPr>
  </w:style>
  <w:style w:type="paragraph" w:customStyle="1" w:styleId="TOCBase">
    <w:name w:val="TOC Base"/>
    <w:rsid w:val="00666C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C5E"/>
    <w:pPr>
      <w:tabs>
        <w:tab w:val="right" w:leader="dot" w:pos="9072"/>
      </w:tabs>
      <w:spacing w:before="40" w:after="40"/>
      <w:ind w:left="284"/>
    </w:pPr>
    <w:rPr>
      <w:rFonts w:ascii="Times New Roman" w:hAnsi="Times New Roman"/>
    </w:rPr>
  </w:style>
  <w:style w:type="paragraph" w:styleId="TOC1">
    <w:name w:val="toc 1"/>
    <w:basedOn w:val="TOCBase"/>
    <w:next w:val="Normal"/>
    <w:rsid w:val="00666C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6C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C5E"/>
    <w:rPr>
      <w:rFonts w:ascii="Times New Roman" w:eastAsia="Times New Roman" w:hAnsi="Times New Roman" w:cs="Times New Roman"/>
      <w:sz w:val="16"/>
      <w:lang w:eastAsia="en-US"/>
    </w:rPr>
  </w:style>
  <w:style w:type="paragraph" w:styleId="Title">
    <w:name w:val="Title"/>
    <w:basedOn w:val="HeadingBase"/>
    <w:link w:val="TitleChar"/>
    <w:qFormat/>
    <w:rsid w:val="00666C5E"/>
    <w:pPr>
      <w:spacing w:before="5040"/>
      <w:jc w:val="center"/>
    </w:pPr>
    <w:rPr>
      <w:sz w:val="48"/>
      <w:szCs w:val="72"/>
      <w:lang w:val="en-US"/>
    </w:rPr>
  </w:style>
  <w:style w:type="character" w:customStyle="1" w:styleId="TitleChar">
    <w:name w:val="Title Char"/>
    <w:basedOn w:val="DefaultParagraphFont"/>
    <w:link w:val="Title"/>
    <w:rsid w:val="00666C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C5E"/>
    <w:pPr>
      <w:tabs>
        <w:tab w:val="left" w:pos="3600"/>
        <w:tab w:val="left" w:pos="3958"/>
      </w:tabs>
    </w:pPr>
  </w:style>
  <w:style w:type="paragraph" w:styleId="List">
    <w:name w:val="List"/>
    <w:basedOn w:val="BodyText"/>
    <w:next w:val="BodyText"/>
    <w:rsid w:val="00666C5E"/>
    <w:pPr>
      <w:tabs>
        <w:tab w:val="left" w:pos="340"/>
      </w:tabs>
      <w:spacing w:before="60" w:after="60"/>
      <w:ind w:left="340" w:hanging="340"/>
    </w:pPr>
  </w:style>
  <w:style w:type="paragraph" w:styleId="ListBullet">
    <w:name w:val="List Bullet"/>
    <w:basedOn w:val="List"/>
    <w:rsid w:val="00666C5E"/>
    <w:pPr>
      <w:numPr>
        <w:numId w:val="11"/>
      </w:numPr>
      <w:tabs>
        <w:tab w:val="clear" w:pos="340"/>
      </w:tabs>
      <w:spacing w:before="40" w:after="40"/>
    </w:pPr>
  </w:style>
  <w:style w:type="paragraph" w:customStyle="1" w:styleId="Note">
    <w:name w:val="Note"/>
    <w:basedOn w:val="BodyText"/>
    <w:rsid w:val="00666C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6C5E"/>
    <w:rPr>
      <w:b/>
      <w:spacing w:val="0"/>
    </w:rPr>
  </w:style>
  <w:style w:type="paragraph" w:customStyle="1" w:styleId="SuperTitle">
    <w:name w:val="SuperTitle"/>
    <w:basedOn w:val="Title"/>
    <w:rsid w:val="00666C5E"/>
    <w:pPr>
      <w:framePr w:wrap="auto" w:hAnchor="text" w:y="6049"/>
    </w:pPr>
    <w:rPr>
      <w:color w:val="000000"/>
      <w:sz w:val="40"/>
    </w:rPr>
  </w:style>
  <w:style w:type="paragraph" w:customStyle="1" w:styleId="TOCTitle">
    <w:name w:val="TOCTitle"/>
    <w:basedOn w:val="Heading1"/>
    <w:rsid w:val="00666C5E"/>
    <w:pPr>
      <w:spacing w:after="240"/>
      <w:jc w:val="center"/>
      <w:outlineLvl w:val="9"/>
    </w:pPr>
    <w:rPr>
      <w:caps/>
    </w:rPr>
  </w:style>
  <w:style w:type="paragraph" w:customStyle="1" w:styleId="Version">
    <w:name w:val="Version"/>
    <w:rsid w:val="00666C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6C5E"/>
    <w:pPr>
      <w:numPr>
        <w:numId w:val="12"/>
      </w:numPr>
      <w:tabs>
        <w:tab w:val="clear" w:pos="680"/>
      </w:tabs>
    </w:pPr>
  </w:style>
  <w:style w:type="paragraph" w:styleId="Index1">
    <w:name w:val="index 1"/>
    <w:basedOn w:val="Normal"/>
    <w:next w:val="Normal"/>
    <w:semiHidden/>
    <w:rsid w:val="00666C5E"/>
    <w:pPr>
      <w:keepNext w:val="0"/>
      <w:tabs>
        <w:tab w:val="right" w:pos="4176"/>
      </w:tabs>
      <w:ind w:left="198" w:hanging="198"/>
    </w:pPr>
    <w:rPr>
      <w:rFonts w:ascii="Garamond" w:hAnsi="Garamond"/>
    </w:rPr>
  </w:style>
  <w:style w:type="paragraph" w:styleId="IndexHeading">
    <w:name w:val="index heading"/>
    <w:basedOn w:val="Normal"/>
    <w:next w:val="Index1"/>
    <w:semiHidden/>
    <w:rsid w:val="00666C5E"/>
    <w:pPr>
      <w:spacing w:before="120" w:after="120"/>
    </w:pPr>
    <w:rPr>
      <w:rFonts w:ascii="Arial" w:hAnsi="Arial"/>
      <w:b/>
      <w:color w:val="918585"/>
      <w:sz w:val="24"/>
    </w:rPr>
  </w:style>
  <w:style w:type="paragraph" w:styleId="Header">
    <w:name w:val="header"/>
    <w:basedOn w:val="Normal"/>
    <w:link w:val="HeaderChar"/>
    <w:rsid w:val="00666C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C5E"/>
    <w:rPr>
      <w:rFonts w:ascii="Times New Roman" w:eastAsia="Times New Roman" w:hAnsi="Times New Roman" w:cs="Times New Roman"/>
      <w:sz w:val="16"/>
      <w:szCs w:val="20"/>
      <w:lang w:val="en-GB" w:eastAsia="en-US"/>
    </w:rPr>
  </w:style>
  <w:style w:type="paragraph" w:customStyle="1" w:styleId="Chapter">
    <w:name w:val="Chapter"/>
    <w:basedOn w:val="Normal"/>
    <w:rsid w:val="00666C5E"/>
    <w:pPr>
      <w:spacing w:before="240"/>
    </w:pPr>
    <w:rPr>
      <w:rFonts w:ascii="Times New Roman" w:hAnsi="Times New Roman"/>
      <w:smallCaps/>
      <w:spacing w:val="80"/>
      <w:sz w:val="28"/>
    </w:rPr>
  </w:style>
  <w:style w:type="paragraph" w:customStyle="1" w:styleId="InChapter">
    <w:name w:val="InChapter"/>
    <w:basedOn w:val="Heading3"/>
    <w:rsid w:val="00666C5E"/>
    <w:pPr>
      <w:spacing w:after="240"/>
      <w:outlineLvl w:val="9"/>
    </w:pPr>
    <w:rPr>
      <w:noProof/>
    </w:rPr>
  </w:style>
  <w:style w:type="paragraph" w:styleId="Index2">
    <w:name w:val="index 2"/>
    <w:basedOn w:val="Normal"/>
    <w:next w:val="Normal"/>
    <w:semiHidden/>
    <w:rsid w:val="00666C5E"/>
    <w:pPr>
      <w:tabs>
        <w:tab w:val="right" w:pos="4176"/>
      </w:tabs>
      <w:ind w:left="568" w:hanging="284"/>
    </w:pPr>
    <w:rPr>
      <w:rFonts w:ascii="Garamond" w:hAnsi="Garamond"/>
    </w:rPr>
  </w:style>
  <w:style w:type="paragraph" w:customStyle="1" w:styleId="Byline">
    <w:name w:val="Byline"/>
    <w:rsid w:val="00666C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C5E"/>
    <w:pPr>
      <w:tabs>
        <w:tab w:val="clear" w:pos="3600"/>
        <w:tab w:val="clear" w:pos="3958"/>
      </w:tabs>
      <w:jc w:val="right"/>
    </w:pPr>
  </w:style>
  <w:style w:type="character" w:styleId="Emphasis">
    <w:name w:val="Emphasis"/>
    <w:basedOn w:val="DefaultParagraphFont"/>
    <w:qFormat/>
    <w:rsid w:val="00666C5E"/>
    <w:rPr>
      <w:i/>
    </w:rPr>
  </w:style>
  <w:style w:type="paragraph" w:styleId="Caption">
    <w:name w:val="caption"/>
    <w:basedOn w:val="BodyText"/>
    <w:next w:val="Normal"/>
    <w:qFormat/>
    <w:rsid w:val="00666C5E"/>
    <w:pPr>
      <w:framePr w:w="2268" w:hSpace="181" w:vSpace="181" w:wrap="around" w:vAnchor="text" w:hAnchor="page" w:x="1135" w:y="285" w:anchorLock="1"/>
    </w:pPr>
    <w:rPr>
      <w:i/>
    </w:rPr>
  </w:style>
  <w:style w:type="paragraph" w:customStyle="1" w:styleId="MiniTOCTitle">
    <w:name w:val="MiniTOCTitle"/>
    <w:basedOn w:val="Heading4"/>
    <w:rsid w:val="00666C5E"/>
    <w:pPr>
      <w:spacing w:before="240"/>
      <w:outlineLvl w:val="9"/>
    </w:pPr>
    <w:rPr>
      <w:noProof/>
      <w:sz w:val="24"/>
    </w:rPr>
  </w:style>
  <w:style w:type="paragraph" w:customStyle="1" w:styleId="MiniTOCItem">
    <w:name w:val="MiniTOCItem"/>
    <w:basedOn w:val="ListBullet"/>
    <w:rsid w:val="00666C5E"/>
    <w:pPr>
      <w:numPr>
        <w:numId w:val="0"/>
      </w:numPr>
      <w:tabs>
        <w:tab w:val="right" w:leader="dot" w:pos="6521"/>
      </w:tabs>
      <w:spacing w:before="0" w:after="0"/>
    </w:pPr>
  </w:style>
  <w:style w:type="paragraph" w:customStyle="1" w:styleId="TOFTitle">
    <w:name w:val="TOFTitle"/>
    <w:basedOn w:val="TOCTitle"/>
    <w:rsid w:val="00666C5E"/>
  </w:style>
  <w:style w:type="paragraph" w:styleId="TableofFigures">
    <w:name w:val="table of figures"/>
    <w:basedOn w:val="Normal"/>
    <w:next w:val="Normal"/>
    <w:semiHidden/>
    <w:rsid w:val="00666C5E"/>
    <w:pPr>
      <w:tabs>
        <w:tab w:val="right" w:leader="dot" w:pos="9072"/>
      </w:tabs>
      <w:ind w:left="970" w:hanging="403"/>
    </w:pPr>
    <w:rPr>
      <w:rFonts w:ascii="Times New Roman" w:hAnsi="Times New Roman"/>
      <w:b/>
    </w:rPr>
  </w:style>
  <w:style w:type="paragraph" w:styleId="ListNumber">
    <w:name w:val="List Number"/>
    <w:basedOn w:val="List"/>
    <w:rsid w:val="00666C5E"/>
    <w:pPr>
      <w:numPr>
        <w:numId w:val="9"/>
      </w:numPr>
    </w:pPr>
  </w:style>
  <w:style w:type="character" w:customStyle="1" w:styleId="WingdingSymbols">
    <w:name w:val="Wingding Symbols"/>
    <w:rsid w:val="00666C5E"/>
    <w:rPr>
      <w:rFonts w:ascii="Wingdings" w:hAnsi="Wingdings"/>
    </w:rPr>
  </w:style>
  <w:style w:type="paragraph" w:customStyle="1" w:styleId="TableHeading">
    <w:name w:val="Table Heading"/>
    <w:basedOn w:val="HeadingBase"/>
    <w:rsid w:val="00666C5E"/>
    <w:pPr>
      <w:keepLines/>
      <w:pBdr>
        <w:bottom w:val="single" w:sz="6" w:space="1" w:color="918585"/>
      </w:pBdr>
      <w:spacing w:before="240"/>
    </w:pPr>
  </w:style>
  <w:style w:type="character" w:customStyle="1" w:styleId="HotSpot">
    <w:name w:val="HotSpot"/>
    <w:rsid w:val="00666C5E"/>
    <w:rPr>
      <w:color w:val="0033CC"/>
      <w:u w:val="none"/>
    </w:rPr>
  </w:style>
  <w:style w:type="paragraph" w:customStyle="1" w:styleId="BodyTextRight">
    <w:name w:val="Body Text Right"/>
    <w:basedOn w:val="BodyText"/>
    <w:rsid w:val="00666C5E"/>
    <w:pPr>
      <w:spacing w:before="0" w:after="0"/>
      <w:jc w:val="right"/>
    </w:pPr>
  </w:style>
  <w:style w:type="paragraph" w:styleId="Index3">
    <w:name w:val="index 3"/>
    <w:basedOn w:val="ListNumber2"/>
    <w:next w:val="Normal"/>
    <w:semiHidden/>
    <w:rsid w:val="00666C5E"/>
    <w:pPr>
      <w:numPr>
        <w:numId w:val="0"/>
      </w:numPr>
      <w:tabs>
        <w:tab w:val="right" w:leader="dot" w:pos="4176"/>
      </w:tabs>
    </w:pPr>
  </w:style>
  <w:style w:type="paragraph" w:styleId="ListNumber2">
    <w:name w:val="List Number 2"/>
    <w:basedOn w:val="List2"/>
    <w:rsid w:val="00666C5E"/>
    <w:pPr>
      <w:numPr>
        <w:numId w:val="8"/>
      </w:numPr>
      <w:tabs>
        <w:tab w:val="clear" w:pos="1060"/>
      </w:tabs>
    </w:pPr>
  </w:style>
  <w:style w:type="paragraph" w:customStyle="1" w:styleId="MarginNote">
    <w:name w:val="Margin Note"/>
    <w:basedOn w:val="BodyText"/>
    <w:rsid w:val="00666C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C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C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6C5E"/>
    <w:rPr>
      <w:sz w:val="32"/>
    </w:rPr>
  </w:style>
  <w:style w:type="paragraph" w:customStyle="1" w:styleId="HeadingProcedure">
    <w:name w:val="Heading Procedure"/>
    <w:basedOn w:val="HeadingBase"/>
    <w:next w:val="Normal"/>
    <w:rsid w:val="00666C5E"/>
    <w:pPr>
      <w:tabs>
        <w:tab w:val="left" w:pos="0"/>
      </w:tabs>
      <w:spacing w:before="120" w:after="60"/>
    </w:pPr>
    <w:rPr>
      <w:i/>
      <w:color w:val="918585"/>
      <w:sz w:val="22"/>
    </w:rPr>
  </w:style>
  <w:style w:type="paragraph" w:customStyle="1" w:styleId="TableBodyText">
    <w:name w:val="Table Body Text"/>
    <w:basedOn w:val="BodyText"/>
    <w:rsid w:val="00666C5E"/>
    <w:pPr>
      <w:spacing w:before="60" w:after="60"/>
    </w:pPr>
  </w:style>
  <w:style w:type="paragraph" w:styleId="ListContinue">
    <w:name w:val="List Continue"/>
    <w:basedOn w:val="List"/>
    <w:rsid w:val="00666C5E"/>
    <w:pPr>
      <w:ind w:firstLine="0"/>
    </w:pPr>
  </w:style>
  <w:style w:type="paragraph" w:customStyle="1" w:styleId="ListNote">
    <w:name w:val="List Note"/>
    <w:basedOn w:val="List"/>
    <w:rsid w:val="00666C5E"/>
    <w:pPr>
      <w:pBdr>
        <w:top w:val="single" w:sz="6" w:space="2" w:color="918585"/>
        <w:bottom w:val="single" w:sz="6" w:space="2" w:color="918585"/>
      </w:pBdr>
      <w:tabs>
        <w:tab w:val="left" w:pos="1021"/>
      </w:tabs>
      <w:ind w:firstLine="0"/>
    </w:pPr>
  </w:style>
  <w:style w:type="paragraph" w:customStyle="1" w:styleId="Warning">
    <w:name w:val="Warning"/>
    <w:basedOn w:val="BodyText"/>
    <w:rsid w:val="00666C5E"/>
    <w:pPr>
      <w:shd w:val="clear" w:color="auto" w:fill="D9D9D9"/>
      <w:tabs>
        <w:tab w:val="left" w:pos="992"/>
      </w:tabs>
      <w:ind w:left="119" w:right="119"/>
    </w:pPr>
    <w:rPr>
      <w:sz w:val="20"/>
    </w:rPr>
  </w:style>
  <w:style w:type="paragraph" w:customStyle="1" w:styleId="MarginIcons">
    <w:name w:val="Margin Icons"/>
    <w:basedOn w:val="BodyText"/>
    <w:rsid w:val="00666C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C5E"/>
    <w:rPr>
      <w:rFonts w:ascii="Courier New" w:hAnsi="Courier New"/>
    </w:rPr>
  </w:style>
  <w:style w:type="paragraph" w:customStyle="1" w:styleId="NoteBullet">
    <w:name w:val="Note Bullet"/>
    <w:basedOn w:val="Note"/>
    <w:rsid w:val="00666C5E"/>
    <w:pPr>
      <w:tabs>
        <w:tab w:val="clear" w:pos="680"/>
      </w:tabs>
      <w:spacing w:before="60" w:after="60"/>
    </w:pPr>
  </w:style>
  <w:style w:type="paragraph" w:customStyle="1" w:styleId="SubHeading2">
    <w:name w:val="SubHeading2"/>
    <w:basedOn w:val="HeadingBase"/>
    <w:rsid w:val="00666C5E"/>
    <w:pPr>
      <w:spacing w:before="240" w:after="60"/>
    </w:pPr>
    <w:rPr>
      <w:sz w:val="20"/>
    </w:rPr>
  </w:style>
  <w:style w:type="paragraph" w:customStyle="1" w:styleId="SubHeading1">
    <w:name w:val="SubHeading1"/>
    <w:basedOn w:val="HeadingBase"/>
    <w:rsid w:val="00666C5E"/>
    <w:pPr>
      <w:spacing w:before="240" w:after="60"/>
    </w:pPr>
    <w:rPr>
      <w:color w:val="918585"/>
      <w:sz w:val="22"/>
    </w:rPr>
  </w:style>
  <w:style w:type="paragraph" w:customStyle="1" w:styleId="SideHeading">
    <w:name w:val="Side Heading"/>
    <w:basedOn w:val="HeadingBase"/>
    <w:rsid w:val="00666C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C5E"/>
    <w:pPr>
      <w:numPr>
        <w:numId w:val="10"/>
      </w:numPr>
    </w:pPr>
  </w:style>
  <w:style w:type="paragraph" w:styleId="PlainText">
    <w:name w:val="Plain Text"/>
    <w:basedOn w:val="Normal"/>
    <w:link w:val="PlainTextChar"/>
    <w:rsid w:val="00666C5E"/>
    <w:rPr>
      <w:sz w:val="20"/>
    </w:rPr>
  </w:style>
  <w:style w:type="character" w:customStyle="1" w:styleId="PlainTextChar">
    <w:name w:val="Plain Text Char"/>
    <w:basedOn w:val="DefaultParagraphFont"/>
    <w:link w:val="PlainText"/>
    <w:rsid w:val="00666C5E"/>
    <w:rPr>
      <w:rFonts w:ascii="Courier New" w:eastAsia="Times New Roman" w:hAnsi="Courier New" w:cs="Times New Roman"/>
      <w:sz w:val="20"/>
      <w:szCs w:val="20"/>
      <w:lang w:eastAsia="en-US"/>
    </w:rPr>
  </w:style>
  <w:style w:type="character" w:customStyle="1" w:styleId="MenuOption">
    <w:name w:val="Menu Option"/>
    <w:basedOn w:val="DefaultParagraphFont"/>
    <w:rsid w:val="00666C5E"/>
    <w:rPr>
      <w:b/>
      <w:smallCaps/>
    </w:rPr>
  </w:style>
  <w:style w:type="paragraph" w:customStyle="1" w:styleId="TableListNumber">
    <w:name w:val="Table List Number"/>
    <w:basedOn w:val="ListNumber"/>
    <w:rsid w:val="00666C5E"/>
    <w:pPr>
      <w:numPr>
        <w:numId w:val="0"/>
      </w:numPr>
    </w:pPr>
  </w:style>
  <w:style w:type="paragraph" w:styleId="TOC4">
    <w:name w:val="toc 4"/>
    <w:basedOn w:val="TOCBase"/>
    <w:next w:val="Normal"/>
    <w:semiHidden/>
    <w:rsid w:val="00666C5E"/>
    <w:pPr>
      <w:tabs>
        <w:tab w:val="right" w:leader="dot" w:pos="9071"/>
      </w:tabs>
      <w:ind w:left="1701"/>
    </w:pPr>
  </w:style>
  <w:style w:type="paragraph" w:customStyle="1" w:styleId="ListAlpha">
    <w:name w:val="List Alpha"/>
    <w:basedOn w:val="List"/>
    <w:rsid w:val="00666C5E"/>
    <w:pPr>
      <w:numPr>
        <w:numId w:val="7"/>
      </w:numPr>
    </w:pPr>
  </w:style>
  <w:style w:type="paragraph" w:customStyle="1" w:styleId="ListAlpha2">
    <w:name w:val="List Alpha 2"/>
    <w:basedOn w:val="List2"/>
    <w:rsid w:val="00666C5E"/>
    <w:pPr>
      <w:numPr>
        <w:numId w:val="6"/>
      </w:numPr>
    </w:pPr>
  </w:style>
  <w:style w:type="paragraph" w:styleId="List2">
    <w:name w:val="List 2"/>
    <w:basedOn w:val="BodyText"/>
    <w:rsid w:val="00666C5E"/>
    <w:pPr>
      <w:tabs>
        <w:tab w:val="left" w:pos="680"/>
      </w:tabs>
      <w:spacing w:before="60" w:after="60"/>
      <w:ind w:left="680" w:hanging="340"/>
    </w:pPr>
  </w:style>
  <w:style w:type="paragraph" w:styleId="List3">
    <w:name w:val="List 3"/>
    <w:basedOn w:val="BodyText"/>
    <w:rsid w:val="00666C5E"/>
    <w:pPr>
      <w:tabs>
        <w:tab w:val="left" w:pos="1021"/>
      </w:tabs>
      <w:spacing w:before="60" w:after="60"/>
      <w:ind w:left="1020" w:hanging="340"/>
    </w:pPr>
  </w:style>
  <w:style w:type="paragraph" w:styleId="List4">
    <w:name w:val="List 4"/>
    <w:basedOn w:val="BodyText"/>
    <w:rsid w:val="00666C5E"/>
    <w:pPr>
      <w:tabs>
        <w:tab w:val="left" w:pos="1361"/>
      </w:tabs>
      <w:spacing w:before="60" w:after="60"/>
      <w:ind w:left="1361" w:hanging="340"/>
    </w:pPr>
  </w:style>
  <w:style w:type="paragraph" w:styleId="List5">
    <w:name w:val="List 5"/>
    <w:basedOn w:val="BodyText"/>
    <w:rsid w:val="00666C5E"/>
    <w:pPr>
      <w:tabs>
        <w:tab w:val="left" w:pos="1701"/>
      </w:tabs>
      <w:spacing w:before="60" w:after="60"/>
      <w:ind w:left="1701" w:hanging="340"/>
    </w:pPr>
  </w:style>
  <w:style w:type="paragraph" w:styleId="ListBullet3">
    <w:name w:val="List Bullet 3"/>
    <w:basedOn w:val="List3"/>
    <w:rsid w:val="00666C5E"/>
    <w:pPr>
      <w:numPr>
        <w:numId w:val="13"/>
      </w:numPr>
      <w:tabs>
        <w:tab w:val="clear" w:pos="1021"/>
      </w:tabs>
      <w:ind w:left="1037" w:hanging="357"/>
    </w:pPr>
  </w:style>
  <w:style w:type="paragraph" w:styleId="ListBullet4">
    <w:name w:val="List Bullet 4"/>
    <w:basedOn w:val="List4"/>
    <w:rsid w:val="00666C5E"/>
    <w:pPr>
      <w:numPr>
        <w:numId w:val="1"/>
      </w:numPr>
      <w:tabs>
        <w:tab w:val="clear" w:pos="1361"/>
      </w:tabs>
    </w:pPr>
  </w:style>
  <w:style w:type="paragraph" w:styleId="ListBullet5">
    <w:name w:val="List Bullet 5"/>
    <w:basedOn w:val="List5"/>
    <w:rsid w:val="00666C5E"/>
    <w:pPr>
      <w:numPr>
        <w:numId w:val="2"/>
      </w:numPr>
    </w:pPr>
  </w:style>
  <w:style w:type="paragraph" w:styleId="ListContinue2">
    <w:name w:val="List Continue 2"/>
    <w:basedOn w:val="List2"/>
    <w:rsid w:val="00666C5E"/>
    <w:pPr>
      <w:ind w:firstLine="0"/>
    </w:pPr>
  </w:style>
  <w:style w:type="paragraph" w:styleId="ListContinue3">
    <w:name w:val="List Continue 3"/>
    <w:basedOn w:val="List3"/>
    <w:rsid w:val="00666C5E"/>
    <w:pPr>
      <w:ind w:left="1021" w:firstLine="0"/>
    </w:pPr>
  </w:style>
  <w:style w:type="paragraph" w:styleId="ListContinue4">
    <w:name w:val="List Continue 4"/>
    <w:basedOn w:val="List4"/>
    <w:rsid w:val="00666C5E"/>
    <w:pPr>
      <w:ind w:firstLine="0"/>
    </w:pPr>
  </w:style>
  <w:style w:type="paragraph" w:styleId="ListContinue5">
    <w:name w:val="List Continue 5"/>
    <w:basedOn w:val="List5"/>
    <w:rsid w:val="00666C5E"/>
    <w:pPr>
      <w:ind w:firstLine="0"/>
    </w:pPr>
  </w:style>
  <w:style w:type="paragraph" w:styleId="ListNumber3">
    <w:name w:val="List Number 3"/>
    <w:basedOn w:val="List3"/>
    <w:rsid w:val="00666C5E"/>
    <w:pPr>
      <w:numPr>
        <w:numId w:val="3"/>
      </w:numPr>
    </w:pPr>
  </w:style>
  <w:style w:type="paragraph" w:styleId="ListNumber4">
    <w:name w:val="List Number 4"/>
    <w:basedOn w:val="List4"/>
    <w:rsid w:val="00666C5E"/>
    <w:pPr>
      <w:numPr>
        <w:numId w:val="4"/>
      </w:numPr>
    </w:pPr>
  </w:style>
  <w:style w:type="paragraph" w:styleId="ListNumber5">
    <w:name w:val="List Number 5"/>
    <w:basedOn w:val="List5"/>
    <w:rsid w:val="00666C5E"/>
    <w:pPr>
      <w:numPr>
        <w:numId w:val="5"/>
      </w:numPr>
    </w:pPr>
  </w:style>
  <w:style w:type="paragraph" w:styleId="BlockText">
    <w:name w:val="Block Text"/>
    <w:basedOn w:val="Normal"/>
    <w:rsid w:val="00666C5E"/>
    <w:pPr>
      <w:spacing w:after="120"/>
      <w:ind w:left="1440" w:right="1440"/>
    </w:pPr>
  </w:style>
  <w:style w:type="character" w:customStyle="1" w:styleId="Subscript">
    <w:name w:val="Subscript"/>
    <w:basedOn w:val="DefaultParagraphFont"/>
    <w:rsid w:val="00666C5E"/>
    <w:rPr>
      <w:sz w:val="16"/>
      <w:vertAlign w:val="subscript"/>
    </w:rPr>
  </w:style>
  <w:style w:type="character" w:customStyle="1" w:styleId="Superscript">
    <w:name w:val="Superscript"/>
    <w:basedOn w:val="DefaultParagraphFont"/>
    <w:rsid w:val="00666C5E"/>
    <w:rPr>
      <w:sz w:val="16"/>
      <w:vertAlign w:val="superscript"/>
    </w:rPr>
  </w:style>
  <w:style w:type="character" w:customStyle="1" w:styleId="Symbols">
    <w:name w:val="Symbols"/>
    <w:basedOn w:val="DefaultParagraphFont"/>
    <w:rsid w:val="00666C5E"/>
    <w:rPr>
      <w:rFonts w:ascii="Symbol" w:hAnsi="Symbol"/>
    </w:rPr>
  </w:style>
  <w:style w:type="character" w:customStyle="1" w:styleId="MenuOptions">
    <w:name w:val="Menu Options"/>
    <w:basedOn w:val="DefaultParagraphFont"/>
    <w:rsid w:val="00666C5E"/>
    <w:rPr>
      <w:rFonts w:ascii="Arial Narrow" w:hAnsi="Arial Narrow"/>
      <w:smallCaps/>
    </w:rPr>
  </w:style>
  <w:style w:type="character" w:customStyle="1" w:styleId="Buttons">
    <w:name w:val="Buttons"/>
    <w:basedOn w:val="DefaultParagraphFont"/>
    <w:rsid w:val="00666C5E"/>
    <w:rPr>
      <w:b/>
    </w:rPr>
  </w:style>
  <w:style w:type="character" w:customStyle="1" w:styleId="Underlined">
    <w:name w:val="Underlined"/>
    <w:basedOn w:val="DefaultParagraphFont"/>
    <w:rsid w:val="00666C5E"/>
    <w:rPr>
      <w:u w:val="single"/>
    </w:rPr>
  </w:style>
  <w:style w:type="paragraph" w:customStyle="1" w:styleId="TableBodyTextRight">
    <w:name w:val="Table Body Text Right"/>
    <w:basedOn w:val="TableBodyText"/>
    <w:rsid w:val="00666C5E"/>
    <w:pPr>
      <w:widowControl w:val="0"/>
      <w:autoSpaceDE w:val="0"/>
      <w:autoSpaceDN w:val="0"/>
      <w:adjustRightInd w:val="0"/>
      <w:jc w:val="right"/>
    </w:pPr>
    <w:rPr>
      <w:rFonts w:cs="Arial"/>
      <w:szCs w:val="18"/>
    </w:rPr>
  </w:style>
  <w:style w:type="paragraph" w:customStyle="1" w:styleId="CopyrightText">
    <w:name w:val="Copyright Text"/>
    <w:basedOn w:val="BodyText"/>
    <w:rsid w:val="00666C5E"/>
    <w:rPr>
      <w:sz w:val="18"/>
    </w:rPr>
  </w:style>
  <w:style w:type="paragraph" w:customStyle="1" w:styleId="BodySmallRight">
    <w:name w:val="Body Small Right"/>
    <w:basedOn w:val="BodyTextRight"/>
    <w:rsid w:val="00666C5E"/>
    <w:rPr>
      <w:sz w:val="18"/>
      <w:szCs w:val="18"/>
    </w:rPr>
  </w:style>
  <w:style w:type="paragraph" w:customStyle="1" w:styleId="MarginEdition">
    <w:name w:val="Margin Edition"/>
    <w:basedOn w:val="MarginNote"/>
    <w:rsid w:val="00666C5E"/>
    <w:pPr>
      <w:spacing w:before="0" w:after="0"/>
    </w:pPr>
    <w:rPr>
      <w:rFonts w:ascii="Times New Roman" w:hAnsi="Times New Roman"/>
      <w:color w:val="999999"/>
    </w:rPr>
  </w:style>
  <w:style w:type="paragraph" w:customStyle="1" w:styleId="Spacer">
    <w:name w:val="Spacer"/>
    <w:basedOn w:val="Normal"/>
    <w:rsid w:val="00666C5E"/>
    <w:rPr>
      <w:sz w:val="2"/>
      <w:szCs w:val="2"/>
    </w:rPr>
  </w:style>
  <w:style w:type="character" w:customStyle="1" w:styleId="Small">
    <w:name w:val="Small"/>
    <w:basedOn w:val="DefaultParagraphFont"/>
    <w:rsid w:val="00666C5E"/>
    <w:rPr>
      <w:sz w:val="16"/>
    </w:rPr>
  </w:style>
  <w:style w:type="paragraph" w:customStyle="1" w:styleId="WideTable">
    <w:name w:val="Wide Table"/>
    <w:basedOn w:val="Normal"/>
    <w:rsid w:val="00666C5E"/>
    <w:pPr>
      <w:ind w:left="-1418"/>
    </w:pPr>
    <w:rPr>
      <w:sz w:val="2"/>
      <w:szCs w:val="2"/>
    </w:rPr>
  </w:style>
  <w:style w:type="character" w:styleId="PageNumber">
    <w:name w:val="page number"/>
    <w:basedOn w:val="DefaultParagraphFont"/>
    <w:rsid w:val="00666C5E"/>
  </w:style>
  <w:style w:type="paragraph" w:styleId="Quote">
    <w:name w:val="Quote"/>
    <w:basedOn w:val="Heading1"/>
    <w:link w:val="QuoteChar"/>
    <w:qFormat/>
    <w:rsid w:val="00666C5E"/>
    <w:rPr>
      <w:b w:val="0"/>
      <w:sz w:val="72"/>
      <w:szCs w:val="72"/>
      <w:lang w:val="en-NZ"/>
    </w:rPr>
  </w:style>
  <w:style w:type="character" w:customStyle="1" w:styleId="QuoteChar">
    <w:name w:val="Quote Char"/>
    <w:basedOn w:val="DefaultParagraphFont"/>
    <w:link w:val="Quote"/>
    <w:rsid w:val="00666C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C5E"/>
    <w:pPr>
      <w:pageBreakBefore/>
    </w:pPr>
  </w:style>
  <w:style w:type="paragraph" w:customStyle="1" w:styleId="Border">
    <w:name w:val="Border"/>
    <w:basedOn w:val="Normal"/>
    <w:qFormat/>
    <w:rsid w:val="00666C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C5E"/>
    <w:rPr>
      <w:b/>
      <w:bCs/>
      <w:i/>
      <w:iCs/>
      <w:color w:val="auto"/>
    </w:rPr>
  </w:style>
  <w:style w:type="paragraph" w:styleId="IntenseQuote">
    <w:name w:val="Intense Quote"/>
    <w:basedOn w:val="Normal"/>
    <w:next w:val="Normal"/>
    <w:link w:val="IntenseQuoteChar"/>
    <w:uiPriority w:val="30"/>
    <w:qFormat/>
    <w:rsid w:val="00666C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C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6C5E"/>
    <w:rPr>
      <w:smallCaps/>
      <w:color w:val="auto"/>
      <w:u w:val="single"/>
    </w:rPr>
  </w:style>
  <w:style w:type="character" w:styleId="IntenseReference">
    <w:name w:val="Intense Reference"/>
    <w:basedOn w:val="DefaultParagraphFont"/>
    <w:uiPriority w:val="32"/>
    <w:qFormat/>
    <w:rsid w:val="00666C5E"/>
    <w:rPr>
      <w:b/>
      <w:bCs/>
      <w:smallCaps/>
      <w:color w:val="auto"/>
      <w:spacing w:val="5"/>
      <w:u w:val="single"/>
    </w:rPr>
  </w:style>
  <w:style w:type="paragraph" w:customStyle="1" w:styleId="2ColumnHeading">
    <w:name w:val="2Column Heading"/>
    <w:basedOn w:val="BodyText"/>
    <w:qFormat/>
    <w:rsid w:val="00666C5E"/>
    <w:pPr>
      <w:spacing w:after="60"/>
      <w:ind w:left="-2268"/>
    </w:pPr>
    <w:rPr>
      <w:b/>
    </w:rPr>
  </w:style>
  <w:style w:type="paragraph" w:customStyle="1" w:styleId="Heading1TOC">
    <w:name w:val="Heading1 TOC"/>
    <w:basedOn w:val="Normal"/>
    <w:qFormat/>
    <w:rsid w:val="00666C5E"/>
    <w:pPr>
      <w:spacing w:before="240" w:after="120"/>
    </w:pPr>
    <w:rPr>
      <w:rFonts w:ascii="Times New Roman" w:hAnsi="Times New Roman"/>
      <w:b/>
      <w:sz w:val="32"/>
    </w:rPr>
  </w:style>
  <w:style w:type="paragraph" w:customStyle="1" w:styleId="Heading2TOC">
    <w:name w:val="Heading2 TOC"/>
    <w:basedOn w:val="Normal"/>
    <w:qFormat/>
    <w:rsid w:val="00666C5E"/>
    <w:pPr>
      <w:spacing w:before="240" w:after="60"/>
    </w:pPr>
    <w:rPr>
      <w:rFonts w:ascii="Times New Roman" w:hAnsi="Times New Roman"/>
      <w:b/>
      <w:sz w:val="28"/>
    </w:rPr>
  </w:style>
  <w:style w:type="character" w:customStyle="1" w:styleId="Underline">
    <w:name w:val="Underline"/>
    <w:basedOn w:val="DefaultParagraphFont"/>
    <w:qFormat/>
    <w:rsid w:val="00666C5E"/>
    <w:rPr>
      <w:u w:val="single"/>
    </w:rPr>
  </w:style>
  <w:style w:type="character" w:customStyle="1" w:styleId="BoldandItalics">
    <w:name w:val="Bold and Italics"/>
    <w:qFormat/>
    <w:rsid w:val="00666C5E"/>
    <w:rPr>
      <w:b/>
      <w:i/>
      <w:u w:val="none"/>
    </w:rPr>
  </w:style>
  <w:style w:type="paragraph" w:styleId="BalloonText">
    <w:name w:val="Balloon Text"/>
    <w:basedOn w:val="Normal"/>
    <w:link w:val="BalloonTextChar"/>
    <w:rsid w:val="00666C5E"/>
    <w:rPr>
      <w:rFonts w:ascii="Tahoma" w:hAnsi="Tahoma" w:cs="Tahoma"/>
      <w:sz w:val="16"/>
      <w:szCs w:val="16"/>
    </w:rPr>
  </w:style>
  <w:style w:type="character" w:customStyle="1" w:styleId="BalloonTextChar">
    <w:name w:val="Balloon Text Char"/>
    <w:basedOn w:val="DefaultParagraphFont"/>
    <w:link w:val="BalloonText"/>
    <w:rsid w:val="00666C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6C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6C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6C5E"/>
    <w:rPr>
      <w:b/>
      <w:color w:val="660033"/>
      <w:spacing w:val="0"/>
    </w:rPr>
  </w:style>
  <w:style w:type="paragraph" w:customStyle="1" w:styleId="Nameditemlist">
    <w:name w:val="Named item list"/>
    <w:basedOn w:val="BodyText"/>
    <w:qFormat/>
    <w:rsid w:val="00666C5E"/>
    <w:pPr>
      <w:tabs>
        <w:tab w:val="left" w:pos="2835"/>
      </w:tabs>
      <w:ind w:left="2835" w:hanging="2835"/>
    </w:pPr>
  </w:style>
  <w:style w:type="paragraph" w:customStyle="1" w:styleId="BodyTextnopadding">
    <w:name w:val="Body Text no padding"/>
    <w:basedOn w:val="BodyText"/>
    <w:qFormat/>
    <w:rsid w:val="00666C5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380</Words>
  <Characters>2287</Characters>
  <Application>Microsoft Office Word</Application>
  <DocSecurity>0</DocSecurity>
  <Lines>86</Lines>
  <Paragraphs>61</Paragraphs>
  <ScaleCrop>false</ScaleCrop>
  <Company>Author-it Software Corporation Ltd.</Company>
  <LinksUpToDate>false</LinksUpToDate>
  <CharactersWithSpaces>2614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MAR30218 Certificate III in Maritime Operations (Integrated Rating)</dc:title>
  <dc:subject>Approved</dc:subject>
  <dc:creator>Australian Industry Standards</dc:creator>
  <cp:keywords>Release: 1</cp:keywords>
  <dc:description>Review Date: 12 April 2008</dc:description>
  <cp:lastModifiedBy>HSD_TPCMSd.prod</cp:lastModifiedBy>
  <cp:revision>3</cp:revision>
  <dcterms:created xsi:type="dcterms:W3CDTF">2018-07-13T06:07:00Z</dcterms:created>
  <dcterms:modified xsi:type="dcterms:W3CDTF">2018-07-13T06:07:00Z</dcterms:modified>
</cp:coreProperties>
</file>