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2433" w:rsidP="00012433">
      <w:pPr>
        <w:pStyle w:val="Title"/>
      </w:pPr>
      <w:r>
        <w:fldChar w:fldCharType="begin"/>
      </w:r>
      <w:r>
        <w:instrText xml:space="preserve"> TITLE   \* MERGEFORMAT </w:instrText>
      </w:r>
      <w:r>
        <w:fldChar w:fldCharType="separate"/>
      </w:r>
      <w:r>
        <w:t>LMTTX3010B Monitor textile production processes</w:t>
      </w:r>
      <w:r>
        <w:fldChar w:fldCharType="end"/>
      </w:r>
    </w:p>
    <w:p w:rsidR="00012433" w:rsidP="00012433">
      <w:pPr>
        <w:pStyle w:val="Version"/>
        <w:sectPr w:rsidSect="009C4BD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C4BD9" w:rsidP="009C4BD9">
      <w:pPr>
        <w:pStyle w:val="SuperHeading"/>
      </w:pPr>
      <w:r w:rsidRPr="009C4BD9">
        <w:t xml:space="preserve">LMTTX3010B Monitor textile production processes </w:t>
      </w:r>
    </w:p>
    <w:p w:rsidR="00000000" w:rsidRPr="009C4BD9" w:rsidP="009C4BD9">
      <w:pPr>
        <w:pStyle w:val="SuperHeading"/>
      </w:pPr>
    </w:p>
    <w:p w:rsidR="00000000" w:rsidRPr="009C4BD9" w:rsidP="009C4BD9">
      <w:pPr>
        <w:pStyle w:val="Heading1"/>
      </w:pPr>
      <w:bookmarkStart w:id="1" w:name="O_97119"/>
      <w:bookmarkEnd w:id="1"/>
      <w:r w:rsidRPr="009C4BD9">
        <w:t>Modification History</w:t>
      </w:r>
    </w:p>
    <w:p w:rsidR="00000000" w:rsidRPr="009C4BD9" w:rsidP="009C4BD9">
      <w:pPr>
        <w:pStyle w:val="BodyText"/>
      </w:pPr>
      <w:r w:rsidRPr="009C4BD9">
        <w:t>Not applicable.</w:t>
      </w:r>
    </w:p>
    <w:p w:rsidR="00000000" w:rsidRPr="009C4BD9" w:rsidP="009C4BD9">
      <w:pPr>
        <w:pStyle w:val="AllowPageBreak"/>
      </w:pPr>
    </w:p>
    <w:p w:rsidR="00000000" w:rsidRPr="009C4BD9" w:rsidP="009C4BD9">
      <w:pPr>
        <w:pStyle w:val="Heading1"/>
      </w:pPr>
      <w:bookmarkStart w:id="2" w:name="O_97120"/>
      <w:bookmarkEnd w:id="2"/>
      <w:r w:rsidRPr="009C4BD9">
        <w:t>Unit Descriptor</w:t>
      </w:r>
    </w:p>
    <w:tbl>
      <w:tblPr>
        <w:tblW w:w="0" w:type="auto"/>
        <w:tblLayout w:type="fixed"/>
        <w:tblCellMar>
          <w:left w:w="62" w:type="dxa"/>
          <w:right w:w="62" w:type="dxa"/>
        </w:tblCellMar>
        <w:tblLook w:val="0000"/>
      </w:tblPr>
      <w:tblGrid>
        <w:gridCol w:w="2283"/>
        <w:gridCol w:w="6800"/>
      </w:tblGrid>
      <w:tr w:rsidTr="00012433">
        <w:tblPrEx>
          <w:tblW w:w="0" w:type="auto"/>
          <w:tblLayout w:type="fixed"/>
          <w:tblCellMar>
            <w:left w:w="62" w:type="dxa"/>
            <w:right w:w="62" w:type="dxa"/>
          </w:tblCellMar>
          <w:tblLook w:val="0000"/>
        </w:tblPrEx>
        <w:trPr>
          <w:tblHeader/>
        </w:trPr>
        <w:tc>
          <w:tcPr>
            <w:tcW w:w="2283" w:type="dxa"/>
            <w:tcBorders>
              <w:top w:val="nil"/>
              <w:left w:val="nil"/>
              <w:bottom w:val="nil"/>
              <w:right w:val="nil"/>
            </w:tcBorders>
            <w:tcMar>
              <w:top w:w="0" w:type="dxa"/>
              <w:left w:w="62" w:type="dxa"/>
              <w:bottom w:w="0" w:type="dxa"/>
              <w:right w:w="62" w:type="dxa"/>
            </w:tcMar>
          </w:tcPr>
          <w:p w:rsidR="00000000" w:rsidP="009C4BD9">
            <w:pPr>
              <w:pStyle w:val="BodyText"/>
              <w:rPr>
                <w:lang w:val="en-NZ"/>
              </w:rPr>
            </w:pPr>
            <w:r w:rsidRPr="009C4BD9">
              <w:rPr>
                <w:rStyle w:val="SpecialBold"/>
              </w:rPr>
              <w:t>Unit descriptor</w:t>
            </w:r>
          </w:p>
        </w:tc>
        <w:tc>
          <w:tcPr>
            <w:tcW w:w="6800" w:type="dxa"/>
            <w:tcBorders>
              <w:top w:val="nil"/>
              <w:left w:val="nil"/>
              <w:bottom w:val="nil"/>
              <w:right w:val="nil"/>
            </w:tcBorders>
            <w:tcMar>
              <w:top w:w="0" w:type="dxa"/>
              <w:left w:w="62" w:type="dxa"/>
              <w:bottom w:w="0" w:type="dxa"/>
              <w:right w:w="62" w:type="dxa"/>
            </w:tcMar>
          </w:tcPr>
          <w:p w:rsidR="00000000" w:rsidRPr="009C4BD9" w:rsidP="009C4BD9">
            <w:pPr>
              <w:pStyle w:val="BodyText"/>
            </w:pPr>
            <w:r w:rsidRPr="009C4BD9">
              <w:t xml:space="preserve">This unit covers the skills and knowledge to monitor textile production processes. </w:t>
            </w:r>
          </w:p>
        </w:tc>
      </w:tr>
    </w:tbl>
    <w:p w:rsidR="00000000" w:rsidRPr="009C4BD9" w:rsidP="009C4BD9">
      <w:pPr>
        <w:pStyle w:val="BodyText"/>
      </w:pPr>
    </w:p>
    <w:p w:rsidR="00000000" w:rsidRPr="009C4BD9" w:rsidP="009C4BD9">
      <w:pPr>
        <w:pStyle w:val="AllowPageBreak"/>
      </w:pPr>
    </w:p>
    <w:p w:rsidR="00000000" w:rsidRPr="009C4BD9" w:rsidP="009C4BD9">
      <w:pPr>
        <w:pStyle w:val="Heading1"/>
      </w:pPr>
      <w:bookmarkStart w:id="3" w:name="O_97121"/>
      <w:bookmarkEnd w:id="3"/>
      <w:r w:rsidRPr="009C4BD9">
        <w:t>Application of the Unit</w:t>
      </w:r>
    </w:p>
    <w:tbl>
      <w:tblPr>
        <w:tblW w:w="0" w:type="auto"/>
        <w:tblLayout w:type="fixed"/>
        <w:tblCellMar>
          <w:left w:w="62" w:type="dxa"/>
          <w:right w:w="62" w:type="dxa"/>
        </w:tblCellMar>
        <w:tblLook w:val="0000"/>
      </w:tblPr>
      <w:tblGrid>
        <w:gridCol w:w="2283"/>
        <w:gridCol w:w="6800"/>
      </w:tblGrid>
      <w:tr w:rsidTr="00012433">
        <w:tblPrEx>
          <w:tblW w:w="0" w:type="auto"/>
          <w:tblLayout w:type="fixed"/>
          <w:tblCellMar>
            <w:left w:w="62" w:type="dxa"/>
            <w:right w:w="62" w:type="dxa"/>
          </w:tblCellMar>
          <w:tblLook w:val="0000"/>
        </w:tblPrEx>
        <w:tc>
          <w:tcPr>
            <w:tcW w:w="2283" w:type="dxa"/>
            <w:tcBorders>
              <w:top w:val="nil"/>
              <w:left w:val="nil"/>
              <w:bottom w:val="nil"/>
              <w:right w:val="nil"/>
            </w:tcBorders>
            <w:tcMar>
              <w:top w:w="0" w:type="dxa"/>
              <w:left w:w="62" w:type="dxa"/>
              <w:bottom w:w="0" w:type="dxa"/>
              <w:right w:w="62" w:type="dxa"/>
            </w:tcMar>
          </w:tcPr>
          <w:p w:rsidR="00000000" w:rsidP="009C4BD9">
            <w:pPr>
              <w:pStyle w:val="BodyText"/>
              <w:rPr>
                <w:lang w:val="en-NZ"/>
              </w:rPr>
            </w:pPr>
            <w:r w:rsidRPr="009C4BD9">
              <w:rPr>
                <w:rStyle w:val="SpecialBold"/>
              </w:rPr>
              <w:t>Application of the Unit</w:t>
            </w:r>
          </w:p>
        </w:tc>
        <w:tc>
          <w:tcPr>
            <w:tcW w:w="6800" w:type="dxa"/>
            <w:tcBorders>
              <w:top w:val="nil"/>
              <w:left w:val="nil"/>
              <w:bottom w:val="nil"/>
              <w:right w:val="nil"/>
            </w:tcBorders>
            <w:tcMar>
              <w:top w:w="0" w:type="dxa"/>
              <w:left w:w="62" w:type="dxa"/>
              <w:bottom w:w="0" w:type="dxa"/>
              <w:right w:w="62" w:type="dxa"/>
            </w:tcMar>
          </w:tcPr>
          <w:p w:rsidR="00000000" w:rsidRPr="009C4BD9" w:rsidP="009C4BD9">
            <w:pPr>
              <w:pStyle w:val="BodyText"/>
            </w:pPr>
            <w:r w:rsidRPr="009C4BD9">
              <w:t>The unit applies to ensuring that textile production outcomes are consistent with job specifications, identifying performance parameters, solving problems and conducting checks of performance efficiency.</w:t>
            </w:r>
          </w:p>
          <w:p w:rsidR="00000000" w:rsidRPr="009C4BD9" w:rsidP="009C4BD9">
            <w:pPr>
              <w:pStyle w:val="BodyText"/>
            </w:pPr>
            <w:r w:rsidRPr="009C4BD9">
              <w:t>This</w:t>
            </w:r>
            <w:r w:rsidRPr="009C4BD9">
              <w:t xml:space="preserve"> unit is focused on monitoring of a process and complements the machine monitoring skill covered by </w:t>
            </w:r>
            <w:r w:rsidRPr="009C4BD9">
              <w:rPr>
                <w:rStyle w:val="Emphasis"/>
              </w:rPr>
              <w:t>LMTTX3006A Ensure efficient operation of textile machines</w:t>
            </w:r>
            <w:r w:rsidRPr="009C4BD9">
              <w:t>.</w:t>
            </w:r>
          </w:p>
          <w:p w:rsidR="00000000" w:rsidRPr="009C4BD9" w:rsidP="009C4BD9">
            <w:pPr>
              <w:pStyle w:val="BodyText"/>
            </w:pPr>
            <w:r w:rsidRPr="009C4BD9">
              <w:t>The unit involves working with discretion, judgement, and initiative on the job either individually or in a team environment and may include liaison with specialist technicians including textile mechanics or technicians and production supervisors.</w:t>
            </w:r>
          </w:p>
          <w:p w:rsidR="00000000" w:rsidRPr="009C4BD9" w:rsidP="009C4BD9">
            <w:pPr>
              <w:pStyle w:val="BodyText"/>
            </w:pPr>
            <w:r w:rsidRPr="009C4BD9">
              <w:t>Enterpri</w:t>
            </w:r>
            <w:r w:rsidRPr="009C4BD9">
              <w:t>ses covered by this unit will process natural or synthetic source fibres, yarns or textile materials. Production processes covered include but are not limited to carding, spinning, knitting, tufting, weaving, finishing, dyeing and non-woven production proc</w:t>
            </w:r>
            <w:r w:rsidRPr="009C4BD9">
              <w:t>esses.</w:t>
            </w:r>
          </w:p>
          <w:p w:rsidR="00000000" w:rsidRPr="009C4BD9" w:rsidP="009C4BD9">
            <w:pPr>
              <w:pStyle w:val="BodyText"/>
            </w:pPr>
            <w:r w:rsidRPr="009C4BD9">
              <w:t>Work may be conducted in small to large scale enterprises and may involve individual and team related activities.</w:t>
            </w:r>
          </w:p>
          <w:p w:rsidR="00000000" w:rsidRPr="009C4BD9" w:rsidP="009C4BD9">
            <w:pPr>
              <w:pStyle w:val="BodyText"/>
            </w:pPr>
            <w:r w:rsidRPr="009C4BD9">
              <w:t>The application of this unit is in accordance with OHS practices of the enterprise and workplace practices, which may include:</w:t>
            </w:r>
          </w:p>
          <w:p w:rsidR="00000000" w:rsidRPr="009C4BD9" w:rsidP="009C4BD9">
            <w:pPr>
              <w:pStyle w:val="ListBullet"/>
            </w:pPr>
            <w:r w:rsidRPr="009C4BD9">
              <w:t>require</w:t>
            </w:r>
            <w:r w:rsidRPr="009C4BD9">
              <w:t>ments prescribed by legislation, awards, agreements  and conditions of employment</w:t>
            </w:r>
          </w:p>
          <w:p w:rsidR="00000000" w:rsidRPr="009C4BD9" w:rsidP="009C4BD9">
            <w:pPr>
              <w:pStyle w:val="ListBullet"/>
            </w:pPr>
            <w:r w:rsidRPr="009C4BD9">
              <w:t>standard operating procedures</w:t>
            </w:r>
          </w:p>
          <w:p w:rsidR="00000000" w:rsidRPr="009C4BD9" w:rsidP="009C4BD9">
            <w:pPr>
              <w:pStyle w:val="ListBullet"/>
            </w:pPr>
            <w:r w:rsidRPr="009C4BD9">
              <w:t>work instructions</w:t>
            </w:r>
          </w:p>
          <w:p w:rsidR="00000000" w:rsidRPr="009C4BD9" w:rsidP="009C4BD9">
            <w:pPr>
              <w:pStyle w:val="ListBullet"/>
            </w:pPr>
            <w:r w:rsidRPr="009C4BD9">
              <w:t>oral, written and visual communication</w:t>
            </w:r>
          </w:p>
          <w:p w:rsidR="00000000" w:rsidRPr="009C4BD9" w:rsidP="009C4BD9">
            <w:pPr>
              <w:pStyle w:val="ListBullet"/>
            </w:pPr>
            <w:r w:rsidRPr="009C4BD9">
              <w:t>quality practices, including responsibility for maintenance of own work quali</w:t>
            </w:r>
            <w:r w:rsidRPr="009C4BD9">
              <w:t>ty and contribution to quality improvement of team or section output</w:t>
            </w:r>
          </w:p>
          <w:p w:rsidR="00000000" w:rsidRPr="009C4BD9" w:rsidP="009C4BD9">
            <w:pPr>
              <w:pStyle w:val="ListBullet"/>
            </w:pPr>
            <w:r w:rsidRPr="009C4BD9">
              <w:t>housekeeping</w:t>
            </w:r>
          </w:p>
          <w:p w:rsidR="00000000" w:rsidRPr="009C4BD9" w:rsidP="009C4BD9">
            <w:pPr>
              <w:pStyle w:val="ListBullet"/>
            </w:pPr>
            <w:r w:rsidRPr="009C4BD9">
              <w:t>tasks related to environmental protection, waste disposal, pollution control, and recycling</w:t>
            </w:r>
          </w:p>
          <w:p w:rsidR="00000000" w:rsidRPr="009C4BD9" w:rsidP="009C4BD9">
            <w:pPr>
              <w:pStyle w:val="BodyText"/>
            </w:pPr>
            <w:r w:rsidRPr="009C4BD9">
              <w:t>This unit requires skills in planning and organising, initiative and enterprise an</w:t>
            </w:r>
            <w:r w:rsidRPr="009C4BD9">
              <w:t>d problem solving in order to monitor production processes and determine the cause of production problems. Teamwork and communication skills are required to gather necessary information. Self management and learning skills are applied in reviewing own proc</w:t>
            </w:r>
            <w:r w:rsidRPr="009C4BD9">
              <w:t>ess to ensure outcomes are efficient and safe and optimise production outcomes.</w:t>
            </w:r>
          </w:p>
        </w:tc>
      </w:tr>
    </w:tbl>
    <w:p w:rsidR="00000000" w:rsidRPr="009C4BD9" w:rsidP="009C4BD9">
      <w:pPr>
        <w:pStyle w:val="BodyText"/>
      </w:pPr>
    </w:p>
    <w:p w:rsidR="00000000" w:rsidRPr="009C4BD9" w:rsidP="009C4BD9">
      <w:pPr>
        <w:pStyle w:val="AllowPageBreak"/>
      </w:pPr>
    </w:p>
    <w:p w:rsidR="00000000" w:rsidRPr="009C4BD9" w:rsidP="009C4BD9">
      <w:pPr>
        <w:pStyle w:val="Heading1"/>
      </w:pPr>
      <w:bookmarkStart w:id="4" w:name="O_97122"/>
      <w:bookmarkEnd w:id="4"/>
      <w:r w:rsidRPr="009C4BD9">
        <w:t>Licensing/Regulatory Information</w:t>
      </w:r>
    </w:p>
    <w:p w:rsidR="00000000" w:rsidRPr="009C4BD9" w:rsidP="009C4BD9">
      <w:pPr>
        <w:pStyle w:val="BodyText"/>
      </w:pPr>
      <w:r w:rsidRPr="009C4BD9">
        <w:t>Not applicable.</w:t>
      </w:r>
    </w:p>
    <w:p w:rsidR="00000000" w:rsidRPr="009C4BD9" w:rsidP="009C4BD9">
      <w:pPr>
        <w:pStyle w:val="AllowPageBreak"/>
      </w:pPr>
    </w:p>
    <w:p w:rsidR="00000000" w:rsidRPr="009C4BD9" w:rsidP="009C4BD9">
      <w:pPr>
        <w:pStyle w:val="Heading1"/>
      </w:pPr>
      <w:bookmarkStart w:id="5" w:name="O_97123"/>
      <w:bookmarkEnd w:id="5"/>
      <w:r w:rsidRPr="009C4BD9">
        <w:t>Pre-Requisites</w:t>
      </w:r>
    </w:p>
    <w:tbl>
      <w:tblPr>
        <w:tblW w:w="0" w:type="auto"/>
        <w:tblLayout w:type="fixed"/>
        <w:tblCellMar>
          <w:left w:w="62" w:type="dxa"/>
          <w:right w:w="62" w:type="dxa"/>
        </w:tblCellMar>
        <w:tblLook w:val="0000"/>
      </w:tblPr>
      <w:tblGrid>
        <w:gridCol w:w="2604"/>
        <w:gridCol w:w="6479"/>
      </w:tblGrid>
      <w:tr w:rsidTr="00012433">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9C4BD9">
            <w:pPr>
              <w:pStyle w:val="BodyText"/>
              <w:rPr>
                <w:lang w:val="en-NZ"/>
              </w:rPr>
            </w:pPr>
            <w:r w:rsidRPr="009C4BD9">
              <w:rPr>
                <w:rStyle w:val="SpecialBold"/>
              </w:rPr>
              <w:t>Prerequisites</w:t>
            </w:r>
            <w:r w:rsidRPr="009C4BD9">
              <w:t xml:space="preserve"> </w:t>
            </w:r>
          </w:p>
        </w:tc>
        <w:tc>
          <w:tcPr>
            <w:tcW w:w="6479" w:type="dxa"/>
            <w:tcBorders>
              <w:top w:val="nil"/>
              <w:left w:val="nil"/>
              <w:bottom w:val="nil"/>
              <w:right w:val="nil"/>
            </w:tcBorders>
            <w:tcMar>
              <w:top w:w="0" w:type="dxa"/>
              <w:left w:w="62" w:type="dxa"/>
              <w:bottom w:w="0" w:type="dxa"/>
              <w:right w:w="62" w:type="dxa"/>
            </w:tcMar>
          </w:tcPr>
          <w:p w:rsidR="00000000" w:rsidRPr="009C4BD9" w:rsidP="009C4BD9">
            <w:pPr>
              <w:pStyle w:val="BodyText"/>
            </w:pPr>
          </w:p>
        </w:tc>
      </w:tr>
    </w:tbl>
    <w:p w:rsidR="00000000" w:rsidRPr="009C4BD9" w:rsidP="009C4BD9">
      <w:pPr>
        <w:pStyle w:val="BodyText"/>
      </w:pPr>
    </w:p>
    <w:p w:rsidR="00000000" w:rsidRPr="009C4BD9" w:rsidP="009C4BD9">
      <w:pPr>
        <w:pStyle w:val="AllowPageBreak"/>
      </w:pPr>
    </w:p>
    <w:p w:rsidR="00000000" w:rsidRPr="009C4BD9" w:rsidP="009C4BD9">
      <w:pPr>
        <w:pStyle w:val="Heading1"/>
      </w:pPr>
      <w:bookmarkStart w:id="6" w:name="O_97124"/>
      <w:bookmarkEnd w:id="6"/>
      <w:r w:rsidRPr="009C4BD9">
        <w:t>Employability Skills Information</w:t>
      </w:r>
    </w:p>
    <w:tbl>
      <w:tblPr>
        <w:tblW w:w="0" w:type="auto"/>
        <w:tblLayout w:type="fixed"/>
        <w:tblCellMar>
          <w:left w:w="62" w:type="dxa"/>
          <w:right w:w="62" w:type="dxa"/>
        </w:tblCellMar>
        <w:tblLook w:val="0000"/>
      </w:tblPr>
      <w:tblGrid>
        <w:gridCol w:w="2283"/>
        <w:gridCol w:w="6800"/>
      </w:tblGrid>
      <w:tr w:rsidTr="00012433">
        <w:tblPrEx>
          <w:tblW w:w="0" w:type="auto"/>
          <w:tblLayout w:type="fixed"/>
          <w:tblCellMar>
            <w:left w:w="62" w:type="dxa"/>
            <w:right w:w="62" w:type="dxa"/>
          </w:tblCellMar>
          <w:tblLook w:val="0000"/>
        </w:tblPrEx>
        <w:trPr>
          <w:tblHeader/>
        </w:trPr>
        <w:tc>
          <w:tcPr>
            <w:tcW w:w="2283" w:type="dxa"/>
            <w:tcBorders>
              <w:top w:val="nil"/>
              <w:left w:val="nil"/>
              <w:bottom w:val="nil"/>
              <w:right w:val="nil"/>
            </w:tcBorders>
            <w:tcMar>
              <w:top w:w="0" w:type="dxa"/>
              <w:left w:w="62" w:type="dxa"/>
              <w:bottom w:w="0" w:type="dxa"/>
              <w:right w:w="62" w:type="dxa"/>
            </w:tcMar>
          </w:tcPr>
          <w:p w:rsidR="00000000" w:rsidP="009C4BD9">
            <w:pPr>
              <w:pStyle w:val="BodyText"/>
              <w:rPr>
                <w:lang w:val="en-NZ"/>
              </w:rPr>
            </w:pPr>
            <w:r w:rsidRPr="009C4BD9">
              <w:rPr>
                <w:rStyle w:val="SpecialBold"/>
              </w:rPr>
              <w:t>Employability Skills</w:t>
            </w:r>
          </w:p>
        </w:tc>
        <w:tc>
          <w:tcPr>
            <w:tcW w:w="6800" w:type="dxa"/>
            <w:tcBorders>
              <w:top w:val="nil"/>
              <w:left w:val="nil"/>
              <w:bottom w:val="nil"/>
              <w:right w:val="nil"/>
            </w:tcBorders>
            <w:tcMar>
              <w:top w:w="0" w:type="dxa"/>
              <w:left w:w="62" w:type="dxa"/>
              <w:bottom w:w="0" w:type="dxa"/>
              <w:right w:w="62" w:type="dxa"/>
            </w:tcMar>
          </w:tcPr>
          <w:p w:rsidR="00000000" w:rsidRPr="009C4BD9" w:rsidP="009C4BD9">
            <w:pPr>
              <w:pStyle w:val="BodyText"/>
            </w:pPr>
            <w:r w:rsidRPr="009C4BD9">
              <w:t>This unit contains employability skills.</w:t>
            </w:r>
          </w:p>
        </w:tc>
      </w:tr>
    </w:tbl>
    <w:p w:rsidR="00000000" w:rsidRPr="009C4BD9" w:rsidP="009C4BD9">
      <w:pPr>
        <w:pStyle w:val="BodyText"/>
      </w:pPr>
    </w:p>
    <w:p w:rsidR="00000000" w:rsidRPr="009C4BD9" w:rsidP="009C4BD9">
      <w:pPr>
        <w:pStyle w:val="AllowPageBreak"/>
      </w:pPr>
    </w:p>
    <w:p w:rsidR="00000000" w:rsidRPr="009C4BD9" w:rsidP="009C4BD9">
      <w:pPr>
        <w:pStyle w:val="Heading1"/>
      </w:pPr>
      <w:bookmarkStart w:id="7" w:name="O_97125"/>
      <w:bookmarkEnd w:id="7"/>
      <w:r w:rsidRPr="009C4BD9">
        <w:t>Elements and Performance Criteria Pre-Content</w:t>
      </w:r>
    </w:p>
    <w:p w:rsidR="00000000" w:rsidRPr="009C4BD9" w:rsidP="009C4BD9">
      <w:pPr>
        <w:pStyle w:val="BodyText"/>
      </w:pPr>
      <w:r w:rsidRPr="009C4BD9">
        <w:t>Not applicable.</w:t>
      </w:r>
    </w:p>
    <w:p w:rsidR="00000000" w:rsidRPr="009C4BD9" w:rsidP="009C4BD9">
      <w:pPr>
        <w:pStyle w:val="AllowPageBreak"/>
      </w:pPr>
    </w:p>
    <w:p w:rsidR="00000000" w:rsidRPr="009C4BD9" w:rsidP="009C4BD9">
      <w:pPr>
        <w:pStyle w:val="Heading1"/>
      </w:pPr>
      <w:bookmarkStart w:id="8" w:name="O_97126"/>
      <w:bookmarkEnd w:id="8"/>
      <w:r w:rsidRPr="009C4BD9">
        <w:t>Elements and Performance Criteria</w:t>
      </w:r>
    </w:p>
    <w:tbl>
      <w:tblPr>
        <w:tblW w:w="0" w:type="auto"/>
        <w:tblLayout w:type="fixed"/>
        <w:tblCellMar>
          <w:left w:w="62" w:type="dxa"/>
          <w:right w:w="62" w:type="dxa"/>
        </w:tblCellMar>
        <w:tblLook w:val="0000"/>
      </w:tblPr>
      <w:tblGrid>
        <w:gridCol w:w="2283"/>
        <w:gridCol w:w="6800"/>
      </w:tblGrid>
      <w:tr w:rsidTr="00012433">
        <w:tblPrEx>
          <w:tblW w:w="0" w:type="auto"/>
          <w:tblLayout w:type="fixed"/>
          <w:tblCellMar>
            <w:left w:w="62" w:type="dxa"/>
            <w:right w:w="62" w:type="dxa"/>
          </w:tblCellMar>
          <w:tblLook w:val="0000"/>
        </w:tblPrEx>
        <w:trPr>
          <w:tblHeader/>
        </w:trPr>
        <w:tc>
          <w:tcPr>
            <w:tcW w:w="2283" w:type="dxa"/>
            <w:tcBorders>
              <w:top w:val="nil"/>
              <w:left w:val="nil"/>
              <w:bottom w:val="nil"/>
              <w:right w:val="nil"/>
            </w:tcBorders>
            <w:tcMar>
              <w:top w:w="0" w:type="dxa"/>
              <w:left w:w="62" w:type="dxa"/>
              <w:bottom w:w="0" w:type="dxa"/>
              <w:right w:w="62" w:type="dxa"/>
            </w:tcMar>
          </w:tcPr>
          <w:p w:rsidR="00000000" w:rsidRPr="009C4BD9" w:rsidP="009C4BD9">
            <w:pPr>
              <w:pStyle w:val="BodyText"/>
            </w:pPr>
            <w:r w:rsidRPr="009C4BD9">
              <w:rPr>
                <w:rStyle w:val="SpecialBold"/>
              </w:rPr>
              <w:t>ELEMENT</w:t>
            </w:r>
          </w:p>
        </w:tc>
        <w:tc>
          <w:tcPr>
            <w:tcW w:w="6800" w:type="dxa"/>
            <w:tcBorders>
              <w:top w:val="nil"/>
              <w:left w:val="nil"/>
              <w:bottom w:val="nil"/>
              <w:right w:val="nil"/>
            </w:tcBorders>
            <w:tcMar>
              <w:top w:w="0" w:type="dxa"/>
              <w:left w:w="62" w:type="dxa"/>
              <w:bottom w:w="0" w:type="dxa"/>
              <w:right w:w="62" w:type="dxa"/>
            </w:tcMar>
          </w:tcPr>
          <w:p w:rsidR="00000000" w:rsidP="009C4BD9">
            <w:pPr>
              <w:pStyle w:val="BodyText"/>
              <w:rPr>
                <w:lang w:val="en-NZ"/>
              </w:rPr>
            </w:pPr>
            <w:r w:rsidRPr="009C4BD9">
              <w:rPr>
                <w:rStyle w:val="SpecialBold"/>
              </w:rPr>
              <w:t>PERFORMANCE CRITERIA</w:t>
            </w:r>
          </w:p>
        </w:tc>
      </w:tr>
      <w:tr w:rsidTr="00012433">
        <w:tblPrEx>
          <w:tblW w:w="0" w:type="auto"/>
          <w:tblLayout w:type="fixed"/>
          <w:tblCellMar>
            <w:left w:w="62" w:type="dxa"/>
            <w:right w:w="62" w:type="dxa"/>
          </w:tblCellMar>
          <w:tblLook w:val="0000"/>
        </w:tblPrEx>
        <w:tc>
          <w:tcPr>
            <w:tcW w:w="2283" w:type="dxa"/>
            <w:tcBorders>
              <w:top w:val="nil"/>
              <w:left w:val="nil"/>
              <w:bottom w:val="nil"/>
              <w:right w:val="nil"/>
            </w:tcBorders>
            <w:tcMar>
              <w:top w:w="0" w:type="dxa"/>
              <w:left w:w="62" w:type="dxa"/>
              <w:bottom w:w="0" w:type="dxa"/>
              <w:right w:w="62" w:type="dxa"/>
            </w:tcMar>
          </w:tcPr>
          <w:p w:rsidR="00000000" w:rsidP="009C4BD9">
            <w:pPr>
              <w:pStyle w:val="List"/>
              <w:rPr>
                <w:lang w:val="en-NZ"/>
              </w:rPr>
            </w:pPr>
            <w:r w:rsidRPr="009C4BD9">
              <w:t>1</w:t>
            </w:r>
            <w:r w:rsidRPr="009C4BD9">
              <w:tab/>
            </w:r>
            <w:r w:rsidRPr="009C4BD9">
              <w:t>Monitor process to ensure outcomes are consistent with job specifications</w:t>
            </w:r>
          </w:p>
        </w:tc>
        <w:tc>
          <w:tcPr>
            <w:tcW w:w="6800" w:type="dxa"/>
            <w:tcBorders>
              <w:top w:val="nil"/>
              <w:left w:val="nil"/>
              <w:bottom w:val="nil"/>
              <w:right w:val="nil"/>
            </w:tcBorders>
            <w:tcMar>
              <w:top w:w="0" w:type="dxa"/>
              <w:left w:w="62" w:type="dxa"/>
              <w:bottom w:w="0" w:type="dxa"/>
              <w:right w:w="62" w:type="dxa"/>
            </w:tcMar>
          </w:tcPr>
          <w:p w:rsidR="00000000" w:rsidRPr="009C4BD9" w:rsidP="009C4BD9">
            <w:pPr>
              <w:pStyle w:val="List"/>
            </w:pPr>
            <w:r w:rsidRPr="009C4BD9">
              <w:t>1.1</w:t>
            </w:r>
            <w:r w:rsidRPr="009C4BD9">
              <w:tab/>
            </w:r>
            <w:r w:rsidRPr="009C4BD9">
              <w:rPr>
                <w:rStyle w:val="BoldandItalics"/>
              </w:rPr>
              <w:t>Job specifications</w:t>
            </w:r>
            <w:r w:rsidRPr="009C4BD9">
              <w:t xml:space="preserve"> are checked for requirements including quantity, quality, colour and pattern.</w:t>
            </w:r>
          </w:p>
          <w:p w:rsidR="00000000" w:rsidRPr="009C4BD9" w:rsidP="009C4BD9">
            <w:pPr>
              <w:pStyle w:val="List"/>
            </w:pPr>
            <w:r w:rsidRPr="009C4BD9">
              <w:t>1.2</w:t>
            </w:r>
            <w:r w:rsidRPr="009C4BD9">
              <w:tab/>
            </w:r>
            <w:r w:rsidRPr="009C4BD9">
              <w:rPr>
                <w:rStyle w:val="BoldandItalics"/>
              </w:rPr>
              <w:t>Performance parameters</w:t>
            </w:r>
            <w:r w:rsidRPr="009C4BD9">
              <w:t xml:space="preserve"> are identified to the extent required to be able to re</w:t>
            </w:r>
            <w:r w:rsidRPr="009C4BD9">
              <w:t>port known or suspected problems.</w:t>
            </w:r>
          </w:p>
          <w:p w:rsidR="00000000" w:rsidRPr="009C4BD9" w:rsidP="009C4BD9">
            <w:pPr>
              <w:pStyle w:val="List"/>
            </w:pPr>
            <w:r w:rsidRPr="009C4BD9">
              <w:t>1.3</w:t>
            </w:r>
            <w:r w:rsidRPr="009C4BD9">
              <w:tab/>
            </w:r>
            <w:r w:rsidRPr="009C4BD9">
              <w:rPr>
                <w:rStyle w:val="BoldandItalics"/>
              </w:rPr>
              <w:t>Production processes</w:t>
            </w:r>
            <w:r w:rsidRPr="009C4BD9">
              <w:t xml:space="preserve"> are monitored to ensure consistency with specified outcomes.</w:t>
            </w:r>
          </w:p>
          <w:p w:rsidR="00000000" w:rsidRPr="009C4BD9" w:rsidP="009C4BD9">
            <w:pPr>
              <w:pStyle w:val="List"/>
            </w:pPr>
            <w:r w:rsidRPr="009C4BD9">
              <w:t>1.4</w:t>
            </w:r>
            <w:r w:rsidRPr="009C4BD9">
              <w:tab/>
              <w:t>Job records and other documentation are maintained.</w:t>
            </w:r>
          </w:p>
          <w:p w:rsidR="00000000" w:rsidP="009C4BD9">
            <w:pPr>
              <w:pStyle w:val="List"/>
              <w:rPr>
                <w:lang w:val="en-NZ"/>
              </w:rPr>
            </w:pPr>
            <w:r w:rsidRPr="009C4BD9">
              <w:t>1.5</w:t>
            </w:r>
            <w:r w:rsidRPr="009C4BD9">
              <w:tab/>
              <w:t xml:space="preserve">Monitoring is conducted according to </w:t>
            </w:r>
            <w:r w:rsidRPr="009C4BD9">
              <w:rPr>
                <w:rStyle w:val="BoldandItalics"/>
              </w:rPr>
              <w:t>OHS practices</w:t>
            </w:r>
            <w:r w:rsidRPr="009C4BD9">
              <w:t>.</w:t>
            </w:r>
          </w:p>
        </w:tc>
      </w:tr>
      <w:tr w:rsidTr="00012433">
        <w:tblPrEx>
          <w:tblW w:w="0" w:type="auto"/>
          <w:tblLayout w:type="fixed"/>
          <w:tblCellMar>
            <w:left w:w="62" w:type="dxa"/>
            <w:right w:w="62" w:type="dxa"/>
          </w:tblCellMar>
          <w:tblLook w:val="0000"/>
        </w:tblPrEx>
        <w:tc>
          <w:tcPr>
            <w:tcW w:w="2283" w:type="dxa"/>
            <w:tcBorders>
              <w:top w:val="nil"/>
              <w:left w:val="nil"/>
              <w:bottom w:val="nil"/>
              <w:right w:val="nil"/>
            </w:tcBorders>
            <w:tcMar>
              <w:top w:w="0" w:type="dxa"/>
              <w:left w:w="62" w:type="dxa"/>
              <w:bottom w:w="0" w:type="dxa"/>
              <w:right w:w="62" w:type="dxa"/>
            </w:tcMar>
          </w:tcPr>
          <w:p w:rsidR="00000000" w:rsidP="009C4BD9">
            <w:pPr>
              <w:pStyle w:val="List"/>
              <w:rPr>
                <w:lang w:val="en-NZ"/>
              </w:rPr>
            </w:pPr>
            <w:r w:rsidRPr="009C4BD9">
              <w:t>2</w:t>
            </w:r>
            <w:r w:rsidRPr="009C4BD9">
              <w:tab/>
              <w:t>Identify problems wit</w:t>
            </w:r>
            <w:r w:rsidRPr="009C4BD9">
              <w:t>h operation of textile production process</w:t>
            </w:r>
          </w:p>
        </w:tc>
        <w:tc>
          <w:tcPr>
            <w:tcW w:w="6800" w:type="dxa"/>
            <w:tcBorders>
              <w:top w:val="nil"/>
              <w:left w:val="nil"/>
              <w:bottom w:val="nil"/>
              <w:right w:val="nil"/>
            </w:tcBorders>
            <w:tcMar>
              <w:top w:w="0" w:type="dxa"/>
              <w:left w:w="62" w:type="dxa"/>
              <w:bottom w:w="0" w:type="dxa"/>
              <w:right w:w="62" w:type="dxa"/>
            </w:tcMar>
          </w:tcPr>
          <w:p w:rsidR="00000000" w:rsidRPr="009C4BD9" w:rsidP="009C4BD9">
            <w:pPr>
              <w:pStyle w:val="List"/>
            </w:pPr>
            <w:r w:rsidRPr="009C4BD9">
              <w:t>2.1</w:t>
            </w:r>
            <w:r w:rsidRPr="009C4BD9">
              <w:tab/>
              <w:t>Problems are identified and categorised as machine and process faults.</w:t>
            </w:r>
          </w:p>
          <w:p w:rsidR="00000000" w:rsidP="009C4BD9">
            <w:pPr>
              <w:pStyle w:val="List"/>
              <w:rPr>
                <w:lang w:val="en-NZ"/>
              </w:rPr>
            </w:pPr>
            <w:r w:rsidRPr="009C4BD9">
              <w:t>2.2</w:t>
            </w:r>
            <w:r w:rsidRPr="009C4BD9">
              <w:tab/>
              <w:t>Operating manuals and documentation are referred to.</w:t>
            </w:r>
          </w:p>
        </w:tc>
      </w:tr>
      <w:tr w:rsidTr="00012433">
        <w:tblPrEx>
          <w:tblW w:w="0" w:type="auto"/>
          <w:tblLayout w:type="fixed"/>
          <w:tblCellMar>
            <w:left w:w="62" w:type="dxa"/>
            <w:right w:w="62" w:type="dxa"/>
          </w:tblCellMar>
          <w:tblLook w:val="0000"/>
        </w:tblPrEx>
        <w:tc>
          <w:tcPr>
            <w:tcW w:w="2283" w:type="dxa"/>
            <w:tcBorders>
              <w:top w:val="nil"/>
              <w:left w:val="nil"/>
              <w:bottom w:val="nil"/>
              <w:right w:val="nil"/>
            </w:tcBorders>
            <w:tcMar>
              <w:top w:w="0" w:type="dxa"/>
              <w:left w:w="62" w:type="dxa"/>
              <w:bottom w:w="0" w:type="dxa"/>
              <w:right w:w="62" w:type="dxa"/>
            </w:tcMar>
          </w:tcPr>
          <w:p w:rsidR="00000000" w:rsidP="009C4BD9">
            <w:pPr>
              <w:pStyle w:val="List"/>
              <w:rPr>
                <w:lang w:val="en-NZ"/>
              </w:rPr>
            </w:pPr>
            <w:r w:rsidRPr="009C4BD9">
              <w:t>3</w:t>
            </w:r>
            <w:r w:rsidRPr="009C4BD9">
              <w:tab/>
              <w:t>Determine problem cause and solution</w:t>
            </w:r>
          </w:p>
        </w:tc>
        <w:tc>
          <w:tcPr>
            <w:tcW w:w="6800" w:type="dxa"/>
            <w:tcBorders>
              <w:top w:val="nil"/>
              <w:left w:val="nil"/>
              <w:bottom w:val="nil"/>
              <w:right w:val="nil"/>
            </w:tcBorders>
            <w:tcMar>
              <w:top w:w="0" w:type="dxa"/>
              <w:left w:w="62" w:type="dxa"/>
              <w:bottom w:w="0" w:type="dxa"/>
              <w:right w:w="62" w:type="dxa"/>
            </w:tcMar>
          </w:tcPr>
          <w:p w:rsidR="00000000" w:rsidRPr="009C4BD9" w:rsidP="009C4BD9">
            <w:pPr>
              <w:pStyle w:val="List"/>
            </w:pPr>
            <w:r w:rsidRPr="009C4BD9">
              <w:t>3.1</w:t>
            </w:r>
            <w:r w:rsidRPr="009C4BD9">
              <w:tab/>
            </w:r>
            <w:r w:rsidRPr="009C4BD9">
              <w:t>Possible causes of problem are determined.</w:t>
            </w:r>
          </w:p>
          <w:p w:rsidR="00000000" w:rsidRPr="009C4BD9" w:rsidP="009C4BD9">
            <w:pPr>
              <w:pStyle w:val="List"/>
            </w:pPr>
            <w:r w:rsidRPr="009C4BD9">
              <w:t>3.2</w:t>
            </w:r>
            <w:r w:rsidRPr="009C4BD9">
              <w:tab/>
              <w:t>Further information is gathered to confirm and eliminate possible causes.</w:t>
            </w:r>
          </w:p>
          <w:p w:rsidR="00000000" w:rsidRPr="009C4BD9" w:rsidP="009C4BD9">
            <w:pPr>
              <w:pStyle w:val="List"/>
            </w:pPr>
            <w:r w:rsidRPr="009C4BD9">
              <w:t>3.3</w:t>
            </w:r>
            <w:r w:rsidRPr="009C4BD9">
              <w:tab/>
            </w:r>
            <w:r w:rsidRPr="009C4BD9">
              <w:rPr>
                <w:rStyle w:val="BoldandItalics"/>
              </w:rPr>
              <w:t>Appropriate personnel</w:t>
            </w:r>
            <w:r w:rsidRPr="009C4BD9">
              <w:t xml:space="preserve"> are consulted to confirm causes.</w:t>
            </w:r>
          </w:p>
          <w:p w:rsidR="00000000" w:rsidRPr="009C4BD9" w:rsidP="009C4BD9">
            <w:pPr>
              <w:pStyle w:val="List"/>
            </w:pPr>
            <w:r w:rsidRPr="009C4BD9">
              <w:t>3.4</w:t>
            </w:r>
            <w:r w:rsidRPr="009C4BD9">
              <w:tab/>
            </w:r>
            <w:r w:rsidRPr="009C4BD9">
              <w:rPr>
                <w:rStyle w:val="BoldandItalics"/>
              </w:rPr>
              <w:t>Immediate solution</w:t>
            </w:r>
            <w:r w:rsidRPr="009C4BD9">
              <w:t xml:space="preserve"> is determined and trialled or implemented.</w:t>
            </w:r>
          </w:p>
          <w:p w:rsidR="00000000" w:rsidP="009C4BD9">
            <w:pPr>
              <w:pStyle w:val="List"/>
              <w:rPr>
                <w:lang w:val="en-NZ"/>
              </w:rPr>
            </w:pPr>
            <w:r w:rsidRPr="009C4BD9">
              <w:t>3.5</w:t>
            </w:r>
            <w:r w:rsidRPr="009C4BD9">
              <w:tab/>
            </w:r>
            <w:r w:rsidRPr="009C4BD9">
              <w:rPr>
                <w:rStyle w:val="BoldandItalics"/>
              </w:rPr>
              <w:t>Perman</w:t>
            </w:r>
            <w:r w:rsidRPr="009C4BD9">
              <w:rPr>
                <w:rStyle w:val="BoldandItalics"/>
              </w:rPr>
              <w:t>ent solution</w:t>
            </w:r>
            <w:r w:rsidRPr="009C4BD9">
              <w:t xml:space="preserve"> is determined in consultation with appropriate personnel.</w:t>
            </w:r>
          </w:p>
        </w:tc>
      </w:tr>
      <w:tr w:rsidTr="00012433">
        <w:tblPrEx>
          <w:tblW w:w="0" w:type="auto"/>
          <w:tblLayout w:type="fixed"/>
          <w:tblCellMar>
            <w:left w:w="62" w:type="dxa"/>
            <w:right w:w="62" w:type="dxa"/>
          </w:tblCellMar>
          <w:tblLook w:val="0000"/>
        </w:tblPrEx>
        <w:tc>
          <w:tcPr>
            <w:tcW w:w="2283" w:type="dxa"/>
            <w:tcBorders>
              <w:top w:val="nil"/>
              <w:left w:val="nil"/>
              <w:bottom w:val="nil"/>
              <w:right w:val="nil"/>
            </w:tcBorders>
            <w:tcMar>
              <w:top w:w="0" w:type="dxa"/>
              <w:left w:w="62" w:type="dxa"/>
              <w:bottom w:w="0" w:type="dxa"/>
              <w:right w:w="62" w:type="dxa"/>
            </w:tcMar>
          </w:tcPr>
          <w:p w:rsidR="00000000" w:rsidP="009C4BD9">
            <w:pPr>
              <w:pStyle w:val="List"/>
              <w:rPr>
                <w:lang w:val="en-NZ"/>
              </w:rPr>
            </w:pPr>
            <w:r w:rsidRPr="009C4BD9">
              <w:t>4</w:t>
            </w:r>
            <w:r w:rsidRPr="009C4BD9">
              <w:tab/>
              <w:t>Conduct regular checks of performance efficiency</w:t>
            </w:r>
          </w:p>
        </w:tc>
        <w:tc>
          <w:tcPr>
            <w:tcW w:w="6800" w:type="dxa"/>
            <w:tcBorders>
              <w:top w:val="nil"/>
              <w:left w:val="nil"/>
              <w:bottom w:val="nil"/>
              <w:right w:val="nil"/>
            </w:tcBorders>
            <w:tcMar>
              <w:top w:w="0" w:type="dxa"/>
              <w:left w:w="62" w:type="dxa"/>
              <w:bottom w:w="0" w:type="dxa"/>
              <w:right w:w="62" w:type="dxa"/>
            </w:tcMar>
          </w:tcPr>
          <w:p w:rsidR="00000000" w:rsidRPr="009C4BD9" w:rsidP="009C4BD9">
            <w:pPr>
              <w:pStyle w:val="List"/>
            </w:pPr>
            <w:r w:rsidRPr="009C4BD9">
              <w:t>4.1</w:t>
            </w:r>
            <w:r w:rsidRPr="009C4BD9">
              <w:tab/>
              <w:t>Regular checks of process operation are undertaken and results assessed against job specifications.</w:t>
            </w:r>
          </w:p>
          <w:p w:rsidR="00000000" w:rsidRPr="009C4BD9" w:rsidP="009C4BD9">
            <w:pPr>
              <w:pStyle w:val="List"/>
            </w:pPr>
            <w:r w:rsidRPr="009C4BD9">
              <w:t>4.2</w:t>
            </w:r>
            <w:r w:rsidRPr="009C4BD9">
              <w:tab/>
              <w:t>Results of checks are rec</w:t>
            </w:r>
            <w:r w:rsidRPr="009C4BD9">
              <w:t>orded.</w:t>
            </w:r>
          </w:p>
          <w:p w:rsidR="00000000" w:rsidRPr="009C4BD9" w:rsidP="009C4BD9">
            <w:pPr>
              <w:pStyle w:val="List"/>
            </w:pPr>
            <w:r w:rsidRPr="009C4BD9">
              <w:t>4.3</w:t>
            </w:r>
            <w:r w:rsidRPr="009C4BD9">
              <w:tab/>
              <w:t>Opportunities for process improvements are identified and communicated.</w:t>
            </w:r>
          </w:p>
        </w:tc>
      </w:tr>
    </w:tbl>
    <w:p w:rsidR="00000000" w:rsidRPr="009C4BD9" w:rsidP="009C4BD9">
      <w:pPr>
        <w:pStyle w:val="BodyText"/>
      </w:pPr>
    </w:p>
    <w:p w:rsidR="00000000" w:rsidRPr="009C4BD9" w:rsidP="009C4BD9">
      <w:pPr>
        <w:pStyle w:val="AllowPageBreak"/>
      </w:pPr>
    </w:p>
    <w:p w:rsidR="00000000" w:rsidRPr="009C4BD9" w:rsidP="009C4BD9">
      <w:pPr>
        <w:pStyle w:val="Heading1"/>
      </w:pPr>
      <w:bookmarkStart w:id="9" w:name="O_97127"/>
      <w:bookmarkEnd w:id="9"/>
      <w:r w:rsidRPr="009C4BD9">
        <w:t>Required Skills and Knowledge</w:t>
      </w:r>
    </w:p>
    <w:tbl>
      <w:tblPr>
        <w:tblW w:w="0" w:type="auto"/>
        <w:tblLayout w:type="fixed"/>
        <w:tblCellMar>
          <w:left w:w="62" w:type="dxa"/>
          <w:right w:w="62" w:type="dxa"/>
        </w:tblCellMar>
        <w:tblLook w:val="0000"/>
      </w:tblPr>
      <w:tblGrid>
        <w:gridCol w:w="9083"/>
      </w:tblGrid>
      <w:tr w:rsidTr="00012433">
        <w:tblPrEx>
          <w:tblW w:w="0" w:type="auto"/>
          <w:tblLayout w:type="fixed"/>
          <w:tblCellMar>
            <w:left w:w="62" w:type="dxa"/>
            <w:right w:w="62" w:type="dxa"/>
          </w:tblCellMar>
          <w:tblLook w:val="0000"/>
        </w:tblPrEx>
        <w:trPr>
          <w:tblHeader/>
        </w:trPr>
        <w:tc>
          <w:tcPr>
            <w:tcW w:w="9083" w:type="dxa"/>
            <w:tcBorders>
              <w:top w:val="nil"/>
              <w:left w:val="nil"/>
              <w:bottom w:val="nil"/>
              <w:right w:val="nil"/>
            </w:tcBorders>
            <w:tcMar>
              <w:top w:w="0" w:type="dxa"/>
              <w:left w:w="62" w:type="dxa"/>
              <w:bottom w:w="0" w:type="dxa"/>
              <w:right w:w="62" w:type="dxa"/>
            </w:tcMar>
          </w:tcPr>
          <w:p w:rsidR="00000000" w:rsidP="009C4BD9">
            <w:pPr>
              <w:pStyle w:val="BodyText"/>
              <w:rPr>
                <w:lang w:val="en-NZ"/>
              </w:rPr>
            </w:pPr>
            <w:r w:rsidRPr="009C4BD9">
              <w:rPr>
                <w:rStyle w:val="SpecialBold"/>
              </w:rPr>
              <w:t>REQUIRED SKILLS AND KNOWLEDGE</w:t>
            </w:r>
          </w:p>
        </w:tc>
      </w:tr>
      <w:tr w:rsidTr="00012433">
        <w:tblPrEx>
          <w:tblW w:w="0" w:type="auto"/>
          <w:tblLayout w:type="fixed"/>
          <w:tblCellMar>
            <w:left w:w="62" w:type="dxa"/>
            <w:right w:w="62" w:type="dxa"/>
          </w:tblCellMar>
          <w:tblLook w:val="0000"/>
        </w:tblPrEx>
        <w:tc>
          <w:tcPr>
            <w:tcW w:w="9083" w:type="dxa"/>
            <w:tcBorders>
              <w:top w:val="nil"/>
              <w:left w:val="nil"/>
              <w:bottom w:val="nil"/>
              <w:right w:val="nil"/>
            </w:tcBorders>
            <w:tcMar>
              <w:top w:w="0" w:type="dxa"/>
              <w:left w:w="62" w:type="dxa"/>
              <w:bottom w:w="0" w:type="dxa"/>
              <w:right w:w="62" w:type="dxa"/>
            </w:tcMar>
          </w:tcPr>
          <w:p w:rsidR="00000000" w:rsidP="009C4BD9">
            <w:pPr>
              <w:pStyle w:val="BodyText"/>
              <w:rPr>
                <w:lang w:val="en-NZ"/>
              </w:rPr>
            </w:pPr>
            <w:r w:rsidRPr="009C4BD9">
              <w:t>This describes the essential skills and knowledge and their level, required for this unit.</w:t>
            </w:r>
          </w:p>
        </w:tc>
      </w:tr>
      <w:tr w:rsidTr="00012433">
        <w:tblPrEx>
          <w:tblW w:w="0" w:type="auto"/>
          <w:tblLayout w:type="fixed"/>
          <w:tblCellMar>
            <w:left w:w="62" w:type="dxa"/>
            <w:right w:w="62" w:type="dxa"/>
          </w:tblCellMar>
          <w:tblLook w:val="0000"/>
        </w:tblPrEx>
        <w:tc>
          <w:tcPr>
            <w:tcW w:w="9083" w:type="dxa"/>
            <w:tcBorders>
              <w:top w:val="nil"/>
              <w:left w:val="nil"/>
              <w:bottom w:val="nil"/>
              <w:right w:val="nil"/>
            </w:tcBorders>
            <w:tcMar>
              <w:top w:w="0" w:type="dxa"/>
              <w:left w:w="62" w:type="dxa"/>
              <w:bottom w:w="0" w:type="dxa"/>
              <w:right w:w="62" w:type="dxa"/>
            </w:tcMar>
          </w:tcPr>
          <w:p w:rsidR="00000000" w:rsidRPr="009C4BD9" w:rsidP="009C4BD9">
            <w:pPr>
              <w:pStyle w:val="BodyText"/>
            </w:pPr>
            <w:r w:rsidRPr="009C4BD9">
              <w:t>Demonstrates knowledge of:</w:t>
            </w:r>
          </w:p>
          <w:p w:rsidR="00000000" w:rsidRPr="009C4BD9" w:rsidP="009C4BD9">
            <w:pPr>
              <w:pStyle w:val="ListBullet"/>
            </w:pPr>
            <w:r w:rsidRPr="009C4BD9">
              <w:t>textile production processes used in an enterprise</w:t>
            </w:r>
          </w:p>
          <w:p w:rsidR="00000000" w:rsidRPr="009C4BD9" w:rsidP="009C4BD9">
            <w:pPr>
              <w:pStyle w:val="ListBullet"/>
            </w:pPr>
            <w:r w:rsidRPr="009C4BD9">
              <w:t>range of problems and their solutions associated with textile production operations</w:t>
            </w:r>
          </w:p>
          <w:p w:rsidR="00000000" w:rsidRPr="009C4BD9" w:rsidP="009C4BD9">
            <w:pPr>
              <w:pStyle w:val="ListBullet"/>
            </w:pPr>
            <w:r w:rsidRPr="009C4BD9">
              <w:t>quality standards and practices</w:t>
            </w:r>
          </w:p>
          <w:p w:rsidR="00000000" w:rsidRPr="009C4BD9" w:rsidP="009C4BD9">
            <w:pPr>
              <w:pStyle w:val="ListBullet"/>
            </w:pPr>
            <w:r w:rsidRPr="009C4BD9">
              <w:t>OHS practices, including hazard identification and control me</w:t>
            </w:r>
            <w:r w:rsidRPr="009C4BD9">
              <w:t>asures</w:t>
            </w:r>
          </w:p>
          <w:p w:rsidR="00000000" w:rsidRPr="009C4BD9" w:rsidP="009C4BD9">
            <w:pPr>
              <w:pStyle w:val="ListBullet"/>
            </w:pPr>
            <w:r w:rsidRPr="009C4BD9">
              <w:t>workplace practices</w:t>
            </w:r>
          </w:p>
          <w:p w:rsidR="00000000" w:rsidP="009C4BD9">
            <w:pPr>
              <w:pStyle w:val="ListBullet"/>
              <w:rPr>
                <w:lang w:val="en-NZ"/>
              </w:rPr>
            </w:pPr>
            <w:r w:rsidRPr="009C4BD9">
              <w:t>recording and reporting practices</w:t>
            </w:r>
          </w:p>
        </w:tc>
      </w:tr>
      <w:tr w:rsidTr="00012433">
        <w:tblPrEx>
          <w:tblW w:w="0" w:type="auto"/>
          <w:tblLayout w:type="fixed"/>
          <w:tblCellMar>
            <w:left w:w="62" w:type="dxa"/>
            <w:right w:w="62" w:type="dxa"/>
          </w:tblCellMar>
          <w:tblLook w:val="0000"/>
        </w:tblPrEx>
        <w:tc>
          <w:tcPr>
            <w:tcW w:w="9083" w:type="dxa"/>
            <w:tcBorders>
              <w:top w:val="nil"/>
              <w:left w:val="nil"/>
              <w:bottom w:val="nil"/>
              <w:right w:val="nil"/>
            </w:tcBorders>
            <w:tcMar>
              <w:top w:w="0" w:type="dxa"/>
              <w:left w:w="62" w:type="dxa"/>
              <w:bottom w:w="0" w:type="dxa"/>
              <w:right w:w="62" w:type="dxa"/>
            </w:tcMar>
          </w:tcPr>
          <w:p w:rsidR="00000000" w:rsidRPr="009C4BD9" w:rsidP="009C4BD9">
            <w:pPr>
              <w:pStyle w:val="BodyText"/>
            </w:pPr>
            <w:r w:rsidRPr="009C4BD9">
              <w:t>Demonstrates skills to:</w:t>
            </w:r>
          </w:p>
          <w:p w:rsidR="00000000" w:rsidRPr="009C4BD9" w:rsidP="009C4BD9">
            <w:pPr>
              <w:pStyle w:val="ListBullet"/>
            </w:pPr>
            <w:r w:rsidRPr="009C4BD9">
              <w:t>identify faults and problems</w:t>
            </w:r>
          </w:p>
          <w:p w:rsidR="00000000" w:rsidRPr="009C4BD9" w:rsidP="009C4BD9">
            <w:pPr>
              <w:pStyle w:val="ListBullet"/>
            </w:pPr>
            <w:r w:rsidRPr="009C4BD9">
              <w:t>determine solutions</w:t>
            </w:r>
          </w:p>
          <w:p w:rsidR="00000000" w:rsidRPr="009C4BD9" w:rsidP="009C4BD9">
            <w:pPr>
              <w:pStyle w:val="ListBullet"/>
            </w:pPr>
            <w:r w:rsidRPr="009C4BD9">
              <w:t>read, interpret and follow information on work specifications, standard operating procedures and work instructions, and other reference material</w:t>
            </w:r>
          </w:p>
          <w:p w:rsidR="00000000" w:rsidRPr="009C4BD9" w:rsidP="009C4BD9">
            <w:pPr>
              <w:pStyle w:val="ListBullet"/>
            </w:pPr>
            <w:r w:rsidRPr="009C4BD9">
              <w:t>maintain accurate records</w:t>
            </w:r>
          </w:p>
          <w:p w:rsidR="00000000" w:rsidRPr="009C4BD9" w:rsidP="009C4BD9">
            <w:pPr>
              <w:pStyle w:val="ListBullet"/>
            </w:pPr>
            <w:r w:rsidRPr="009C4BD9">
              <w:t>communicate within the workplace</w:t>
            </w:r>
          </w:p>
          <w:p w:rsidR="00000000" w:rsidRPr="009C4BD9" w:rsidP="009C4BD9">
            <w:pPr>
              <w:pStyle w:val="ListBullet"/>
            </w:pPr>
            <w:r w:rsidRPr="009C4BD9">
              <w:t>sequence operations</w:t>
            </w:r>
          </w:p>
          <w:p w:rsidR="00000000" w:rsidRPr="009C4BD9" w:rsidP="009C4BD9">
            <w:pPr>
              <w:pStyle w:val="ListBullet"/>
            </w:pPr>
            <w:r w:rsidRPr="009C4BD9">
              <w:t>meet specifications</w:t>
            </w:r>
          </w:p>
          <w:p w:rsidR="00000000" w:rsidRPr="009C4BD9" w:rsidP="009C4BD9">
            <w:pPr>
              <w:pStyle w:val="ListBullet"/>
            </w:pPr>
            <w:r w:rsidRPr="009C4BD9">
              <w:t xml:space="preserve">clarify and </w:t>
            </w:r>
            <w:r w:rsidRPr="009C4BD9">
              <w:t>check task-related information</w:t>
            </w:r>
          </w:p>
          <w:p w:rsidR="00000000" w:rsidRPr="009C4BD9" w:rsidP="009C4BD9">
            <w:pPr>
              <w:pStyle w:val="ListBullet"/>
            </w:pPr>
            <w:r w:rsidRPr="009C4BD9">
              <w:t>carry out work according to OHS practices</w:t>
            </w:r>
          </w:p>
        </w:tc>
      </w:tr>
    </w:tbl>
    <w:p w:rsidR="00000000" w:rsidRPr="009C4BD9" w:rsidP="009C4BD9">
      <w:pPr>
        <w:pStyle w:val="BodyText"/>
      </w:pPr>
    </w:p>
    <w:p w:rsidR="00000000" w:rsidRPr="009C4BD9" w:rsidP="009C4BD9">
      <w:pPr>
        <w:pStyle w:val="AllowPageBreak"/>
      </w:pPr>
    </w:p>
    <w:p w:rsidR="00000000" w:rsidRPr="009C4BD9" w:rsidP="009C4BD9">
      <w:pPr>
        <w:pStyle w:val="Heading1"/>
      </w:pPr>
      <w:bookmarkStart w:id="10" w:name="O_97128"/>
      <w:bookmarkEnd w:id="10"/>
      <w:r w:rsidRPr="009C4BD9">
        <w:t>Evidence Guide</w:t>
      </w:r>
    </w:p>
    <w:tbl>
      <w:tblPr>
        <w:tblW w:w="0" w:type="auto"/>
        <w:tblLayout w:type="fixed"/>
        <w:tblCellMar>
          <w:left w:w="62" w:type="dxa"/>
          <w:right w:w="62" w:type="dxa"/>
        </w:tblCellMar>
        <w:tblLook w:val="0000"/>
      </w:tblPr>
      <w:tblGrid>
        <w:gridCol w:w="2283"/>
        <w:gridCol w:w="6800"/>
      </w:tblGrid>
      <w:tr w:rsidTr="00012433">
        <w:tblPrEx>
          <w:tblW w:w="0" w:type="auto"/>
          <w:tblLayout w:type="fixed"/>
          <w:tblCellMar>
            <w:left w:w="62" w:type="dxa"/>
            <w:right w:w="62" w:type="dxa"/>
          </w:tblCellMar>
          <w:tblLook w:val="0000"/>
        </w:tblPrEx>
        <w:trPr>
          <w:tblHeader/>
        </w:trPr>
        <w:tc>
          <w:tcPr>
            <w:tcW w:w="9083" w:type="dxa"/>
            <w:gridSpan w:val="2"/>
            <w:tcBorders>
              <w:top w:val="nil"/>
              <w:left w:val="nil"/>
              <w:bottom w:val="nil"/>
              <w:right w:val="nil"/>
            </w:tcBorders>
            <w:tcMar>
              <w:top w:w="0" w:type="dxa"/>
              <w:left w:w="62" w:type="dxa"/>
              <w:bottom w:w="0" w:type="dxa"/>
              <w:right w:w="62" w:type="dxa"/>
            </w:tcMar>
          </w:tcPr>
          <w:p w:rsidR="00000000" w:rsidRPr="009C4BD9" w:rsidP="009C4BD9">
            <w:pPr>
              <w:pStyle w:val="BodyText"/>
              <w:rPr>
                <w:rStyle w:val="SpecialBold"/>
              </w:rPr>
            </w:pPr>
          </w:p>
          <w:p w:rsidR="00000000" w:rsidP="009C4BD9">
            <w:pPr>
              <w:pStyle w:val="BodyText"/>
              <w:rPr>
                <w:rFonts w:ascii="Tahoma" w:hAnsi="Tahoma"/>
                <w:lang w:val="en-NZ"/>
              </w:rPr>
            </w:pPr>
            <w:r w:rsidRPr="009C4BD9">
              <w:t>The Evidence Guide provides advice on assessment and must be read in conjunction with the Performance Criteria, Required Skills and Knowledge, the Range Statement and the Assessment Guidelines for the Training Package.</w:t>
            </w:r>
          </w:p>
        </w:tc>
      </w:tr>
      <w:tr w:rsidTr="00012433">
        <w:tblPrEx>
          <w:tblW w:w="0" w:type="auto"/>
          <w:tblLayout w:type="fixed"/>
          <w:tblCellMar>
            <w:left w:w="62" w:type="dxa"/>
            <w:right w:w="62" w:type="dxa"/>
          </w:tblCellMar>
          <w:tblLook w:val="0000"/>
        </w:tblPrEx>
        <w:tc>
          <w:tcPr>
            <w:tcW w:w="2283" w:type="dxa"/>
            <w:tcBorders>
              <w:top w:val="nil"/>
              <w:left w:val="nil"/>
              <w:bottom w:val="nil"/>
              <w:right w:val="nil"/>
            </w:tcBorders>
            <w:tcMar>
              <w:top w:w="0" w:type="dxa"/>
              <w:left w:w="62" w:type="dxa"/>
              <w:bottom w:w="0" w:type="dxa"/>
              <w:right w:w="62" w:type="dxa"/>
            </w:tcMar>
          </w:tcPr>
          <w:p w:rsidR="00000000" w:rsidP="009C4BD9">
            <w:pPr>
              <w:pStyle w:val="BodyText"/>
              <w:rPr>
                <w:lang w:val="en-NZ"/>
              </w:rPr>
            </w:pPr>
            <w:r w:rsidRPr="009C4BD9">
              <w:rPr>
                <w:rStyle w:val="SpecialBold"/>
              </w:rPr>
              <w:t xml:space="preserve">Critical aspects of evidence to be </w:t>
            </w:r>
            <w:r w:rsidRPr="009C4BD9">
              <w:rPr>
                <w:rStyle w:val="SpecialBold"/>
              </w:rPr>
              <w:t>considered</w:t>
            </w:r>
            <w:r w:rsidRPr="009C4BD9">
              <w:t xml:space="preserve"> </w:t>
            </w:r>
          </w:p>
        </w:tc>
        <w:tc>
          <w:tcPr>
            <w:tcW w:w="6800" w:type="dxa"/>
            <w:tcBorders>
              <w:top w:val="nil"/>
              <w:left w:val="nil"/>
              <w:bottom w:val="nil"/>
              <w:right w:val="nil"/>
            </w:tcBorders>
            <w:tcMar>
              <w:top w:w="0" w:type="dxa"/>
              <w:left w:w="62" w:type="dxa"/>
              <w:bottom w:w="0" w:type="dxa"/>
              <w:right w:w="62" w:type="dxa"/>
            </w:tcMar>
          </w:tcPr>
          <w:p w:rsidR="00000000" w:rsidRPr="009C4BD9" w:rsidP="009C4BD9">
            <w:pPr>
              <w:pStyle w:val="BodyText"/>
            </w:pPr>
            <w:r w:rsidRPr="009C4BD9">
              <w:t>Demonstrates skills and knowledge to:</w:t>
            </w:r>
          </w:p>
          <w:p w:rsidR="00000000" w:rsidRPr="009C4BD9" w:rsidP="009C4BD9">
            <w:pPr>
              <w:pStyle w:val="ListBullet"/>
            </w:pPr>
            <w:r w:rsidRPr="009C4BD9">
              <w:t xml:space="preserve">identify the major processes to be monitored at work location, eg creeling, weaving, finishing </w:t>
            </w:r>
          </w:p>
          <w:p w:rsidR="00000000" w:rsidRPr="009C4BD9" w:rsidP="009C4BD9">
            <w:pPr>
              <w:pStyle w:val="ListBullet"/>
            </w:pPr>
            <w:r w:rsidRPr="009C4BD9">
              <w:t>identify manufacturing system and quality requirements to be monitored</w:t>
            </w:r>
          </w:p>
          <w:p w:rsidR="00000000" w:rsidRPr="009C4BD9" w:rsidP="009C4BD9">
            <w:pPr>
              <w:pStyle w:val="ListBullet"/>
            </w:pPr>
            <w:r w:rsidRPr="009C4BD9">
              <w:t>identify major faults and out of speci</w:t>
            </w:r>
            <w:r w:rsidRPr="009C4BD9">
              <w:t>fication performance</w:t>
            </w:r>
          </w:p>
          <w:p w:rsidR="00000000" w:rsidRPr="009C4BD9" w:rsidP="009C4BD9">
            <w:pPr>
              <w:pStyle w:val="ListBullet"/>
            </w:pPr>
            <w:r w:rsidRPr="009C4BD9">
              <w:t>address faults or problems</w:t>
            </w:r>
          </w:p>
          <w:p w:rsidR="00000000" w:rsidP="009C4BD9">
            <w:pPr>
              <w:pStyle w:val="ListBullet"/>
              <w:rPr>
                <w:lang w:val="en-NZ"/>
              </w:rPr>
            </w:pPr>
            <w:r w:rsidRPr="009C4BD9">
              <w:t>conduct regular performance checks</w:t>
            </w:r>
          </w:p>
        </w:tc>
      </w:tr>
      <w:tr w:rsidTr="00012433">
        <w:tblPrEx>
          <w:tblW w:w="0" w:type="auto"/>
          <w:tblLayout w:type="fixed"/>
          <w:tblCellMar>
            <w:left w:w="62" w:type="dxa"/>
            <w:right w:w="62" w:type="dxa"/>
          </w:tblCellMar>
          <w:tblLook w:val="0000"/>
        </w:tblPrEx>
        <w:tc>
          <w:tcPr>
            <w:tcW w:w="2283" w:type="dxa"/>
            <w:tcBorders>
              <w:top w:val="nil"/>
              <w:left w:val="nil"/>
              <w:bottom w:val="nil"/>
              <w:right w:val="nil"/>
            </w:tcBorders>
            <w:tcMar>
              <w:top w:w="0" w:type="dxa"/>
              <w:left w:w="62" w:type="dxa"/>
              <w:bottom w:w="0" w:type="dxa"/>
              <w:right w:w="62" w:type="dxa"/>
            </w:tcMar>
          </w:tcPr>
          <w:p w:rsidR="00000000" w:rsidP="009C4BD9">
            <w:pPr>
              <w:pStyle w:val="BodyText"/>
              <w:rPr>
                <w:lang w:val="en-NZ"/>
              </w:rPr>
            </w:pPr>
            <w:r w:rsidRPr="009C4BD9">
              <w:rPr>
                <w:rStyle w:val="SpecialBold"/>
              </w:rPr>
              <w:t>Consistency in performance</w:t>
            </w:r>
          </w:p>
        </w:tc>
        <w:tc>
          <w:tcPr>
            <w:tcW w:w="6800" w:type="dxa"/>
            <w:tcBorders>
              <w:top w:val="nil"/>
              <w:left w:val="nil"/>
              <w:bottom w:val="nil"/>
              <w:right w:val="nil"/>
            </w:tcBorders>
            <w:tcMar>
              <w:top w:w="0" w:type="dxa"/>
              <w:left w:w="62" w:type="dxa"/>
              <w:bottom w:w="0" w:type="dxa"/>
              <w:right w:w="62" w:type="dxa"/>
            </w:tcMar>
          </w:tcPr>
          <w:p w:rsidR="00000000" w:rsidRPr="009C4BD9" w:rsidP="009C4BD9">
            <w:pPr>
              <w:pStyle w:val="BodyText"/>
            </w:pPr>
            <w:r w:rsidRPr="009C4BD9">
              <w:t>Consistently applies skills and knowledge when:</w:t>
            </w:r>
          </w:p>
          <w:p w:rsidR="00000000" w:rsidRPr="009C4BD9" w:rsidP="009C4BD9">
            <w:pPr>
              <w:pStyle w:val="ListBullet"/>
            </w:pPr>
            <w:r w:rsidRPr="009C4BD9">
              <w:t>organising work</w:t>
            </w:r>
          </w:p>
          <w:p w:rsidR="00000000" w:rsidRPr="009C4BD9" w:rsidP="009C4BD9">
            <w:pPr>
              <w:pStyle w:val="ListBullet"/>
            </w:pPr>
            <w:r w:rsidRPr="009C4BD9">
              <w:t>completing tasks according to instructions</w:t>
            </w:r>
          </w:p>
          <w:p w:rsidR="00000000" w:rsidRPr="009C4BD9" w:rsidP="009C4BD9">
            <w:pPr>
              <w:pStyle w:val="ListBullet"/>
            </w:pPr>
            <w:r w:rsidRPr="009C4BD9">
              <w:t>working systematically with attention to detail</w:t>
            </w:r>
          </w:p>
          <w:p w:rsidR="00000000" w:rsidRPr="009C4BD9" w:rsidP="009C4BD9">
            <w:pPr>
              <w:pStyle w:val="ListBullet"/>
            </w:pPr>
            <w:r w:rsidRPr="009C4BD9">
              <w:t>identifying improvements and avoiding damage</w:t>
            </w:r>
          </w:p>
          <w:p w:rsidR="00000000" w:rsidRPr="009C4BD9" w:rsidP="009C4BD9">
            <w:pPr>
              <w:pStyle w:val="ListBullet"/>
            </w:pPr>
            <w:r w:rsidRPr="009C4BD9">
              <w:t>using workplace practices</w:t>
            </w:r>
          </w:p>
          <w:p w:rsidR="00000000" w:rsidRPr="009C4BD9" w:rsidP="009C4BD9">
            <w:pPr>
              <w:pStyle w:val="ListBullet"/>
            </w:pPr>
            <w:r w:rsidRPr="009C4BD9">
              <w:t>using OHS practices</w:t>
            </w:r>
          </w:p>
          <w:p w:rsidR="00000000" w:rsidRPr="009C4BD9" w:rsidP="009C4BD9">
            <w:pPr>
              <w:pStyle w:val="ListBullet"/>
            </w:pPr>
            <w:r w:rsidRPr="009C4BD9">
              <w:t>recording and reporting accidents and incidents</w:t>
            </w:r>
          </w:p>
          <w:p w:rsidR="00000000" w:rsidRPr="009C4BD9" w:rsidP="009C4BD9">
            <w:pPr>
              <w:pStyle w:val="ListBullet"/>
            </w:pPr>
            <w:r w:rsidRPr="009C4BD9">
              <w:t>assessing operational readiness of equipment</w:t>
            </w:r>
          </w:p>
          <w:p w:rsidR="00000000" w:rsidP="009C4BD9">
            <w:pPr>
              <w:pStyle w:val="ListBullet"/>
              <w:rPr>
                <w:lang w:val="en-NZ"/>
              </w:rPr>
            </w:pPr>
            <w:r w:rsidRPr="009C4BD9">
              <w:t>recognising and adapting</w:t>
            </w:r>
            <w:r w:rsidRPr="009C4BD9">
              <w:t xml:space="preserve"> to cultural differences in the workplace, including modes of behaviour and interactions</w:t>
            </w:r>
          </w:p>
        </w:tc>
      </w:tr>
      <w:tr w:rsidTr="00012433">
        <w:tblPrEx>
          <w:tblW w:w="0" w:type="auto"/>
          <w:tblLayout w:type="fixed"/>
          <w:tblCellMar>
            <w:left w:w="62" w:type="dxa"/>
            <w:right w:w="62" w:type="dxa"/>
          </w:tblCellMar>
          <w:tblLook w:val="0000"/>
        </w:tblPrEx>
        <w:tc>
          <w:tcPr>
            <w:tcW w:w="2283" w:type="dxa"/>
            <w:tcBorders>
              <w:top w:val="nil"/>
              <w:left w:val="nil"/>
              <w:bottom w:val="nil"/>
              <w:right w:val="nil"/>
            </w:tcBorders>
            <w:tcMar>
              <w:top w:w="0" w:type="dxa"/>
              <w:left w:w="62" w:type="dxa"/>
              <w:bottom w:w="0" w:type="dxa"/>
              <w:right w:w="62" w:type="dxa"/>
            </w:tcMar>
          </w:tcPr>
          <w:p w:rsidR="00000000" w:rsidP="009C4BD9">
            <w:pPr>
              <w:pStyle w:val="BodyText"/>
              <w:rPr>
                <w:lang w:val="en-NZ"/>
              </w:rPr>
            </w:pPr>
            <w:r w:rsidRPr="009C4BD9">
              <w:rPr>
                <w:rStyle w:val="SpecialBold"/>
              </w:rPr>
              <w:t>Resource implications</w:t>
            </w:r>
          </w:p>
        </w:tc>
        <w:tc>
          <w:tcPr>
            <w:tcW w:w="6800" w:type="dxa"/>
            <w:tcBorders>
              <w:top w:val="nil"/>
              <w:left w:val="nil"/>
              <w:bottom w:val="nil"/>
              <w:right w:val="nil"/>
            </w:tcBorders>
            <w:tcMar>
              <w:top w:w="0" w:type="dxa"/>
              <w:left w:w="62" w:type="dxa"/>
              <w:bottom w:w="0" w:type="dxa"/>
              <w:right w:w="62" w:type="dxa"/>
            </w:tcMar>
          </w:tcPr>
          <w:p w:rsidR="00000000" w:rsidP="009C4BD9">
            <w:pPr>
              <w:pStyle w:val="BodyText"/>
              <w:rPr>
                <w:lang w:val="en-NZ"/>
              </w:rPr>
            </w:pPr>
            <w:r w:rsidRPr="009C4BD9">
              <w:t>Access is required to real or appropriately simulated situations, including work areas, materials and equipment, and to information on workplace</w:t>
            </w:r>
            <w:r w:rsidRPr="009C4BD9">
              <w:t xml:space="preserve"> practices and OHS practices.</w:t>
            </w:r>
          </w:p>
        </w:tc>
      </w:tr>
      <w:tr w:rsidTr="00012433">
        <w:tblPrEx>
          <w:tblW w:w="0" w:type="auto"/>
          <w:tblLayout w:type="fixed"/>
          <w:tblCellMar>
            <w:left w:w="62" w:type="dxa"/>
            <w:right w:w="62" w:type="dxa"/>
          </w:tblCellMar>
          <w:tblLook w:val="0000"/>
        </w:tblPrEx>
        <w:tc>
          <w:tcPr>
            <w:tcW w:w="2283" w:type="dxa"/>
            <w:tcBorders>
              <w:top w:val="nil"/>
              <w:left w:val="nil"/>
              <w:bottom w:val="nil"/>
              <w:right w:val="nil"/>
            </w:tcBorders>
            <w:tcMar>
              <w:top w:w="0" w:type="dxa"/>
              <w:left w:w="62" w:type="dxa"/>
              <w:bottom w:w="0" w:type="dxa"/>
              <w:right w:w="62" w:type="dxa"/>
            </w:tcMar>
          </w:tcPr>
          <w:p w:rsidR="00000000" w:rsidP="009C4BD9">
            <w:pPr>
              <w:pStyle w:val="BodyText"/>
              <w:rPr>
                <w:lang w:val="en-NZ"/>
              </w:rPr>
            </w:pPr>
            <w:r w:rsidRPr="009C4BD9">
              <w:rPr>
                <w:rStyle w:val="SpecialBold"/>
              </w:rPr>
              <w:t>Context for assessment</w:t>
            </w:r>
          </w:p>
        </w:tc>
        <w:tc>
          <w:tcPr>
            <w:tcW w:w="6800" w:type="dxa"/>
            <w:tcBorders>
              <w:top w:val="nil"/>
              <w:left w:val="nil"/>
              <w:bottom w:val="nil"/>
              <w:right w:val="nil"/>
            </w:tcBorders>
            <w:tcMar>
              <w:top w:w="0" w:type="dxa"/>
              <w:left w:w="62" w:type="dxa"/>
              <w:bottom w:w="0" w:type="dxa"/>
              <w:right w:w="62" w:type="dxa"/>
            </w:tcMar>
          </w:tcPr>
          <w:p w:rsidR="00000000" w:rsidP="009C4BD9">
            <w:pPr>
              <w:pStyle w:val="BodyText"/>
              <w:rPr>
                <w:lang w:val="en-NZ"/>
              </w:rPr>
            </w:pPr>
            <w:r w:rsidRPr="009C4BD9">
              <w:t>Assessment may occur on the job or in an appropriately simulated environment.</w:t>
            </w:r>
          </w:p>
        </w:tc>
      </w:tr>
      <w:tr w:rsidTr="00012433">
        <w:tblPrEx>
          <w:tblW w:w="0" w:type="auto"/>
          <w:tblLayout w:type="fixed"/>
          <w:tblCellMar>
            <w:left w:w="62" w:type="dxa"/>
            <w:right w:w="62" w:type="dxa"/>
          </w:tblCellMar>
          <w:tblLook w:val="0000"/>
        </w:tblPrEx>
        <w:tc>
          <w:tcPr>
            <w:tcW w:w="2283" w:type="dxa"/>
            <w:tcBorders>
              <w:top w:val="nil"/>
              <w:left w:val="nil"/>
              <w:bottom w:val="nil"/>
              <w:right w:val="nil"/>
            </w:tcBorders>
            <w:tcMar>
              <w:top w:w="0" w:type="dxa"/>
              <w:left w:w="62" w:type="dxa"/>
              <w:bottom w:w="0" w:type="dxa"/>
              <w:right w:w="62" w:type="dxa"/>
            </w:tcMar>
          </w:tcPr>
          <w:p w:rsidR="00000000" w:rsidP="009C4BD9">
            <w:pPr>
              <w:pStyle w:val="BodyText"/>
              <w:rPr>
                <w:lang w:val="en-NZ"/>
              </w:rPr>
            </w:pPr>
            <w:r w:rsidRPr="009C4BD9">
              <w:rPr>
                <w:rStyle w:val="SpecialBold"/>
              </w:rPr>
              <w:t>Interdependent assessment</w:t>
            </w:r>
          </w:p>
        </w:tc>
        <w:tc>
          <w:tcPr>
            <w:tcW w:w="6800" w:type="dxa"/>
            <w:tcBorders>
              <w:top w:val="nil"/>
              <w:left w:val="nil"/>
              <w:bottom w:val="nil"/>
              <w:right w:val="nil"/>
            </w:tcBorders>
            <w:tcMar>
              <w:top w:w="0" w:type="dxa"/>
              <w:left w:w="62" w:type="dxa"/>
              <w:bottom w:w="0" w:type="dxa"/>
              <w:right w:w="62" w:type="dxa"/>
            </w:tcMar>
          </w:tcPr>
          <w:p w:rsidR="00000000" w:rsidRPr="009C4BD9" w:rsidP="009C4BD9">
            <w:pPr>
              <w:pStyle w:val="BodyText"/>
            </w:pPr>
            <w:r w:rsidRPr="009C4BD9">
              <w:t>This unit may be assessed in combination with other relevant units.</w:t>
            </w:r>
          </w:p>
        </w:tc>
      </w:tr>
    </w:tbl>
    <w:p w:rsidR="00000000" w:rsidRPr="009C4BD9" w:rsidP="009C4BD9">
      <w:pPr>
        <w:pStyle w:val="BodyText"/>
      </w:pPr>
    </w:p>
    <w:p w:rsidR="00000000" w:rsidRPr="009C4BD9" w:rsidP="009C4BD9">
      <w:pPr>
        <w:pStyle w:val="AllowPageBreak"/>
      </w:pPr>
    </w:p>
    <w:p w:rsidR="00000000" w:rsidRPr="009C4BD9" w:rsidP="009C4BD9">
      <w:pPr>
        <w:pStyle w:val="Heading1"/>
      </w:pPr>
      <w:bookmarkStart w:id="11" w:name="O_97129"/>
      <w:bookmarkEnd w:id="11"/>
      <w:r w:rsidRPr="009C4BD9">
        <w:t>Range Statement</w:t>
      </w:r>
    </w:p>
    <w:tbl>
      <w:tblPr>
        <w:tblW w:w="0" w:type="auto"/>
        <w:tblLayout w:type="fixed"/>
        <w:tblCellMar>
          <w:left w:w="62" w:type="dxa"/>
          <w:right w:w="62" w:type="dxa"/>
        </w:tblCellMar>
        <w:tblLook w:val="0000"/>
      </w:tblPr>
      <w:tblGrid>
        <w:gridCol w:w="2283"/>
        <w:gridCol w:w="6800"/>
      </w:tblGrid>
      <w:tr w:rsidTr="00012433">
        <w:tblPrEx>
          <w:tblW w:w="0" w:type="auto"/>
          <w:tblLayout w:type="fixed"/>
          <w:tblCellMar>
            <w:left w:w="62" w:type="dxa"/>
            <w:right w:w="62" w:type="dxa"/>
          </w:tblCellMar>
          <w:tblLook w:val="0000"/>
        </w:tblPrEx>
        <w:tc>
          <w:tcPr>
            <w:tcW w:w="9083" w:type="dxa"/>
            <w:gridSpan w:val="2"/>
            <w:tcBorders>
              <w:top w:val="nil"/>
              <w:left w:val="nil"/>
              <w:bottom w:val="nil"/>
              <w:right w:val="nil"/>
            </w:tcBorders>
            <w:tcMar>
              <w:top w:w="0" w:type="dxa"/>
              <w:left w:w="62" w:type="dxa"/>
              <w:bottom w:w="0" w:type="dxa"/>
              <w:right w:w="62" w:type="dxa"/>
            </w:tcMar>
          </w:tcPr>
          <w:p w:rsidR="00000000" w:rsidRPr="009C4BD9" w:rsidP="009C4BD9">
            <w:pPr>
              <w:pStyle w:val="BodyText"/>
            </w:pPr>
            <w:r w:rsidRPr="009C4BD9">
              <w:rPr>
                <w:rStyle w:val="SpecialBold"/>
              </w:rPr>
              <w:t>RANGE STATEMENT</w:t>
            </w:r>
          </w:p>
          <w:p w:rsidR="00000000" w:rsidP="009C4BD9">
            <w:pPr>
              <w:pStyle w:val="BodyText"/>
              <w:rPr>
                <w:lang w:val="en-NZ"/>
              </w:rPr>
            </w:pPr>
            <w:r w:rsidRPr="009C4BD9">
              <w:t>The range statement relates to the unit of competency as a whole. It allows for different work environments and situations that may affect performance. Bold italicised wording, if used in the Performance Criteria, is detaile</w:t>
            </w:r>
            <w:r w:rsidRPr="009C4BD9">
              <w:t>d below. Add any essential operating conditions that may be present with training and assessment depending on the work situation, needs if the candidate, accessibility of the item, and local industry and regional contexts.</w:t>
            </w:r>
          </w:p>
        </w:tc>
      </w:tr>
      <w:tr w:rsidTr="00012433">
        <w:tblPrEx>
          <w:tblW w:w="0" w:type="auto"/>
          <w:tblLayout w:type="fixed"/>
          <w:tblCellMar>
            <w:left w:w="62" w:type="dxa"/>
            <w:right w:w="62" w:type="dxa"/>
          </w:tblCellMar>
          <w:tblLook w:val="0000"/>
        </w:tblPrEx>
        <w:tc>
          <w:tcPr>
            <w:tcW w:w="2283" w:type="dxa"/>
            <w:tcBorders>
              <w:top w:val="nil"/>
              <w:left w:val="nil"/>
              <w:bottom w:val="nil"/>
              <w:right w:val="nil"/>
            </w:tcBorders>
            <w:tcMar>
              <w:top w:w="0" w:type="dxa"/>
              <w:left w:w="62" w:type="dxa"/>
              <w:bottom w:w="0" w:type="dxa"/>
              <w:right w:w="62" w:type="dxa"/>
            </w:tcMar>
          </w:tcPr>
          <w:p w:rsidR="00000000" w:rsidP="009C4BD9">
            <w:pPr>
              <w:pStyle w:val="BodyText"/>
              <w:rPr>
                <w:lang w:val="en-NZ"/>
              </w:rPr>
            </w:pPr>
            <w:r w:rsidRPr="009C4BD9">
              <w:t>Legislative/regulatory requirem</w:t>
            </w:r>
            <w:r w:rsidRPr="009C4BD9">
              <w:t>ents</w:t>
            </w:r>
          </w:p>
        </w:tc>
        <w:tc>
          <w:tcPr>
            <w:tcW w:w="6800" w:type="dxa"/>
            <w:tcBorders>
              <w:top w:val="nil"/>
              <w:left w:val="nil"/>
              <w:bottom w:val="nil"/>
              <w:right w:val="nil"/>
            </w:tcBorders>
            <w:tcMar>
              <w:top w:w="0" w:type="dxa"/>
              <w:left w:w="62" w:type="dxa"/>
              <w:bottom w:w="0" w:type="dxa"/>
              <w:right w:w="62" w:type="dxa"/>
            </w:tcMar>
          </w:tcPr>
          <w:p w:rsidR="00000000" w:rsidP="009C4BD9">
            <w:pPr>
              <w:pStyle w:val="BodyText"/>
              <w:rPr>
                <w:lang w:val="en-NZ"/>
              </w:rPr>
            </w:pPr>
            <w:r w:rsidRPr="009C4BD9">
              <w:t>All work must comply with relevant Federal and State or Territory legislative or regulatory requirements.</w:t>
            </w:r>
          </w:p>
        </w:tc>
      </w:tr>
      <w:tr w:rsidTr="00012433">
        <w:tblPrEx>
          <w:tblW w:w="0" w:type="auto"/>
          <w:tblLayout w:type="fixed"/>
          <w:tblCellMar>
            <w:left w:w="62" w:type="dxa"/>
            <w:right w:w="62" w:type="dxa"/>
          </w:tblCellMar>
          <w:tblLook w:val="0000"/>
        </w:tblPrEx>
        <w:tc>
          <w:tcPr>
            <w:tcW w:w="2283" w:type="dxa"/>
            <w:tcBorders>
              <w:top w:val="nil"/>
              <w:left w:val="nil"/>
              <w:bottom w:val="nil"/>
              <w:right w:val="nil"/>
            </w:tcBorders>
            <w:tcMar>
              <w:top w:w="0" w:type="dxa"/>
              <w:left w:w="62" w:type="dxa"/>
              <w:bottom w:w="0" w:type="dxa"/>
              <w:right w:w="62" w:type="dxa"/>
            </w:tcMar>
          </w:tcPr>
          <w:p w:rsidR="00000000" w:rsidP="009C4BD9">
            <w:pPr>
              <w:pStyle w:val="BodyText"/>
              <w:rPr>
                <w:lang w:val="en-NZ"/>
              </w:rPr>
            </w:pPr>
            <w:r w:rsidRPr="009C4BD9">
              <w:t>Job specifications may include</w:t>
            </w:r>
          </w:p>
        </w:tc>
        <w:tc>
          <w:tcPr>
            <w:tcW w:w="6800" w:type="dxa"/>
            <w:tcBorders>
              <w:top w:val="nil"/>
              <w:left w:val="nil"/>
              <w:bottom w:val="nil"/>
              <w:right w:val="nil"/>
            </w:tcBorders>
            <w:tcMar>
              <w:top w:w="0" w:type="dxa"/>
              <w:left w:w="62" w:type="dxa"/>
              <w:bottom w:w="0" w:type="dxa"/>
              <w:right w:w="62" w:type="dxa"/>
            </w:tcMar>
          </w:tcPr>
          <w:p w:rsidR="00000000" w:rsidRPr="009C4BD9" w:rsidP="009C4BD9">
            <w:pPr>
              <w:pStyle w:val="ListBullet"/>
            </w:pPr>
            <w:r w:rsidRPr="009C4BD9">
              <w:t>customer orders</w:t>
            </w:r>
          </w:p>
          <w:p w:rsidR="00000000" w:rsidRPr="009C4BD9" w:rsidP="009C4BD9">
            <w:pPr>
              <w:pStyle w:val="ListBullet"/>
            </w:pPr>
            <w:r w:rsidRPr="009C4BD9">
              <w:t>pattern diagrams</w:t>
            </w:r>
          </w:p>
          <w:p w:rsidR="00000000" w:rsidRPr="009C4BD9" w:rsidP="009C4BD9">
            <w:pPr>
              <w:pStyle w:val="ListBullet"/>
            </w:pPr>
            <w:r w:rsidRPr="009C4BD9">
              <w:t>colour charts</w:t>
            </w:r>
          </w:p>
          <w:p w:rsidR="00000000" w:rsidRPr="009C4BD9" w:rsidP="009C4BD9">
            <w:pPr>
              <w:pStyle w:val="ListBullet"/>
            </w:pPr>
            <w:r w:rsidRPr="009C4BD9">
              <w:t>simple formulae</w:t>
            </w:r>
          </w:p>
          <w:p w:rsidR="00000000" w:rsidRPr="009C4BD9" w:rsidP="009C4BD9">
            <w:pPr>
              <w:pStyle w:val="ListBullet"/>
            </w:pPr>
            <w:r w:rsidRPr="009C4BD9">
              <w:t>written and verbal instructions</w:t>
            </w:r>
          </w:p>
          <w:p w:rsidR="00000000" w:rsidP="009C4BD9">
            <w:pPr>
              <w:pStyle w:val="ListBullet"/>
              <w:rPr>
                <w:lang w:val="en-NZ"/>
              </w:rPr>
            </w:pPr>
            <w:r w:rsidRPr="009C4BD9">
              <w:t>drawings</w:t>
            </w:r>
          </w:p>
        </w:tc>
      </w:tr>
      <w:tr w:rsidTr="00012433">
        <w:tblPrEx>
          <w:tblW w:w="0" w:type="auto"/>
          <w:tblLayout w:type="fixed"/>
          <w:tblCellMar>
            <w:left w:w="62" w:type="dxa"/>
            <w:right w:w="62" w:type="dxa"/>
          </w:tblCellMar>
          <w:tblLook w:val="0000"/>
        </w:tblPrEx>
        <w:tc>
          <w:tcPr>
            <w:tcW w:w="2283" w:type="dxa"/>
            <w:tcBorders>
              <w:top w:val="nil"/>
              <w:left w:val="nil"/>
              <w:bottom w:val="nil"/>
              <w:right w:val="nil"/>
            </w:tcBorders>
            <w:tcMar>
              <w:top w:w="0" w:type="dxa"/>
              <w:left w:w="62" w:type="dxa"/>
              <w:bottom w:w="0" w:type="dxa"/>
              <w:right w:w="62" w:type="dxa"/>
            </w:tcMar>
          </w:tcPr>
          <w:p w:rsidR="00000000" w:rsidP="009C4BD9">
            <w:pPr>
              <w:pStyle w:val="BodyText"/>
              <w:rPr>
                <w:lang w:val="en-NZ"/>
              </w:rPr>
            </w:pPr>
            <w:r w:rsidRPr="009C4BD9">
              <w:t>Performance parameters may include</w:t>
            </w:r>
          </w:p>
        </w:tc>
        <w:tc>
          <w:tcPr>
            <w:tcW w:w="6800" w:type="dxa"/>
            <w:tcBorders>
              <w:top w:val="nil"/>
              <w:left w:val="nil"/>
              <w:bottom w:val="nil"/>
              <w:right w:val="nil"/>
            </w:tcBorders>
            <w:tcMar>
              <w:top w:w="0" w:type="dxa"/>
              <w:left w:w="62" w:type="dxa"/>
              <w:bottom w:w="0" w:type="dxa"/>
              <w:right w:w="62" w:type="dxa"/>
            </w:tcMar>
          </w:tcPr>
          <w:p w:rsidR="00000000" w:rsidRPr="009C4BD9" w:rsidP="009C4BD9">
            <w:pPr>
              <w:pStyle w:val="ListBullet"/>
            </w:pPr>
            <w:r w:rsidRPr="009C4BD9">
              <w:t>processing time</w:t>
            </w:r>
          </w:p>
          <w:p w:rsidR="00000000" w:rsidRPr="009C4BD9" w:rsidP="009C4BD9">
            <w:pPr>
              <w:pStyle w:val="ListBullet"/>
            </w:pPr>
            <w:r w:rsidRPr="009C4BD9">
              <w:t>acceptable error rate</w:t>
            </w:r>
          </w:p>
          <w:p w:rsidR="00000000" w:rsidRPr="009C4BD9" w:rsidP="009C4BD9">
            <w:pPr>
              <w:pStyle w:val="ListBullet"/>
            </w:pPr>
            <w:r w:rsidRPr="009C4BD9">
              <w:t>wastage</w:t>
            </w:r>
          </w:p>
          <w:p w:rsidR="00000000" w:rsidRPr="009C4BD9" w:rsidP="009C4BD9">
            <w:pPr>
              <w:pStyle w:val="ListBullet"/>
            </w:pPr>
            <w:r w:rsidRPr="009C4BD9">
              <w:t>noise</w:t>
            </w:r>
          </w:p>
          <w:p w:rsidR="00000000" w:rsidP="009C4BD9">
            <w:pPr>
              <w:pStyle w:val="ListBullet"/>
              <w:rPr>
                <w:lang w:val="en-NZ"/>
              </w:rPr>
            </w:pPr>
            <w:r w:rsidRPr="009C4BD9">
              <w:t>vibration</w:t>
            </w:r>
          </w:p>
        </w:tc>
      </w:tr>
      <w:tr w:rsidTr="00012433">
        <w:tblPrEx>
          <w:tblW w:w="0" w:type="auto"/>
          <w:tblLayout w:type="fixed"/>
          <w:tblCellMar>
            <w:left w:w="62" w:type="dxa"/>
            <w:right w:w="62" w:type="dxa"/>
          </w:tblCellMar>
          <w:tblLook w:val="0000"/>
        </w:tblPrEx>
        <w:tc>
          <w:tcPr>
            <w:tcW w:w="2283" w:type="dxa"/>
            <w:tcBorders>
              <w:top w:val="nil"/>
              <w:left w:val="nil"/>
              <w:bottom w:val="nil"/>
              <w:right w:val="nil"/>
            </w:tcBorders>
            <w:tcMar>
              <w:top w:w="0" w:type="dxa"/>
              <w:left w:w="62" w:type="dxa"/>
              <w:bottom w:w="0" w:type="dxa"/>
              <w:right w:w="62" w:type="dxa"/>
            </w:tcMar>
          </w:tcPr>
          <w:p w:rsidR="00000000" w:rsidP="009C4BD9">
            <w:pPr>
              <w:pStyle w:val="BodyText"/>
              <w:rPr>
                <w:lang w:val="en-NZ"/>
              </w:rPr>
            </w:pPr>
            <w:r w:rsidRPr="009C4BD9">
              <w:t>Production processes may include</w:t>
            </w:r>
          </w:p>
        </w:tc>
        <w:tc>
          <w:tcPr>
            <w:tcW w:w="6800" w:type="dxa"/>
            <w:tcBorders>
              <w:top w:val="nil"/>
              <w:left w:val="nil"/>
              <w:bottom w:val="nil"/>
              <w:right w:val="nil"/>
            </w:tcBorders>
            <w:tcMar>
              <w:top w:w="0" w:type="dxa"/>
              <w:left w:w="62" w:type="dxa"/>
              <w:bottom w:w="0" w:type="dxa"/>
              <w:right w:w="62" w:type="dxa"/>
            </w:tcMar>
          </w:tcPr>
          <w:p w:rsidR="00000000" w:rsidRPr="009C4BD9" w:rsidP="009C4BD9">
            <w:pPr>
              <w:pStyle w:val="ListBullet"/>
            </w:pPr>
            <w:r w:rsidRPr="009C4BD9">
              <w:t>carding</w:t>
            </w:r>
          </w:p>
          <w:p w:rsidR="00000000" w:rsidRPr="009C4BD9" w:rsidP="009C4BD9">
            <w:pPr>
              <w:pStyle w:val="ListBullet"/>
            </w:pPr>
            <w:r w:rsidRPr="009C4BD9">
              <w:t>spinning</w:t>
            </w:r>
          </w:p>
          <w:p w:rsidR="00000000" w:rsidRPr="009C4BD9" w:rsidP="009C4BD9">
            <w:pPr>
              <w:pStyle w:val="ListBullet"/>
            </w:pPr>
            <w:r w:rsidRPr="009C4BD9">
              <w:t>sizing</w:t>
            </w:r>
          </w:p>
          <w:p w:rsidR="00000000" w:rsidRPr="009C4BD9" w:rsidP="009C4BD9">
            <w:pPr>
              <w:pStyle w:val="ListBullet"/>
            </w:pPr>
            <w:r w:rsidRPr="009C4BD9">
              <w:t>winding</w:t>
            </w:r>
          </w:p>
          <w:p w:rsidR="00000000" w:rsidRPr="009C4BD9" w:rsidP="009C4BD9">
            <w:pPr>
              <w:pStyle w:val="ListBullet"/>
            </w:pPr>
            <w:r w:rsidRPr="009C4BD9">
              <w:t>weaving</w:t>
            </w:r>
          </w:p>
          <w:p w:rsidR="00000000" w:rsidRPr="009C4BD9" w:rsidP="009C4BD9">
            <w:pPr>
              <w:pStyle w:val="ListBullet"/>
            </w:pPr>
            <w:r w:rsidRPr="009C4BD9">
              <w:t>tufting</w:t>
            </w:r>
          </w:p>
          <w:p w:rsidR="00000000" w:rsidRPr="009C4BD9" w:rsidP="009C4BD9">
            <w:pPr>
              <w:pStyle w:val="ListBullet"/>
            </w:pPr>
            <w:r w:rsidRPr="009C4BD9">
              <w:t>knitting</w:t>
            </w:r>
          </w:p>
          <w:p w:rsidR="00000000" w:rsidRPr="009C4BD9" w:rsidP="009C4BD9">
            <w:pPr>
              <w:pStyle w:val="ListBullet"/>
            </w:pPr>
            <w:r w:rsidRPr="009C4BD9">
              <w:t>dyeing</w:t>
            </w:r>
          </w:p>
          <w:p w:rsidR="00000000" w:rsidRPr="009C4BD9" w:rsidP="009C4BD9">
            <w:pPr>
              <w:pStyle w:val="ListBullet"/>
            </w:pPr>
            <w:r w:rsidRPr="009C4BD9">
              <w:t>finishing</w:t>
            </w:r>
          </w:p>
          <w:p w:rsidR="00000000" w:rsidRPr="009C4BD9" w:rsidP="009C4BD9">
            <w:pPr>
              <w:pStyle w:val="ListBullet"/>
            </w:pPr>
            <w:r w:rsidRPr="009C4BD9">
              <w:t>non-woven textile production process</w:t>
            </w:r>
          </w:p>
          <w:p w:rsidR="00000000" w:rsidRPr="009C4BD9" w:rsidP="009C4BD9">
            <w:pPr>
              <w:pStyle w:val="ListBullet"/>
            </w:pPr>
            <w:r w:rsidRPr="009C4BD9">
              <w:t>any special production systems of manufacturing practice, including:</w:t>
            </w:r>
          </w:p>
          <w:p w:rsidR="00000000" w:rsidRPr="009C4BD9" w:rsidP="009C4BD9">
            <w:pPr>
              <w:pStyle w:val="ListBullet"/>
            </w:pPr>
            <w:r w:rsidRPr="009C4BD9">
              <w:t>just in time movement between departments and suppliers or customers</w:t>
            </w:r>
          </w:p>
          <w:p w:rsidR="00000000" w:rsidP="009C4BD9">
            <w:pPr>
              <w:pStyle w:val="ListBullet"/>
              <w:rPr>
                <w:lang w:val="en-NZ"/>
              </w:rPr>
            </w:pPr>
            <w:r w:rsidRPr="009C4BD9">
              <w:t>special housekeeping practices, including 5S</w:t>
            </w:r>
          </w:p>
        </w:tc>
      </w:tr>
      <w:tr w:rsidTr="00012433">
        <w:tblPrEx>
          <w:tblW w:w="0" w:type="auto"/>
          <w:tblLayout w:type="fixed"/>
          <w:tblCellMar>
            <w:left w:w="62" w:type="dxa"/>
            <w:right w:w="62" w:type="dxa"/>
          </w:tblCellMar>
          <w:tblLook w:val="0000"/>
        </w:tblPrEx>
        <w:tc>
          <w:tcPr>
            <w:tcW w:w="2283" w:type="dxa"/>
            <w:tcBorders>
              <w:top w:val="nil"/>
              <w:left w:val="nil"/>
              <w:bottom w:val="nil"/>
              <w:right w:val="nil"/>
            </w:tcBorders>
            <w:tcMar>
              <w:top w:w="0" w:type="dxa"/>
              <w:left w:w="62" w:type="dxa"/>
              <w:bottom w:w="0" w:type="dxa"/>
              <w:right w:w="62" w:type="dxa"/>
            </w:tcMar>
          </w:tcPr>
          <w:p w:rsidR="00000000" w:rsidP="009C4BD9">
            <w:pPr>
              <w:pStyle w:val="BodyText"/>
              <w:rPr>
                <w:lang w:val="en-NZ"/>
              </w:rPr>
            </w:pPr>
            <w:r w:rsidRPr="009C4BD9">
              <w:t>OHS practices</w:t>
            </w:r>
          </w:p>
        </w:tc>
        <w:tc>
          <w:tcPr>
            <w:tcW w:w="6800" w:type="dxa"/>
            <w:tcBorders>
              <w:top w:val="nil"/>
              <w:left w:val="nil"/>
              <w:bottom w:val="nil"/>
              <w:right w:val="nil"/>
            </w:tcBorders>
            <w:tcMar>
              <w:top w:w="0" w:type="dxa"/>
              <w:left w:w="62" w:type="dxa"/>
              <w:bottom w:w="0" w:type="dxa"/>
              <w:right w:w="62" w:type="dxa"/>
            </w:tcMar>
          </w:tcPr>
          <w:p w:rsidR="00000000" w:rsidRPr="009C4BD9" w:rsidP="009C4BD9">
            <w:pPr>
              <w:pStyle w:val="BodyText"/>
            </w:pPr>
            <w:r w:rsidRPr="009C4BD9">
              <w:t>OHS practices include hazard identification and control, risk assessment and implementation of risk reduction measures specific to the tasks described by this unit, and may relate to:</w:t>
            </w:r>
          </w:p>
          <w:p w:rsidR="00000000" w:rsidRPr="009C4BD9" w:rsidP="009C4BD9">
            <w:pPr>
              <w:pStyle w:val="ListBullet"/>
            </w:pPr>
            <w:r w:rsidRPr="009C4BD9">
              <w:t>manual handling techniques</w:t>
            </w:r>
          </w:p>
          <w:p w:rsidR="00000000" w:rsidRPr="009C4BD9" w:rsidP="009C4BD9">
            <w:pPr>
              <w:pStyle w:val="ListBullet"/>
            </w:pPr>
            <w:r w:rsidRPr="009C4BD9">
              <w:t>standard operating procedures</w:t>
            </w:r>
          </w:p>
          <w:p w:rsidR="00000000" w:rsidRPr="009C4BD9" w:rsidP="009C4BD9">
            <w:pPr>
              <w:pStyle w:val="ListBullet"/>
            </w:pPr>
            <w:r w:rsidRPr="009C4BD9">
              <w:t>personal prote</w:t>
            </w:r>
            <w:r w:rsidRPr="009C4BD9">
              <w:t>ctive equipment</w:t>
            </w:r>
          </w:p>
          <w:p w:rsidR="00000000" w:rsidRPr="009C4BD9" w:rsidP="009C4BD9">
            <w:pPr>
              <w:pStyle w:val="ListBullet"/>
            </w:pPr>
            <w:r w:rsidRPr="009C4BD9">
              <w:t>safe materials handling</w:t>
            </w:r>
          </w:p>
          <w:p w:rsidR="00000000" w:rsidRPr="009C4BD9" w:rsidP="009C4BD9">
            <w:pPr>
              <w:pStyle w:val="ListBullet"/>
            </w:pPr>
            <w:r w:rsidRPr="009C4BD9">
              <w:t>taking of rest breaks</w:t>
            </w:r>
          </w:p>
          <w:p w:rsidR="00000000" w:rsidRPr="009C4BD9" w:rsidP="009C4BD9">
            <w:pPr>
              <w:pStyle w:val="ListBullet"/>
            </w:pPr>
            <w:r w:rsidRPr="009C4BD9">
              <w:t>ergonomic arrangement of workplaces</w:t>
            </w:r>
          </w:p>
          <w:p w:rsidR="00000000" w:rsidRPr="009C4BD9" w:rsidP="009C4BD9">
            <w:pPr>
              <w:pStyle w:val="ListBullet"/>
            </w:pPr>
            <w:r w:rsidRPr="009C4BD9">
              <w:t>following marked walkways</w:t>
            </w:r>
          </w:p>
          <w:p w:rsidR="00000000" w:rsidRPr="009C4BD9" w:rsidP="009C4BD9">
            <w:pPr>
              <w:pStyle w:val="ListBullet"/>
            </w:pPr>
            <w:r w:rsidRPr="009C4BD9">
              <w:t>safe storage of equipment</w:t>
            </w:r>
          </w:p>
          <w:p w:rsidR="00000000" w:rsidRPr="009C4BD9" w:rsidP="009C4BD9">
            <w:pPr>
              <w:pStyle w:val="ListBullet"/>
            </w:pPr>
            <w:r w:rsidRPr="009C4BD9">
              <w:t>housekeeping</w:t>
            </w:r>
          </w:p>
          <w:p w:rsidR="00000000" w:rsidRPr="009C4BD9" w:rsidP="009C4BD9">
            <w:pPr>
              <w:pStyle w:val="ListBullet"/>
            </w:pPr>
            <w:r w:rsidRPr="009C4BD9">
              <w:t>reporting accidents and incidents</w:t>
            </w:r>
          </w:p>
          <w:p w:rsidR="00000000" w:rsidP="009C4BD9">
            <w:pPr>
              <w:pStyle w:val="ListBullet"/>
              <w:rPr>
                <w:lang w:val="en-NZ"/>
              </w:rPr>
            </w:pPr>
            <w:r w:rsidRPr="009C4BD9">
              <w:t>environmental practices</w:t>
            </w:r>
          </w:p>
        </w:tc>
      </w:tr>
      <w:tr w:rsidTr="00012433">
        <w:tblPrEx>
          <w:tblW w:w="0" w:type="auto"/>
          <w:tblLayout w:type="fixed"/>
          <w:tblCellMar>
            <w:left w:w="62" w:type="dxa"/>
            <w:right w:w="62" w:type="dxa"/>
          </w:tblCellMar>
          <w:tblLook w:val="0000"/>
        </w:tblPrEx>
        <w:tc>
          <w:tcPr>
            <w:tcW w:w="2283" w:type="dxa"/>
            <w:tcBorders>
              <w:top w:val="nil"/>
              <w:left w:val="nil"/>
              <w:bottom w:val="nil"/>
              <w:right w:val="nil"/>
            </w:tcBorders>
            <w:tcMar>
              <w:top w:w="0" w:type="dxa"/>
              <w:left w:w="62" w:type="dxa"/>
              <w:bottom w:w="0" w:type="dxa"/>
              <w:right w:w="62" w:type="dxa"/>
            </w:tcMar>
          </w:tcPr>
          <w:p w:rsidR="00000000" w:rsidP="009C4BD9">
            <w:pPr>
              <w:pStyle w:val="BodyText"/>
              <w:rPr>
                <w:lang w:val="en-NZ"/>
              </w:rPr>
            </w:pPr>
            <w:r w:rsidRPr="009C4BD9">
              <w:t>Appropriate personnel may include</w:t>
            </w:r>
          </w:p>
        </w:tc>
        <w:tc>
          <w:tcPr>
            <w:tcW w:w="6800" w:type="dxa"/>
            <w:tcBorders>
              <w:top w:val="nil"/>
              <w:left w:val="nil"/>
              <w:bottom w:val="nil"/>
              <w:right w:val="nil"/>
            </w:tcBorders>
            <w:tcMar>
              <w:top w:w="0" w:type="dxa"/>
              <w:left w:w="62" w:type="dxa"/>
              <w:bottom w:w="0" w:type="dxa"/>
              <w:right w:w="62" w:type="dxa"/>
            </w:tcMar>
          </w:tcPr>
          <w:p w:rsidR="00000000" w:rsidRPr="009C4BD9" w:rsidP="009C4BD9">
            <w:pPr>
              <w:pStyle w:val="ListBullet"/>
            </w:pPr>
            <w:r w:rsidRPr="009C4BD9">
              <w:t>internal technical specialists</w:t>
            </w:r>
          </w:p>
          <w:p w:rsidR="00000000" w:rsidRPr="009C4BD9" w:rsidP="009C4BD9">
            <w:pPr>
              <w:pStyle w:val="ListBullet"/>
            </w:pPr>
            <w:r w:rsidRPr="009C4BD9">
              <w:t>supervisors</w:t>
            </w:r>
          </w:p>
          <w:p w:rsidR="00000000" w:rsidP="009C4BD9">
            <w:pPr>
              <w:pStyle w:val="ListBullet"/>
              <w:rPr>
                <w:lang w:val="en-NZ"/>
              </w:rPr>
            </w:pPr>
            <w:r w:rsidRPr="009C4BD9">
              <w:t>equipment manufacturer service personnel</w:t>
            </w:r>
          </w:p>
        </w:tc>
      </w:tr>
      <w:tr w:rsidTr="00012433">
        <w:tblPrEx>
          <w:tblW w:w="0" w:type="auto"/>
          <w:tblLayout w:type="fixed"/>
          <w:tblCellMar>
            <w:left w:w="62" w:type="dxa"/>
            <w:right w:w="62" w:type="dxa"/>
          </w:tblCellMar>
          <w:tblLook w:val="0000"/>
        </w:tblPrEx>
        <w:tc>
          <w:tcPr>
            <w:tcW w:w="2283" w:type="dxa"/>
            <w:tcBorders>
              <w:top w:val="nil"/>
              <w:left w:val="nil"/>
              <w:bottom w:val="nil"/>
              <w:right w:val="nil"/>
            </w:tcBorders>
            <w:tcMar>
              <w:top w:w="0" w:type="dxa"/>
              <w:left w:w="62" w:type="dxa"/>
              <w:bottom w:w="0" w:type="dxa"/>
              <w:right w:w="62" w:type="dxa"/>
            </w:tcMar>
          </w:tcPr>
          <w:p w:rsidR="00000000" w:rsidP="009C4BD9">
            <w:pPr>
              <w:pStyle w:val="BodyText"/>
              <w:rPr>
                <w:lang w:val="en-NZ"/>
              </w:rPr>
            </w:pPr>
            <w:r w:rsidRPr="009C4BD9">
              <w:t>Immediate solution means</w:t>
            </w:r>
          </w:p>
        </w:tc>
        <w:tc>
          <w:tcPr>
            <w:tcW w:w="6800" w:type="dxa"/>
            <w:tcBorders>
              <w:top w:val="nil"/>
              <w:left w:val="nil"/>
              <w:bottom w:val="nil"/>
              <w:right w:val="nil"/>
            </w:tcBorders>
            <w:tcMar>
              <w:top w:w="0" w:type="dxa"/>
              <w:left w:w="62" w:type="dxa"/>
              <w:bottom w:w="0" w:type="dxa"/>
              <w:right w:w="62" w:type="dxa"/>
            </w:tcMar>
          </w:tcPr>
          <w:p w:rsidR="00000000" w:rsidP="009C4BD9">
            <w:pPr>
              <w:pStyle w:val="BodyText"/>
              <w:rPr>
                <w:lang w:val="en-NZ"/>
              </w:rPr>
            </w:pPr>
            <w:r w:rsidRPr="009C4BD9">
              <w:t>A solution to the problem that will control immediate undesirable impacts, but which may not eliminate the root cause of the problem.</w:t>
            </w:r>
          </w:p>
        </w:tc>
      </w:tr>
      <w:tr w:rsidTr="00012433">
        <w:tblPrEx>
          <w:tblW w:w="0" w:type="auto"/>
          <w:tblLayout w:type="fixed"/>
          <w:tblCellMar>
            <w:left w:w="62" w:type="dxa"/>
            <w:right w:w="62" w:type="dxa"/>
          </w:tblCellMar>
          <w:tblLook w:val="0000"/>
        </w:tblPrEx>
        <w:tc>
          <w:tcPr>
            <w:tcW w:w="2283" w:type="dxa"/>
            <w:tcBorders>
              <w:top w:val="nil"/>
              <w:left w:val="nil"/>
              <w:bottom w:val="nil"/>
              <w:right w:val="nil"/>
            </w:tcBorders>
            <w:tcMar>
              <w:top w:w="0" w:type="dxa"/>
              <w:left w:w="62" w:type="dxa"/>
              <w:bottom w:w="0" w:type="dxa"/>
              <w:right w:w="62" w:type="dxa"/>
            </w:tcMar>
          </w:tcPr>
          <w:p w:rsidR="00000000" w:rsidP="009C4BD9">
            <w:pPr>
              <w:pStyle w:val="BodyText"/>
              <w:rPr>
                <w:lang w:val="en-NZ"/>
              </w:rPr>
            </w:pPr>
            <w:r w:rsidRPr="009C4BD9">
              <w:t xml:space="preserve">Permanent </w:t>
            </w:r>
            <w:r w:rsidRPr="009C4BD9">
              <w:t>solution means</w:t>
            </w:r>
          </w:p>
        </w:tc>
        <w:tc>
          <w:tcPr>
            <w:tcW w:w="6800" w:type="dxa"/>
            <w:tcBorders>
              <w:top w:val="nil"/>
              <w:left w:val="nil"/>
              <w:bottom w:val="nil"/>
              <w:right w:val="nil"/>
            </w:tcBorders>
            <w:tcMar>
              <w:top w:w="0" w:type="dxa"/>
              <w:left w:w="62" w:type="dxa"/>
              <w:bottom w:w="0" w:type="dxa"/>
              <w:right w:w="62" w:type="dxa"/>
            </w:tcMar>
          </w:tcPr>
          <w:p w:rsidR="00000000" w:rsidRPr="009C4BD9" w:rsidP="009C4BD9">
            <w:pPr>
              <w:pStyle w:val="BodyText"/>
            </w:pPr>
            <w:r w:rsidRPr="009C4BD9">
              <w:t>A solution to the problem that will eliminate the root cause of the problem.</w:t>
            </w:r>
          </w:p>
        </w:tc>
      </w:tr>
    </w:tbl>
    <w:p w:rsidR="00000000" w:rsidRPr="009C4BD9" w:rsidP="009C4BD9">
      <w:pPr>
        <w:pStyle w:val="BodyText"/>
      </w:pPr>
    </w:p>
    <w:p w:rsidR="00000000" w:rsidRPr="009C4BD9" w:rsidP="009C4BD9">
      <w:pPr>
        <w:pStyle w:val="AllowPageBreak"/>
      </w:pPr>
    </w:p>
    <w:p w:rsidR="00000000" w:rsidRPr="009C4BD9" w:rsidP="009C4BD9">
      <w:pPr>
        <w:pStyle w:val="Heading1"/>
      </w:pPr>
      <w:bookmarkStart w:id="12" w:name="O_97130"/>
      <w:bookmarkEnd w:id="12"/>
      <w:r w:rsidRPr="009C4BD9">
        <w:t>Unit Sector(s)</w:t>
      </w:r>
    </w:p>
    <w:tbl>
      <w:tblPr>
        <w:tblW w:w="0" w:type="auto"/>
        <w:tblLayout w:type="fixed"/>
        <w:tblCellMar>
          <w:left w:w="62" w:type="dxa"/>
          <w:right w:w="62" w:type="dxa"/>
        </w:tblCellMar>
        <w:tblLook w:val="0000"/>
      </w:tblPr>
      <w:tblGrid>
        <w:gridCol w:w="2283"/>
        <w:gridCol w:w="6800"/>
      </w:tblGrid>
      <w:tr w:rsidTr="00012433">
        <w:tblPrEx>
          <w:tblW w:w="0" w:type="auto"/>
          <w:tblLayout w:type="fixed"/>
          <w:tblCellMar>
            <w:left w:w="62" w:type="dxa"/>
            <w:right w:w="62" w:type="dxa"/>
          </w:tblCellMar>
          <w:tblLook w:val="0000"/>
        </w:tblPrEx>
        <w:trPr>
          <w:tblHeader/>
        </w:trPr>
        <w:tc>
          <w:tcPr>
            <w:tcW w:w="2283" w:type="dxa"/>
            <w:tcBorders>
              <w:top w:val="nil"/>
              <w:left w:val="nil"/>
              <w:bottom w:val="nil"/>
              <w:right w:val="nil"/>
            </w:tcBorders>
            <w:tcMar>
              <w:top w:w="0" w:type="dxa"/>
              <w:left w:w="62" w:type="dxa"/>
              <w:bottom w:w="0" w:type="dxa"/>
              <w:right w:w="62" w:type="dxa"/>
            </w:tcMar>
          </w:tcPr>
          <w:p w:rsidR="00000000" w:rsidP="009C4BD9">
            <w:pPr>
              <w:pStyle w:val="BodyText"/>
              <w:rPr>
                <w:lang w:val="en-NZ"/>
              </w:rPr>
            </w:pPr>
            <w:r w:rsidRPr="009C4BD9">
              <w:rPr>
                <w:rStyle w:val="SpecialBold"/>
              </w:rPr>
              <w:t>Sector</w:t>
            </w:r>
            <w:r w:rsidRPr="009C4BD9">
              <w:t xml:space="preserve"> </w:t>
            </w:r>
          </w:p>
        </w:tc>
        <w:tc>
          <w:tcPr>
            <w:tcW w:w="6800" w:type="dxa"/>
            <w:tcBorders>
              <w:top w:val="nil"/>
              <w:left w:val="nil"/>
              <w:bottom w:val="nil"/>
              <w:right w:val="nil"/>
            </w:tcBorders>
            <w:tcMar>
              <w:top w:w="0" w:type="dxa"/>
              <w:left w:w="62" w:type="dxa"/>
              <w:bottom w:w="0" w:type="dxa"/>
              <w:right w:w="62" w:type="dxa"/>
            </w:tcMar>
          </w:tcPr>
          <w:p w:rsidR="00000000" w:rsidRPr="009C4BD9" w:rsidP="009C4BD9">
            <w:pPr>
              <w:pStyle w:val="BodyText"/>
            </w:pPr>
            <w:r w:rsidRPr="009C4BD9">
              <w:t>Textile Production</w:t>
            </w:r>
          </w:p>
        </w:tc>
      </w:tr>
    </w:tbl>
    <w:p w:rsidR="00000000" w:rsidRPr="009C4BD9" w:rsidP="009C4BD9">
      <w:pPr>
        <w:pStyle w:val="BodyText"/>
      </w:pPr>
    </w:p>
    <w:p w:rsidR="00000000" w:rsidRPr="009C4BD9" w:rsidP="009C4BD9"/>
    <w:sectPr w:rsidSect="009C4BD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B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12433" w:rsidP="000124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B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433" w:rsidP="009C4B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12433" w:rsidP="009C4BD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12433" w:rsidP="009C4BD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B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12433" w:rsidP="0001243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B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433" w:rsidP="009C4BD9">
    <w:pPr>
      <w:pStyle w:val="Header"/>
      <w:framePr w:wrap="around"/>
    </w:pPr>
    <w:r>
      <w:fldChar w:fldCharType="begin"/>
    </w:r>
    <w:r>
      <w:instrText xml:space="preserve"> TITLE   \* MERGEFORMAT </w:instrText>
    </w:r>
    <w:r>
      <w:fldChar w:fldCharType="separate"/>
    </w:r>
    <w:r>
      <w:t>LMTTX3010B Monitor textile production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12433" w:rsidP="009C4BD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DF6E47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E5003C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4BD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C4BD9"/>
    <w:pPr>
      <w:spacing w:before="360" w:after="60"/>
      <w:outlineLvl w:val="0"/>
    </w:pPr>
    <w:rPr>
      <w:sz w:val="32"/>
    </w:rPr>
  </w:style>
  <w:style w:type="paragraph" w:styleId="Heading2">
    <w:name w:val="heading 2"/>
    <w:basedOn w:val="HeadingBase"/>
    <w:next w:val="BodyText"/>
    <w:link w:val="Heading2Char"/>
    <w:qFormat/>
    <w:rsid w:val="009C4BD9"/>
    <w:pPr>
      <w:keepLines/>
      <w:spacing w:before="240" w:after="120"/>
      <w:outlineLvl w:val="1"/>
    </w:pPr>
    <w:rPr>
      <w:sz w:val="28"/>
      <w:szCs w:val="40"/>
    </w:rPr>
  </w:style>
  <w:style w:type="paragraph" w:styleId="Heading3">
    <w:name w:val="heading 3"/>
    <w:basedOn w:val="HeadingBase"/>
    <w:next w:val="BodyText"/>
    <w:link w:val="Heading3Char"/>
    <w:qFormat/>
    <w:rsid w:val="009C4BD9"/>
    <w:pPr>
      <w:spacing w:before="180" w:after="120"/>
      <w:outlineLvl w:val="2"/>
    </w:pPr>
    <w:rPr>
      <w:spacing w:val="-10"/>
      <w:kern w:val="32"/>
    </w:rPr>
  </w:style>
  <w:style w:type="paragraph" w:styleId="Heading4">
    <w:name w:val="heading 4"/>
    <w:basedOn w:val="HeadingBase"/>
    <w:next w:val="BodyText"/>
    <w:link w:val="Heading4Char"/>
    <w:qFormat/>
    <w:rsid w:val="009C4BD9"/>
    <w:pPr>
      <w:spacing w:before="160" w:after="120"/>
      <w:outlineLvl w:val="3"/>
    </w:pPr>
    <w:rPr>
      <w:sz w:val="22"/>
    </w:rPr>
  </w:style>
  <w:style w:type="paragraph" w:styleId="Heading5">
    <w:name w:val="heading 5"/>
    <w:basedOn w:val="HeadingBase"/>
    <w:next w:val="Normal"/>
    <w:link w:val="Heading5Char"/>
    <w:qFormat/>
    <w:rsid w:val="009C4BD9"/>
    <w:pPr>
      <w:spacing w:before="80"/>
      <w:outlineLvl w:val="4"/>
    </w:pPr>
    <w:rPr>
      <w:color w:val="918585"/>
      <w:sz w:val="20"/>
    </w:rPr>
  </w:style>
  <w:style w:type="paragraph" w:styleId="Heading6">
    <w:name w:val="heading 6"/>
    <w:basedOn w:val="HeadingBase"/>
    <w:next w:val="Normal"/>
    <w:link w:val="Heading6Char"/>
    <w:qFormat/>
    <w:rsid w:val="009C4BD9"/>
    <w:pPr>
      <w:spacing w:before="60"/>
      <w:outlineLvl w:val="5"/>
    </w:pPr>
    <w:rPr>
      <w:color w:val="918585"/>
      <w:sz w:val="20"/>
    </w:rPr>
  </w:style>
  <w:style w:type="paragraph" w:styleId="Heading7">
    <w:name w:val="heading 7"/>
    <w:basedOn w:val="Normal"/>
    <w:next w:val="Normal"/>
    <w:link w:val="Heading7Char"/>
    <w:qFormat/>
    <w:rsid w:val="009C4BD9"/>
    <w:pPr>
      <w:ind w:left="720"/>
      <w:outlineLvl w:val="6"/>
    </w:pPr>
    <w:rPr>
      <w:i/>
    </w:rPr>
  </w:style>
  <w:style w:type="paragraph" w:styleId="Heading8">
    <w:name w:val="heading 8"/>
    <w:basedOn w:val="Normal"/>
    <w:next w:val="Normal"/>
    <w:link w:val="Heading8Char"/>
    <w:qFormat/>
    <w:rsid w:val="009C4BD9"/>
    <w:pPr>
      <w:ind w:left="720"/>
      <w:outlineLvl w:val="7"/>
    </w:pPr>
    <w:rPr>
      <w:i/>
    </w:rPr>
  </w:style>
  <w:style w:type="paragraph" w:styleId="Heading9">
    <w:name w:val="heading 9"/>
    <w:basedOn w:val="Normal"/>
    <w:next w:val="Normal"/>
    <w:link w:val="Heading9Char"/>
    <w:qFormat/>
    <w:rsid w:val="009C4BD9"/>
    <w:pPr>
      <w:ind w:left="720"/>
      <w:outlineLvl w:val="8"/>
    </w:pPr>
    <w:rPr>
      <w:i/>
    </w:rPr>
  </w:style>
  <w:style w:type="character" w:default="1" w:styleId="DefaultParagraphFont">
    <w:name w:val="Default Paragraph Font"/>
    <w:uiPriority w:val="1"/>
    <w:unhideWhenUsed/>
    <w:rsid w:val="009C4B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4BD9"/>
  </w:style>
  <w:style w:type="character" w:customStyle="1" w:styleId="Heading1Char">
    <w:name w:val="Heading 1 Char"/>
    <w:basedOn w:val="DefaultParagraphFont"/>
    <w:link w:val="Heading1"/>
    <w:rsid w:val="009C4BD9"/>
    <w:rPr>
      <w:rFonts w:ascii="Times New Roman" w:eastAsia="Times New Roman" w:hAnsi="Times New Roman" w:cs="Times New Roman"/>
      <w:b/>
      <w:sz w:val="32"/>
      <w:szCs w:val="20"/>
      <w:lang w:eastAsia="en-US"/>
    </w:rPr>
  </w:style>
  <w:style w:type="paragraph" w:styleId="BodyText">
    <w:name w:val="Body Text"/>
    <w:basedOn w:val="Normal"/>
    <w:link w:val="BodyTextChar"/>
    <w:rsid w:val="009C4BD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C4BD9"/>
    <w:rPr>
      <w:rFonts w:ascii="Times New Roman" w:eastAsia="Times New Roman" w:hAnsi="Times New Roman" w:cs="Times New Roman"/>
      <w:sz w:val="24"/>
      <w:lang w:val="en-US" w:eastAsia="en-US"/>
    </w:rPr>
  </w:style>
  <w:style w:type="paragraph" w:styleId="Footer">
    <w:name w:val="footer"/>
    <w:basedOn w:val="Normal"/>
    <w:link w:val="FooterChar"/>
    <w:rsid w:val="009C4B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4BD9"/>
    <w:rPr>
      <w:rFonts w:ascii="Times New Roman" w:eastAsia="Times New Roman" w:hAnsi="Times New Roman" w:cs="Times New Roman"/>
      <w:sz w:val="16"/>
      <w:lang w:val="en-US" w:eastAsia="en-US"/>
    </w:rPr>
  </w:style>
  <w:style w:type="paragraph" w:styleId="List">
    <w:name w:val="List"/>
    <w:basedOn w:val="BodyText"/>
    <w:next w:val="BodyText"/>
    <w:rsid w:val="009C4BD9"/>
    <w:pPr>
      <w:tabs>
        <w:tab w:val="left" w:pos="340"/>
      </w:tabs>
      <w:spacing w:before="60" w:after="60"/>
      <w:ind w:left="340" w:hanging="340"/>
    </w:pPr>
  </w:style>
  <w:style w:type="paragraph" w:styleId="ListBullet">
    <w:name w:val="List Bullet"/>
    <w:basedOn w:val="List"/>
    <w:rsid w:val="009C4BD9"/>
    <w:pPr>
      <w:numPr>
        <w:numId w:val="12"/>
      </w:numPr>
      <w:tabs>
        <w:tab w:val="clear" w:pos="340"/>
      </w:tabs>
      <w:spacing w:before="40" w:after="40"/>
    </w:pPr>
  </w:style>
  <w:style w:type="character" w:customStyle="1" w:styleId="SpecialBold">
    <w:name w:val="Special Bold"/>
    <w:basedOn w:val="DefaultParagraphFont"/>
    <w:rsid w:val="009C4BD9"/>
    <w:rPr>
      <w:b/>
      <w:spacing w:val="0"/>
    </w:rPr>
  </w:style>
  <w:style w:type="paragraph" w:styleId="Header">
    <w:name w:val="header"/>
    <w:basedOn w:val="Normal"/>
    <w:link w:val="HeaderChar"/>
    <w:rsid w:val="009C4B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4BD9"/>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9C4BD9"/>
    <w:rPr>
      <w:i/>
    </w:rPr>
  </w:style>
  <w:style w:type="paragraph" w:customStyle="1" w:styleId="SuperHeading">
    <w:name w:val="SuperHeading"/>
    <w:basedOn w:val="Normal"/>
    <w:rsid w:val="009C4BD9"/>
    <w:pPr>
      <w:spacing w:before="240" w:after="120"/>
      <w:outlineLvl w:val="0"/>
    </w:pPr>
    <w:rPr>
      <w:rFonts w:ascii="Times New Roman" w:hAnsi="Times New Roman"/>
      <w:b/>
      <w:sz w:val="28"/>
    </w:rPr>
  </w:style>
  <w:style w:type="paragraph" w:customStyle="1" w:styleId="AllowPageBreak">
    <w:name w:val="AllowPageBreak"/>
    <w:rsid w:val="009C4BD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C4BD9"/>
    <w:rPr>
      <w:b/>
      <w:i/>
      <w:u w:val="none"/>
    </w:rPr>
  </w:style>
  <w:style w:type="character" w:customStyle="1" w:styleId="Heading2Char">
    <w:name w:val="Heading 2 Char"/>
    <w:basedOn w:val="DefaultParagraphFont"/>
    <w:link w:val="Heading2"/>
    <w:rsid w:val="009C4B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4B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4B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4B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4B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4BD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C4BD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C4BD9"/>
    <w:rPr>
      <w:rFonts w:ascii="Courier New" w:eastAsia="Times New Roman" w:hAnsi="Courier New" w:cs="Times New Roman"/>
      <w:i/>
      <w:szCs w:val="20"/>
      <w:lang w:val="en-US" w:eastAsia="en-US"/>
    </w:rPr>
  </w:style>
  <w:style w:type="paragraph" w:customStyle="1" w:styleId="HeadingBase">
    <w:name w:val="Heading Base"/>
    <w:rsid w:val="009C4B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4BD9"/>
    <w:pPr>
      <w:tabs>
        <w:tab w:val="right" w:leader="dot" w:pos="9072"/>
      </w:tabs>
      <w:ind w:left="567"/>
    </w:pPr>
    <w:rPr>
      <w:szCs w:val="22"/>
    </w:rPr>
  </w:style>
  <w:style w:type="paragraph" w:customStyle="1" w:styleId="TOCBase">
    <w:name w:val="TOC Base"/>
    <w:rsid w:val="009C4B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4BD9"/>
    <w:pPr>
      <w:tabs>
        <w:tab w:val="right" w:leader="dot" w:pos="9072"/>
      </w:tabs>
      <w:spacing w:before="40" w:after="40"/>
      <w:ind w:left="284"/>
    </w:pPr>
    <w:rPr>
      <w:rFonts w:ascii="Times New Roman" w:hAnsi="Times New Roman"/>
    </w:rPr>
  </w:style>
  <w:style w:type="paragraph" w:styleId="TOC1">
    <w:name w:val="toc 1"/>
    <w:basedOn w:val="TOCBase"/>
    <w:next w:val="Normal"/>
    <w:rsid w:val="009C4BD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C4BD9"/>
    <w:pPr>
      <w:spacing w:before="5040"/>
      <w:jc w:val="center"/>
    </w:pPr>
    <w:rPr>
      <w:sz w:val="48"/>
      <w:szCs w:val="72"/>
      <w:lang w:val="en-US"/>
    </w:rPr>
  </w:style>
  <w:style w:type="character" w:customStyle="1" w:styleId="TitleChar">
    <w:name w:val="Title Char"/>
    <w:basedOn w:val="DefaultParagraphFont"/>
    <w:link w:val="Title"/>
    <w:rsid w:val="009C4B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4BD9"/>
    <w:pPr>
      <w:tabs>
        <w:tab w:val="left" w:pos="3600"/>
        <w:tab w:val="left" w:pos="3958"/>
      </w:tabs>
    </w:pPr>
  </w:style>
  <w:style w:type="paragraph" w:customStyle="1" w:styleId="Note">
    <w:name w:val="Note"/>
    <w:basedOn w:val="BodyText"/>
    <w:rsid w:val="009C4B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4BD9"/>
    <w:pPr>
      <w:framePr w:wrap="auto" w:hAnchor="text" w:y="6049"/>
    </w:pPr>
    <w:rPr>
      <w:color w:val="000000"/>
      <w:sz w:val="40"/>
    </w:rPr>
  </w:style>
  <w:style w:type="paragraph" w:customStyle="1" w:styleId="TOCTitle">
    <w:name w:val="TOCTitle"/>
    <w:basedOn w:val="Heading1"/>
    <w:rsid w:val="009C4BD9"/>
    <w:pPr>
      <w:spacing w:after="240"/>
      <w:jc w:val="center"/>
      <w:outlineLvl w:val="9"/>
    </w:pPr>
    <w:rPr>
      <w:caps/>
    </w:rPr>
  </w:style>
  <w:style w:type="paragraph" w:customStyle="1" w:styleId="Version">
    <w:name w:val="Version"/>
    <w:rsid w:val="009C4BD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C4BD9"/>
    <w:pPr>
      <w:numPr>
        <w:numId w:val="13"/>
      </w:numPr>
      <w:tabs>
        <w:tab w:val="clear" w:pos="680"/>
      </w:tabs>
    </w:pPr>
  </w:style>
  <w:style w:type="paragraph" w:styleId="Index1">
    <w:name w:val="index 1"/>
    <w:basedOn w:val="Normal"/>
    <w:next w:val="Normal"/>
    <w:semiHidden/>
    <w:rsid w:val="009C4BD9"/>
    <w:pPr>
      <w:keepNext w:val="0"/>
      <w:tabs>
        <w:tab w:val="right" w:pos="4176"/>
      </w:tabs>
      <w:ind w:left="198" w:hanging="198"/>
    </w:pPr>
    <w:rPr>
      <w:rFonts w:ascii="Garamond" w:hAnsi="Garamond"/>
    </w:rPr>
  </w:style>
  <w:style w:type="paragraph" w:styleId="IndexHeading">
    <w:name w:val="index heading"/>
    <w:basedOn w:val="Normal"/>
    <w:next w:val="Index1"/>
    <w:semiHidden/>
    <w:rsid w:val="009C4BD9"/>
    <w:pPr>
      <w:spacing w:before="120" w:after="120"/>
    </w:pPr>
    <w:rPr>
      <w:rFonts w:ascii="Arial" w:hAnsi="Arial"/>
      <w:b/>
      <w:color w:val="918585"/>
      <w:sz w:val="24"/>
    </w:rPr>
  </w:style>
  <w:style w:type="paragraph" w:customStyle="1" w:styleId="Chapter">
    <w:name w:val="Chapter"/>
    <w:basedOn w:val="Normal"/>
    <w:rsid w:val="009C4BD9"/>
    <w:pPr>
      <w:spacing w:before="240"/>
    </w:pPr>
    <w:rPr>
      <w:rFonts w:ascii="Times New Roman" w:hAnsi="Times New Roman"/>
      <w:smallCaps/>
      <w:spacing w:val="80"/>
      <w:sz w:val="28"/>
    </w:rPr>
  </w:style>
  <w:style w:type="paragraph" w:customStyle="1" w:styleId="InChapter">
    <w:name w:val="InChapter"/>
    <w:basedOn w:val="Heading3"/>
    <w:rsid w:val="009C4BD9"/>
    <w:pPr>
      <w:spacing w:after="240"/>
      <w:outlineLvl w:val="9"/>
    </w:pPr>
    <w:rPr>
      <w:noProof/>
    </w:rPr>
  </w:style>
  <w:style w:type="paragraph" w:styleId="Index2">
    <w:name w:val="index 2"/>
    <w:basedOn w:val="Normal"/>
    <w:next w:val="Normal"/>
    <w:semiHidden/>
    <w:rsid w:val="009C4BD9"/>
    <w:pPr>
      <w:tabs>
        <w:tab w:val="right" w:pos="4176"/>
      </w:tabs>
      <w:ind w:left="568" w:hanging="284"/>
    </w:pPr>
    <w:rPr>
      <w:rFonts w:ascii="Garamond" w:hAnsi="Garamond"/>
    </w:rPr>
  </w:style>
  <w:style w:type="paragraph" w:customStyle="1" w:styleId="Byline">
    <w:name w:val="Byline"/>
    <w:rsid w:val="009C4B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4BD9"/>
    <w:pPr>
      <w:tabs>
        <w:tab w:val="clear" w:pos="3600"/>
        <w:tab w:val="clear" w:pos="3958"/>
      </w:tabs>
      <w:jc w:val="right"/>
    </w:pPr>
  </w:style>
  <w:style w:type="paragraph" w:styleId="Caption">
    <w:name w:val="caption"/>
    <w:basedOn w:val="BodyText"/>
    <w:next w:val="Normal"/>
    <w:qFormat/>
    <w:rsid w:val="009C4BD9"/>
    <w:pPr>
      <w:framePr w:w="2268" w:hSpace="181" w:vSpace="181" w:wrap="around" w:vAnchor="text" w:hAnchor="page" w:x="1135" w:y="285" w:anchorLock="1"/>
    </w:pPr>
    <w:rPr>
      <w:i/>
    </w:rPr>
  </w:style>
  <w:style w:type="paragraph" w:customStyle="1" w:styleId="MiniTOCTitle">
    <w:name w:val="MiniTOCTitle"/>
    <w:basedOn w:val="Heading4"/>
    <w:rsid w:val="009C4BD9"/>
    <w:pPr>
      <w:spacing w:before="240"/>
      <w:outlineLvl w:val="9"/>
    </w:pPr>
    <w:rPr>
      <w:noProof/>
      <w:sz w:val="24"/>
    </w:rPr>
  </w:style>
  <w:style w:type="paragraph" w:customStyle="1" w:styleId="MiniTOCItem">
    <w:name w:val="MiniTOCItem"/>
    <w:basedOn w:val="ListBullet"/>
    <w:rsid w:val="009C4BD9"/>
    <w:pPr>
      <w:numPr>
        <w:numId w:val="0"/>
      </w:numPr>
      <w:tabs>
        <w:tab w:val="right" w:leader="dot" w:pos="6521"/>
      </w:tabs>
      <w:spacing w:before="0" w:after="0"/>
    </w:pPr>
  </w:style>
  <w:style w:type="paragraph" w:customStyle="1" w:styleId="TOFTitle">
    <w:name w:val="TOFTitle"/>
    <w:basedOn w:val="TOCTitle"/>
    <w:rsid w:val="009C4BD9"/>
  </w:style>
  <w:style w:type="paragraph" w:styleId="TableofFigures">
    <w:name w:val="table of figures"/>
    <w:basedOn w:val="Normal"/>
    <w:next w:val="Normal"/>
    <w:semiHidden/>
    <w:rsid w:val="009C4BD9"/>
    <w:pPr>
      <w:tabs>
        <w:tab w:val="right" w:leader="dot" w:pos="9072"/>
      </w:tabs>
      <w:ind w:left="970" w:hanging="403"/>
    </w:pPr>
    <w:rPr>
      <w:rFonts w:ascii="Times New Roman" w:hAnsi="Times New Roman"/>
      <w:b/>
    </w:rPr>
  </w:style>
  <w:style w:type="paragraph" w:styleId="ListNumber">
    <w:name w:val="List Number"/>
    <w:basedOn w:val="List"/>
    <w:rsid w:val="009C4BD9"/>
    <w:pPr>
      <w:numPr>
        <w:numId w:val="10"/>
      </w:numPr>
    </w:pPr>
  </w:style>
  <w:style w:type="character" w:customStyle="1" w:styleId="WingdingSymbols">
    <w:name w:val="Wingding Symbols"/>
    <w:rsid w:val="009C4BD9"/>
    <w:rPr>
      <w:rFonts w:ascii="Wingdings" w:hAnsi="Wingdings"/>
    </w:rPr>
  </w:style>
  <w:style w:type="paragraph" w:customStyle="1" w:styleId="TableHeading">
    <w:name w:val="Table Heading"/>
    <w:basedOn w:val="HeadingBase"/>
    <w:rsid w:val="009C4BD9"/>
    <w:pPr>
      <w:keepLines/>
      <w:pBdr>
        <w:bottom w:val="single" w:sz="6" w:space="1" w:color="918585"/>
      </w:pBdr>
      <w:spacing w:before="240"/>
    </w:pPr>
  </w:style>
  <w:style w:type="character" w:customStyle="1" w:styleId="HotSpot">
    <w:name w:val="HotSpot"/>
    <w:rsid w:val="009C4BD9"/>
    <w:rPr>
      <w:color w:val="0033CC"/>
      <w:u w:val="none"/>
    </w:rPr>
  </w:style>
  <w:style w:type="paragraph" w:customStyle="1" w:styleId="BodyTextRight">
    <w:name w:val="Body Text Right"/>
    <w:basedOn w:val="BodyText"/>
    <w:rsid w:val="009C4BD9"/>
    <w:pPr>
      <w:spacing w:before="0" w:after="0"/>
      <w:jc w:val="right"/>
    </w:pPr>
  </w:style>
  <w:style w:type="paragraph" w:styleId="Index3">
    <w:name w:val="index 3"/>
    <w:basedOn w:val="ListNumber2"/>
    <w:next w:val="Normal"/>
    <w:semiHidden/>
    <w:rsid w:val="009C4BD9"/>
    <w:pPr>
      <w:numPr>
        <w:numId w:val="0"/>
      </w:numPr>
      <w:tabs>
        <w:tab w:val="right" w:leader="dot" w:pos="4176"/>
      </w:tabs>
    </w:pPr>
  </w:style>
  <w:style w:type="paragraph" w:styleId="ListNumber2">
    <w:name w:val="List Number 2"/>
    <w:basedOn w:val="List2"/>
    <w:rsid w:val="009C4BD9"/>
    <w:pPr>
      <w:numPr>
        <w:numId w:val="9"/>
      </w:numPr>
      <w:tabs>
        <w:tab w:val="clear" w:pos="1060"/>
      </w:tabs>
    </w:pPr>
  </w:style>
  <w:style w:type="paragraph" w:customStyle="1" w:styleId="MarginNote">
    <w:name w:val="Margin Note"/>
    <w:basedOn w:val="BodyText"/>
    <w:rsid w:val="009C4B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4B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4BD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C4BD9"/>
    <w:rPr>
      <w:sz w:val="32"/>
    </w:rPr>
  </w:style>
  <w:style w:type="paragraph" w:customStyle="1" w:styleId="HeadingProcedure">
    <w:name w:val="Heading Procedure"/>
    <w:basedOn w:val="HeadingBase"/>
    <w:next w:val="Normal"/>
    <w:rsid w:val="009C4BD9"/>
    <w:pPr>
      <w:tabs>
        <w:tab w:val="left" w:pos="0"/>
      </w:tabs>
      <w:spacing w:before="120" w:after="60"/>
    </w:pPr>
    <w:rPr>
      <w:i/>
      <w:color w:val="918585"/>
      <w:sz w:val="22"/>
    </w:rPr>
  </w:style>
  <w:style w:type="paragraph" w:customStyle="1" w:styleId="TableBodyText">
    <w:name w:val="Table Body Text"/>
    <w:basedOn w:val="BodyText"/>
    <w:rsid w:val="009C4BD9"/>
    <w:pPr>
      <w:spacing w:before="60" w:after="60"/>
    </w:pPr>
  </w:style>
  <w:style w:type="paragraph" w:styleId="ListContinue">
    <w:name w:val="List Continue"/>
    <w:basedOn w:val="List"/>
    <w:rsid w:val="009C4BD9"/>
    <w:pPr>
      <w:ind w:firstLine="0"/>
    </w:pPr>
  </w:style>
  <w:style w:type="paragraph" w:customStyle="1" w:styleId="ListNote">
    <w:name w:val="List Note"/>
    <w:basedOn w:val="List"/>
    <w:rsid w:val="009C4BD9"/>
    <w:pPr>
      <w:pBdr>
        <w:top w:val="single" w:sz="6" w:space="2" w:color="918585"/>
        <w:bottom w:val="single" w:sz="6" w:space="2" w:color="918585"/>
      </w:pBdr>
      <w:tabs>
        <w:tab w:val="left" w:pos="1021"/>
      </w:tabs>
      <w:ind w:firstLine="0"/>
    </w:pPr>
  </w:style>
  <w:style w:type="paragraph" w:customStyle="1" w:styleId="Warning">
    <w:name w:val="Warning"/>
    <w:basedOn w:val="BodyText"/>
    <w:rsid w:val="009C4BD9"/>
    <w:pPr>
      <w:shd w:val="clear" w:color="auto" w:fill="D9D9D9"/>
      <w:tabs>
        <w:tab w:val="left" w:pos="992"/>
      </w:tabs>
      <w:ind w:left="119" w:right="119"/>
    </w:pPr>
    <w:rPr>
      <w:sz w:val="20"/>
    </w:rPr>
  </w:style>
  <w:style w:type="paragraph" w:customStyle="1" w:styleId="MarginIcons">
    <w:name w:val="Margin Icons"/>
    <w:basedOn w:val="BodyText"/>
    <w:rsid w:val="009C4B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4BD9"/>
    <w:rPr>
      <w:rFonts w:ascii="Courier New" w:hAnsi="Courier New"/>
    </w:rPr>
  </w:style>
  <w:style w:type="paragraph" w:customStyle="1" w:styleId="NoteBullet">
    <w:name w:val="Note Bullet"/>
    <w:basedOn w:val="Note"/>
    <w:rsid w:val="009C4BD9"/>
    <w:pPr>
      <w:tabs>
        <w:tab w:val="clear" w:pos="680"/>
      </w:tabs>
      <w:spacing w:before="60" w:after="60"/>
    </w:pPr>
  </w:style>
  <w:style w:type="paragraph" w:customStyle="1" w:styleId="SubHeading2">
    <w:name w:val="SubHeading2"/>
    <w:basedOn w:val="HeadingBase"/>
    <w:rsid w:val="009C4BD9"/>
    <w:pPr>
      <w:spacing w:before="240" w:after="60"/>
    </w:pPr>
    <w:rPr>
      <w:sz w:val="20"/>
    </w:rPr>
  </w:style>
  <w:style w:type="paragraph" w:customStyle="1" w:styleId="SubHeading1">
    <w:name w:val="SubHeading1"/>
    <w:basedOn w:val="HeadingBase"/>
    <w:rsid w:val="009C4BD9"/>
    <w:pPr>
      <w:spacing w:before="240" w:after="60"/>
    </w:pPr>
    <w:rPr>
      <w:color w:val="918585"/>
      <w:sz w:val="22"/>
    </w:rPr>
  </w:style>
  <w:style w:type="paragraph" w:customStyle="1" w:styleId="SideHeading">
    <w:name w:val="Side Heading"/>
    <w:basedOn w:val="HeadingBase"/>
    <w:rsid w:val="009C4B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4BD9"/>
    <w:pPr>
      <w:tabs>
        <w:tab w:val="num" w:pos="360"/>
      </w:tabs>
    </w:pPr>
  </w:style>
  <w:style w:type="paragraph" w:styleId="PlainText">
    <w:name w:val="Plain Text"/>
    <w:basedOn w:val="Normal"/>
    <w:link w:val="PlainTextChar"/>
    <w:rsid w:val="009C4BD9"/>
    <w:rPr>
      <w:sz w:val="20"/>
    </w:rPr>
  </w:style>
  <w:style w:type="character" w:customStyle="1" w:styleId="PlainTextChar">
    <w:name w:val="Plain Text Char"/>
    <w:basedOn w:val="DefaultParagraphFont"/>
    <w:link w:val="PlainText"/>
    <w:rsid w:val="009C4BD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C4BD9"/>
    <w:rPr>
      <w:b/>
      <w:smallCaps/>
    </w:rPr>
  </w:style>
  <w:style w:type="paragraph" w:customStyle="1" w:styleId="TableListNumber">
    <w:name w:val="Table List Number"/>
    <w:basedOn w:val="ListNumber"/>
    <w:rsid w:val="009C4BD9"/>
    <w:pPr>
      <w:numPr>
        <w:numId w:val="0"/>
      </w:numPr>
    </w:pPr>
  </w:style>
  <w:style w:type="paragraph" w:styleId="TOC4">
    <w:name w:val="toc 4"/>
    <w:basedOn w:val="TOCBase"/>
    <w:next w:val="Normal"/>
    <w:semiHidden/>
    <w:rsid w:val="009C4BD9"/>
    <w:pPr>
      <w:tabs>
        <w:tab w:val="right" w:leader="dot" w:pos="9071"/>
      </w:tabs>
      <w:ind w:left="1701"/>
    </w:pPr>
  </w:style>
  <w:style w:type="paragraph" w:customStyle="1" w:styleId="ListAlpha">
    <w:name w:val="List Alpha"/>
    <w:basedOn w:val="List"/>
    <w:rsid w:val="009C4BD9"/>
    <w:pPr>
      <w:numPr>
        <w:numId w:val="8"/>
      </w:numPr>
    </w:pPr>
  </w:style>
  <w:style w:type="paragraph" w:customStyle="1" w:styleId="ListAlpha2">
    <w:name w:val="List Alpha 2"/>
    <w:basedOn w:val="List2"/>
    <w:rsid w:val="009C4BD9"/>
    <w:pPr>
      <w:numPr>
        <w:numId w:val="7"/>
      </w:numPr>
    </w:pPr>
  </w:style>
  <w:style w:type="paragraph" w:styleId="List2">
    <w:name w:val="List 2"/>
    <w:basedOn w:val="BodyText"/>
    <w:rsid w:val="009C4BD9"/>
    <w:pPr>
      <w:tabs>
        <w:tab w:val="left" w:pos="680"/>
      </w:tabs>
      <w:spacing w:before="60" w:after="60"/>
      <w:ind w:left="680" w:hanging="340"/>
    </w:pPr>
  </w:style>
  <w:style w:type="paragraph" w:styleId="List3">
    <w:name w:val="List 3"/>
    <w:basedOn w:val="BodyText"/>
    <w:rsid w:val="009C4BD9"/>
    <w:pPr>
      <w:tabs>
        <w:tab w:val="left" w:pos="1021"/>
      </w:tabs>
      <w:spacing w:before="60" w:after="60"/>
      <w:ind w:left="1020" w:hanging="340"/>
    </w:pPr>
  </w:style>
  <w:style w:type="paragraph" w:styleId="List4">
    <w:name w:val="List 4"/>
    <w:basedOn w:val="BodyText"/>
    <w:rsid w:val="009C4BD9"/>
    <w:pPr>
      <w:tabs>
        <w:tab w:val="left" w:pos="1361"/>
      </w:tabs>
      <w:spacing w:before="60" w:after="60"/>
      <w:ind w:left="1361" w:hanging="340"/>
    </w:pPr>
  </w:style>
  <w:style w:type="paragraph" w:styleId="List5">
    <w:name w:val="List 5"/>
    <w:basedOn w:val="BodyText"/>
    <w:rsid w:val="009C4BD9"/>
    <w:pPr>
      <w:tabs>
        <w:tab w:val="left" w:pos="1701"/>
      </w:tabs>
      <w:spacing w:before="60" w:after="60"/>
      <w:ind w:left="1701" w:hanging="340"/>
    </w:pPr>
  </w:style>
  <w:style w:type="paragraph" w:styleId="ListBullet3">
    <w:name w:val="List Bullet 3"/>
    <w:basedOn w:val="List3"/>
    <w:rsid w:val="009C4BD9"/>
    <w:pPr>
      <w:numPr>
        <w:numId w:val="14"/>
      </w:numPr>
      <w:tabs>
        <w:tab w:val="clear" w:pos="1021"/>
      </w:tabs>
      <w:ind w:left="1037" w:hanging="357"/>
    </w:pPr>
  </w:style>
  <w:style w:type="paragraph" w:styleId="ListBullet4">
    <w:name w:val="List Bullet 4"/>
    <w:basedOn w:val="List4"/>
    <w:rsid w:val="009C4BD9"/>
    <w:pPr>
      <w:numPr>
        <w:numId w:val="2"/>
      </w:numPr>
    </w:pPr>
  </w:style>
  <w:style w:type="paragraph" w:styleId="ListBullet5">
    <w:name w:val="List Bullet 5"/>
    <w:basedOn w:val="List5"/>
    <w:rsid w:val="009C4BD9"/>
    <w:pPr>
      <w:numPr>
        <w:numId w:val="3"/>
      </w:numPr>
    </w:pPr>
  </w:style>
  <w:style w:type="paragraph" w:styleId="ListContinue2">
    <w:name w:val="List Continue 2"/>
    <w:basedOn w:val="List2"/>
    <w:rsid w:val="009C4BD9"/>
    <w:pPr>
      <w:ind w:firstLine="0"/>
    </w:pPr>
  </w:style>
  <w:style w:type="paragraph" w:styleId="ListContinue3">
    <w:name w:val="List Continue 3"/>
    <w:basedOn w:val="List3"/>
    <w:rsid w:val="009C4BD9"/>
    <w:pPr>
      <w:ind w:left="1021" w:firstLine="0"/>
    </w:pPr>
  </w:style>
  <w:style w:type="paragraph" w:styleId="ListContinue4">
    <w:name w:val="List Continue 4"/>
    <w:basedOn w:val="List4"/>
    <w:rsid w:val="009C4BD9"/>
    <w:pPr>
      <w:ind w:firstLine="0"/>
    </w:pPr>
  </w:style>
  <w:style w:type="paragraph" w:styleId="ListContinue5">
    <w:name w:val="List Continue 5"/>
    <w:basedOn w:val="List5"/>
    <w:rsid w:val="009C4BD9"/>
    <w:pPr>
      <w:ind w:firstLine="0"/>
    </w:pPr>
  </w:style>
  <w:style w:type="paragraph" w:styleId="ListNumber3">
    <w:name w:val="List Number 3"/>
    <w:basedOn w:val="List3"/>
    <w:rsid w:val="009C4BD9"/>
    <w:pPr>
      <w:numPr>
        <w:numId w:val="4"/>
      </w:numPr>
    </w:pPr>
  </w:style>
  <w:style w:type="paragraph" w:styleId="ListNumber4">
    <w:name w:val="List Number 4"/>
    <w:basedOn w:val="List4"/>
    <w:rsid w:val="009C4BD9"/>
    <w:pPr>
      <w:numPr>
        <w:numId w:val="5"/>
      </w:numPr>
    </w:pPr>
  </w:style>
  <w:style w:type="paragraph" w:styleId="ListNumber5">
    <w:name w:val="List Number 5"/>
    <w:basedOn w:val="List5"/>
    <w:rsid w:val="009C4BD9"/>
    <w:pPr>
      <w:numPr>
        <w:numId w:val="6"/>
      </w:numPr>
    </w:pPr>
  </w:style>
  <w:style w:type="paragraph" w:styleId="BlockText">
    <w:name w:val="Block Text"/>
    <w:basedOn w:val="Normal"/>
    <w:rsid w:val="009C4BD9"/>
    <w:pPr>
      <w:spacing w:after="120"/>
      <w:ind w:left="1440" w:right="1440"/>
    </w:pPr>
  </w:style>
  <w:style w:type="character" w:customStyle="1" w:styleId="Subscript">
    <w:name w:val="Subscript"/>
    <w:basedOn w:val="DefaultParagraphFont"/>
    <w:rsid w:val="009C4BD9"/>
    <w:rPr>
      <w:sz w:val="16"/>
      <w:vertAlign w:val="subscript"/>
    </w:rPr>
  </w:style>
  <w:style w:type="character" w:customStyle="1" w:styleId="Superscript">
    <w:name w:val="Superscript"/>
    <w:basedOn w:val="DefaultParagraphFont"/>
    <w:rsid w:val="009C4BD9"/>
    <w:rPr>
      <w:sz w:val="16"/>
      <w:vertAlign w:val="superscript"/>
    </w:rPr>
  </w:style>
  <w:style w:type="character" w:customStyle="1" w:styleId="Symbols">
    <w:name w:val="Symbols"/>
    <w:basedOn w:val="DefaultParagraphFont"/>
    <w:rsid w:val="009C4BD9"/>
    <w:rPr>
      <w:rFonts w:ascii="Symbol" w:hAnsi="Symbol"/>
    </w:rPr>
  </w:style>
  <w:style w:type="character" w:customStyle="1" w:styleId="MenuOptions">
    <w:name w:val="Menu Options"/>
    <w:basedOn w:val="DefaultParagraphFont"/>
    <w:rsid w:val="009C4BD9"/>
    <w:rPr>
      <w:rFonts w:ascii="Arial Narrow" w:hAnsi="Arial Narrow"/>
      <w:smallCaps/>
    </w:rPr>
  </w:style>
  <w:style w:type="character" w:customStyle="1" w:styleId="Buttons">
    <w:name w:val="Buttons"/>
    <w:basedOn w:val="DefaultParagraphFont"/>
    <w:rsid w:val="009C4BD9"/>
    <w:rPr>
      <w:b/>
    </w:rPr>
  </w:style>
  <w:style w:type="character" w:customStyle="1" w:styleId="Underlined">
    <w:name w:val="Underlined"/>
    <w:basedOn w:val="DefaultParagraphFont"/>
    <w:rsid w:val="009C4BD9"/>
    <w:rPr>
      <w:u w:val="single"/>
    </w:rPr>
  </w:style>
  <w:style w:type="paragraph" w:customStyle="1" w:styleId="TableBodyTextRight">
    <w:name w:val="Table Body Text Right"/>
    <w:basedOn w:val="TableBodyText"/>
    <w:rsid w:val="009C4BD9"/>
    <w:pPr>
      <w:widowControl w:val="0"/>
      <w:autoSpaceDE w:val="0"/>
      <w:autoSpaceDN w:val="0"/>
      <w:adjustRightInd w:val="0"/>
      <w:jc w:val="right"/>
    </w:pPr>
    <w:rPr>
      <w:rFonts w:cs="Arial"/>
      <w:szCs w:val="18"/>
    </w:rPr>
  </w:style>
  <w:style w:type="paragraph" w:customStyle="1" w:styleId="CopyrightText">
    <w:name w:val="Copyright Text"/>
    <w:basedOn w:val="BodyText"/>
    <w:rsid w:val="009C4BD9"/>
    <w:rPr>
      <w:sz w:val="18"/>
    </w:rPr>
  </w:style>
  <w:style w:type="paragraph" w:customStyle="1" w:styleId="BodySmallRight">
    <w:name w:val="Body Small Right"/>
    <w:basedOn w:val="BodyTextRight"/>
    <w:rsid w:val="009C4BD9"/>
    <w:rPr>
      <w:sz w:val="18"/>
      <w:szCs w:val="18"/>
    </w:rPr>
  </w:style>
  <w:style w:type="paragraph" w:customStyle="1" w:styleId="MarginEdition">
    <w:name w:val="Margin Edition"/>
    <w:basedOn w:val="MarginNote"/>
    <w:rsid w:val="009C4BD9"/>
    <w:pPr>
      <w:spacing w:before="0" w:after="0"/>
    </w:pPr>
    <w:rPr>
      <w:rFonts w:ascii="Times New Roman" w:hAnsi="Times New Roman"/>
      <w:color w:val="999999"/>
    </w:rPr>
  </w:style>
  <w:style w:type="paragraph" w:customStyle="1" w:styleId="Spacer">
    <w:name w:val="Spacer"/>
    <w:basedOn w:val="Normal"/>
    <w:rsid w:val="009C4BD9"/>
    <w:rPr>
      <w:sz w:val="2"/>
      <w:szCs w:val="2"/>
    </w:rPr>
  </w:style>
  <w:style w:type="character" w:customStyle="1" w:styleId="Small">
    <w:name w:val="Small"/>
    <w:basedOn w:val="DefaultParagraphFont"/>
    <w:rsid w:val="009C4BD9"/>
    <w:rPr>
      <w:sz w:val="16"/>
    </w:rPr>
  </w:style>
  <w:style w:type="paragraph" w:customStyle="1" w:styleId="WideTable">
    <w:name w:val="Wide Table"/>
    <w:basedOn w:val="Normal"/>
    <w:rsid w:val="009C4BD9"/>
    <w:pPr>
      <w:ind w:left="-1418"/>
    </w:pPr>
    <w:rPr>
      <w:sz w:val="2"/>
      <w:szCs w:val="2"/>
    </w:rPr>
  </w:style>
  <w:style w:type="character" w:styleId="PageNumber">
    <w:name w:val="page number"/>
    <w:basedOn w:val="DefaultParagraphFont"/>
    <w:rsid w:val="009C4BD9"/>
  </w:style>
  <w:style w:type="paragraph" w:styleId="Quote">
    <w:name w:val="Quote"/>
    <w:basedOn w:val="Heading1"/>
    <w:link w:val="QuoteChar"/>
    <w:qFormat/>
    <w:rsid w:val="009C4BD9"/>
    <w:rPr>
      <w:b w:val="0"/>
      <w:sz w:val="72"/>
      <w:szCs w:val="72"/>
      <w:lang w:val="en-NZ"/>
    </w:rPr>
  </w:style>
  <w:style w:type="character" w:customStyle="1" w:styleId="QuoteChar">
    <w:name w:val="Quote Char"/>
    <w:basedOn w:val="DefaultParagraphFont"/>
    <w:link w:val="Quote"/>
    <w:rsid w:val="009C4B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4BD9"/>
    <w:pPr>
      <w:pageBreakBefore/>
    </w:pPr>
  </w:style>
  <w:style w:type="paragraph" w:customStyle="1" w:styleId="Border">
    <w:name w:val="Border"/>
    <w:basedOn w:val="Normal"/>
    <w:qFormat/>
    <w:rsid w:val="009C4B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4BD9"/>
    <w:rPr>
      <w:b/>
      <w:bCs/>
      <w:i/>
      <w:iCs/>
      <w:color w:val="auto"/>
    </w:rPr>
  </w:style>
  <w:style w:type="paragraph" w:styleId="IntenseQuote">
    <w:name w:val="Intense Quote"/>
    <w:basedOn w:val="Normal"/>
    <w:next w:val="Normal"/>
    <w:link w:val="IntenseQuoteChar"/>
    <w:uiPriority w:val="30"/>
    <w:qFormat/>
    <w:rsid w:val="009C4B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4BD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C4BD9"/>
    <w:rPr>
      <w:smallCaps/>
      <w:color w:val="auto"/>
      <w:u w:val="single"/>
    </w:rPr>
  </w:style>
  <w:style w:type="character" w:styleId="IntenseReference">
    <w:name w:val="Intense Reference"/>
    <w:basedOn w:val="DefaultParagraphFont"/>
    <w:uiPriority w:val="32"/>
    <w:qFormat/>
    <w:rsid w:val="009C4BD9"/>
    <w:rPr>
      <w:b/>
      <w:bCs/>
      <w:smallCaps/>
      <w:color w:val="auto"/>
      <w:spacing w:val="5"/>
      <w:u w:val="single"/>
    </w:rPr>
  </w:style>
  <w:style w:type="paragraph" w:customStyle="1" w:styleId="2ColumnHeading">
    <w:name w:val="2Column Heading"/>
    <w:basedOn w:val="BodyText"/>
    <w:qFormat/>
    <w:rsid w:val="009C4BD9"/>
    <w:pPr>
      <w:spacing w:after="60"/>
      <w:ind w:left="-2268"/>
    </w:pPr>
    <w:rPr>
      <w:b/>
    </w:rPr>
  </w:style>
  <w:style w:type="paragraph" w:customStyle="1" w:styleId="Heading1TOC">
    <w:name w:val="Heading1 TOC"/>
    <w:basedOn w:val="Normal"/>
    <w:qFormat/>
    <w:rsid w:val="009C4BD9"/>
    <w:pPr>
      <w:spacing w:before="240" w:after="120"/>
    </w:pPr>
    <w:rPr>
      <w:rFonts w:ascii="Times New Roman" w:hAnsi="Times New Roman"/>
      <w:b/>
      <w:sz w:val="32"/>
    </w:rPr>
  </w:style>
  <w:style w:type="paragraph" w:customStyle="1" w:styleId="Heading2TOC">
    <w:name w:val="Heading2 TOC"/>
    <w:basedOn w:val="Normal"/>
    <w:qFormat/>
    <w:rsid w:val="009C4BD9"/>
    <w:pPr>
      <w:spacing w:before="240" w:after="60"/>
    </w:pPr>
    <w:rPr>
      <w:rFonts w:ascii="Times New Roman" w:hAnsi="Times New Roman"/>
      <w:b/>
      <w:sz w:val="28"/>
    </w:rPr>
  </w:style>
  <w:style w:type="character" w:customStyle="1" w:styleId="Underline">
    <w:name w:val="Underline"/>
    <w:basedOn w:val="DefaultParagraphFont"/>
    <w:qFormat/>
    <w:rsid w:val="009C4BD9"/>
    <w:rPr>
      <w:u w:val="single"/>
    </w:rPr>
  </w:style>
  <w:style w:type="paragraph" w:styleId="BalloonText">
    <w:name w:val="Balloon Text"/>
    <w:basedOn w:val="Normal"/>
    <w:link w:val="BalloonTextChar"/>
    <w:rsid w:val="009C4BD9"/>
    <w:rPr>
      <w:rFonts w:ascii="Tahoma" w:hAnsi="Tahoma" w:cs="Tahoma"/>
      <w:sz w:val="16"/>
      <w:szCs w:val="16"/>
    </w:rPr>
  </w:style>
  <w:style w:type="character" w:customStyle="1" w:styleId="BalloonTextChar">
    <w:name w:val="Balloon Text Char"/>
    <w:basedOn w:val="DefaultParagraphFont"/>
    <w:link w:val="BalloonText"/>
    <w:rsid w:val="009C4BD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C4BD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C4BD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1112</Words>
  <Characters>7304</Characters>
  <Application>Microsoft Office Word</Application>
  <DocSecurity>0</DocSecurity>
  <Lines>261</Lines>
  <Paragraphs>157</Paragraphs>
  <ScaleCrop>false</ScaleCrop>
  <Company>Author-it Software Corporation Ltd.</Company>
  <LinksUpToDate>false</LinksUpToDate>
  <CharactersWithSpaces>8339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LMTTX3010B Monitor textile production processes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2012-05-26T18:17:00Z</dcterms:created>
  <dcterms:modified xsi:type="dcterms:W3CDTF">2012-05-26T18:17:00Z</dcterms:modified>
</cp:coreProperties>
</file>