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BEE" w:rsidP="004B1BEE">
      <w:pPr>
        <w:pStyle w:val="Title"/>
      </w:pPr>
      <w:bookmarkStart w:id="0" w:name="_GoBack"/>
      <w:bookmarkEnd w:id="0"/>
      <w:r>
        <w:fldChar w:fldCharType="begin"/>
      </w:r>
      <w:r>
        <w:instrText xml:space="preserve"> TITLE   \* MERGEFORMAT </w:instrText>
      </w:r>
      <w:r>
        <w:fldChar w:fldCharType="separate"/>
      </w:r>
      <w:r>
        <w:t>LMTGN4019A Analyse textiles, clothing and footwear merchandising and marketing principles</w:t>
      </w:r>
      <w:r>
        <w:fldChar w:fldCharType="end"/>
      </w:r>
    </w:p>
    <w:p w:rsidR="004B1BEE" w:rsidP="004B1BEE">
      <w:pPr>
        <w:pStyle w:val="Version"/>
        <w:sectPr w:rsidSect="00EC5F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FF7" w:rsidP="00EC5FF7">
      <w:pPr>
        <w:pStyle w:val="SuperHeading"/>
      </w:pPr>
      <w:r w:rsidRPr="00EC5FF7">
        <w:t xml:space="preserve">LMTGN4019A Analyse textiles, clothing and footwear merchandising and marketing principles </w:t>
      </w:r>
    </w:p>
    <w:p w:rsidR="00000000" w:rsidRPr="00EC5FF7" w:rsidP="00EC5FF7">
      <w:pPr>
        <w:pStyle w:val="Heading1"/>
      </w:pPr>
      <w:bookmarkStart w:id="1" w:name="O_94863"/>
      <w:bookmarkEnd w:id="1"/>
      <w:r w:rsidRPr="00EC5FF7">
        <w:t>Modification History</w:t>
      </w:r>
    </w:p>
    <w:p w:rsidR="00000000" w:rsidRPr="00EC5FF7" w:rsidP="00EC5FF7">
      <w:pPr>
        <w:pStyle w:val="BodyText"/>
      </w:pPr>
      <w:r w:rsidRPr="00EC5FF7">
        <w:t>Not applicable.</w:t>
      </w:r>
    </w:p>
    <w:p w:rsidR="00000000" w:rsidRPr="00EC5FF7" w:rsidP="00EC5FF7">
      <w:pPr>
        <w:pStyle w:val="AllowPageBreak"/>
      </w:pPr>
    </w:p>
    <w:p w:rsidR="00000000" w:rsidRPr="00EC5FF7" w:rsidP="00EC5FF7">
      <w:pPr>
        <w:pStyle w:val="Heading1"/>
      </w:pPr>
      <w:bookmarkStart w:id="2" w:name="O_94864"/>
      <w:bookmarkEnd w:id="2"/>
      <w:r w:rsidRPr="00EC5FF7">
        <w:t>Unit Desc</w:t>
      </w:r>
      <w:r w:rsidRPr="00EC5FF7">
        <w:t>riptor</w:t>
      </w:r>
    </w:p>
    <w:tbl>
      <w:tblPr>
        <w:tblW w:w="0" w:type="auto"/>
        <w:tblLayout w:type="fixed"/>
        <w:tblCellMar>
          <w:left w:w="62" w:type="dxa"/>
          <w:right w:w="62" w:type="dxa"/>
        </w:tblCellMar>
        <w:tblLook w:val="0000"/>
      </w:tblPr>
      <w:tblGrid>
        <w:gridCol w:w="2269"/>
        <w:gridCol w:w="6803"/>
      </w:tblGrid>
      <w:tr w:rsidTr="004B1BE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BodyText"/>
            </w:pPr>
            <w:r w:rsidRPr="00EC5FF7">
              <w:t>This unit covers skills and knowledge to analyse key principles of merchandising and marketing when applied in a textiles, clothing and footwear (TCF) environment.</w:t>
            </w:r>
          </w:p>
        </w:tc>
      </w:tr>
    </w:tbl>
    <w:p w:rsidR="00000000" w:rsidRPr="00EC5FF7" w:rsidP="00EC5FF7">
      <w:pPr>
        <w:pStyle w:val="BodyText"/>
      </w:pPr>
    </w:p>
    <w:p w:rsidR="00000000" w:rsidRPr="00EC5FF7" w:rsidP="00EC5FF7">
      <w:pPr>
        <w:pStyle w:val="AllowPageBreak"/>
      </w:pPr>
    </w:p>
    <w:p w:rsidR="00000000" w:rsidRPr="00EC5FF7" w:rsidP="00EC5FF7">
      <w:pPr>
        <w:pStyle w:val="Heading1"/>
      </w:pPr>
      <w:bookmarkStart w:id="3" w:name="O_94865"/>
      <w:bookmarkEnd w:id="3"/>
      <w:r w:rsidRPr="00EC5FF7">
        <w:t>Application of the Unit</w:t>
      </w:r>
    </w:p>
    <w:tbl>
      <w:tblPr>
        <w:tblW w:w="0" w:type="auto"/>
        <w:tblLayout w:type="fixed"/>
        <w:tblCellMar>
          <w:left w:w="62" w:type="dxa"/>
          <w:right w:w="62" w:type="dxa"/>
        </w:tblCellMar>
        <w:tblLook w:val="0000"/>
      </w:tblPr>
      <w:tblGrid>
        <w:gridCol w:w="2269"/>
        <w:gridCol w:w="6803"/>
      </w:tblGrid>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BodyText"/>
            </w:pPr>
            <w:r w:rsidRPr="00EC5FF7">
              <w:t>The unit applies to activities associated with marketing at all stages of the TCF supply chain and merchandising through wholesale and retail channels. TCF products may be items and services from any sector within the TCF industries and include final produ</w:t>
            </w:r>
            <w:r w:rsidRPr="00EC5FF7">
              <w:t>cts such as garments or fashion accessories or processed materials such as fabrics and industrial or domestic textiles.</w:t>
            </w:r>
          </w:p>
          <w:p w:rsidR="00000000" w:rsidRPr="00EC5FF7" w:rsidP="00EC5FF7">
            <w:pPr>
              <w:pStyle w:val="BodyText"/>
            </w:pPr>
            <w:r w:rsidRPr="00EC5FF7">
              <w:t>Work may be conducted in small to large scale enterprises and may involve individual and team-related activities.</w:t>
            </w:r>
          </w:p>
          <w:p w:rsidR="00000000" w:rsidRPr="00EC5FF7" w:rsidP="00EC5FF7">
            <w:pPr>
              <w:pStyle w:val="BodyText"/>
            </w:pPr>
            <w:r w:rsidRPr="00EC5FF7">
              <w:t>The application of thi</w:t>
            </w:r>
            <w:r w:rsidRPr="00EC5FF7">
              <w:t>s unit is according to OHS practices of the enterprise and workplace practices, which may include:</w:t>
            </w:r>
          </w:p>
          <w:p w:rsidR="00000000" w:rsidRPr="00EC5FF7" w:rsidP="00EC5FF7">
            <w:pPr>
              <w:pStyle w:val="ListBullet"/>
            </w:pPr>
            <w:r w:rsidRPr="00EC5FF7">
              <w:t>requirements prescribed by legislation, awards, agreements and conditions of employment</w:t>
            </w:r>
          </w:p>
          <w:p w:rsidR="00000000" w:rsidRPr="00EC5FF7" w:rsidP="00EC5FF7">
            <w:pPr>
              <w:pStyle w:val="ListBullet"/>
            </w:pPr>
            <w:r w:rsidRPr="00EC5FF7">
              <w:t>standard operating procedures</w:t>
            </w:r>
          </w:p>
          <w:p w:rsidR="00000000" w:rsidRPr="00EC5FF7" w:rsidP="00EC5FF7">
            <w:pPr>
              <w:pStyle w:val="ListBullet"/>
            </w:pPr>
            <w:r w:rsidRPr="00EC5FF7">
              <w:t>work instructions</w:t>
            </w:r>
          </w:p>
          <w:p w:rsidR="00000000" w:rsidRPr="00EC5FF7" w:rsidP="00EC5FF7">
            <w:pPr>
              <w:pStyle w:val="ListBullet"/>
            </w:pPr>
            <w:r w:rsidRPr="00EC5FF7">
              <w:t>oral, written and vis</w:t>
            </w:r>
            <w:r w:rsidRPr="00EC5FF7">
              <w:t>ual communication</w:t>
            </w:r>
          </w:p>
          <w:p w:rsidR="00000000" w:rsidRPr="00EC5FF7" w:rsidP="00EC5FF7">
            <w:pPr>
              <w:pStyle w:val="ListBullet"/>
            </w:pPr>
            <w:r w:rsidRPr="00EC5FF7">
              <w:t>quality practices, including responsibility for maintenance of own work quality and contribution to quality improvement of team or section output</w:t>
            </w:r>
          </w:p>
          <w:p w:rsidR="00000000" w:rsidRPr="00EC5FF7" w:rsidP="00EC5FF7">
            <w:pPr>
              <w:pStyle w:val="ListBullet"/>
            </w:pPr>
            <w:r w:rsidRPr="00EC5FF7">
              <w:t>housekeeping</w:t>
            </w:r>
          </w:p>
          <w:p w:rsidR="00000000" w:rsidRPr="00EC5FF7" w:rsidP="00EC5FF7">
            <w:pPr>
              <w:pStyle w:val="ListBullet"/>
            </w:pPr>
            <w:r w:rsidRPr="00EC5FF7">
              <w:t>tasks related to environmental protection, waste disposal, pollution control an</w:t>
            </w:r>
            <w:r w:rsidRPr="00EC5FF7">
              <w:t>d recycling</w:t>
            </w:r>
          </w:p>
          <w:p w:rsidR="00000000" w:rsidRPr="00EC5FF7" w:rsidP="00EC5FF7">
            <w:pPr>
              <w:pStyle w:val="BodyText"/>
            </w:pPr>
            <w:r w:rsidRPr="00EC5FF7">
              <w:t>This unit requires skills associated with communication to access and interpret information on TCF products and markets. Problem solving and initiative and enterprise are required to examine the features of a product and its market and to ident</w:t>
            </w:r>
            <w:r w:rsidRPr="00EC5FF7">
              <w:t>ify implications for marketing. Ongoing learning is required to maintain currency of knowledge and planning and organising skills are used to manage and prioritise information.</w:t>
            </w:r>
          </w:p>
        </w:tc>
      </w:tr>
    </w:tbl>
    <w:p w:rsidR="00000000" w:rsidRPr="00EC5FF7" w:rsidP="00EC5FF7">
      <w:pPr>
        <w:pStyle w:val="BodyText"/>
      </w:pPr>
    </w:p>
    <w:p w:rsidR="00000000" w:rsidRPr="00EC5FF7" w:rsidP="00EC5FF7">
      <w:pPr>
        <w:pStyle w:val="AllowPageBreak"/>
      </w:pPr>
    </w:p>
    <w:p w:rsidR="00000000" w:rsidRPr="00EC5FF7" w:rsidP="00EC5FF7">
      <w:pPr>
        <w:pStyle w:val="Heading1"/>
      </w:pPr>
      <w:bookmarkStart w:id="4" w:name="O_94866"/>
      <w:bookmarkEnd w:id="4"/>
      <w:r w:rsidRPr="00EC5FF7">
        <w:t>Licensing/Regulatory Information</w:t>
      </w:r>
    </w:p>
    <w:p w:rsidR="00000000" w:rsidRPr="00EC5FF7" w:rsidP="00EC5FF7">
      <w:pPr>
        <w:pStyle w:val="BodyText"/>
      </w:pPr>
      <w:r w:rsidRPr="00EC5FF7">
        <w:t>Not applicable.</w:t>
      </w:r>
    </w:p>
    <w:p w:rsidR="00000000" w:rsidRPr="00EC5FF7" w:rsidP="00EC5FF7">
      <w:pPr>
        <w:pStyle w:val="AllowPageBreak"/>
      </w:pPr>
    </w:p>
    <w:p w:rsidR="00000000" w:rsidRPr="00EC5FF7" w:rsidP="00EC5FF7">
      <w:pPr>
        <w:pStyle w:val="Heading1"/>
      </w:pPr>
      <w:bookmarkStart w:id="5" w:name="O_94867"/>
      <w:bookmarkEnd w:id="5"/>
      <w:r w:rsidRPr="00EC5FF7">
        <w:t>Pre-Requisites</w:t>
      </w:r>
    </w:p>
    <w:tbl>
      <w:tblPr>
        <w:tblW w:w="0" w:type="auto"/>
        <w:tblLayout w:type="fixed"/>
        <w:tblCellMar>
          <w:left w:w="62" w:type="dxa"/>
          <w:right w:w="62" w:type="dxa"/>
        </w:tblCellMar>
        <w:tblLook w:val="0000"/>
      </w:tblPr>
      <w:tblGrid>
        <w:gridCol w:w="2604"/>
        <w:gridCol w:w="6468"/>
      </w:tblGrid>
      <w:tr w:rsidTr="004B1BE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EC5FF7" w:rsidP="00EC5FF7">
            <w:pPr>
              <w:pStyle w:val="BodyText"/>
            </w:pPr>
          </w:p>
        </w:tc>
      </w:tr>
    </w:tbl>
    <w:p w:rsidR="00000000" w:rsidRPr="00EC5FF7" w:rsidP="00EC5FF7">
      <w:pPr>
        <w:pStyle w:val="BodyText"/>
      </w:pPr>
    </w:p>
    <w:p w:rsidR="00000000" w:rsidRPr="00EC5FF7" w:rsidP="00EC5FF7">
      <w:pPr>
        <w:pStyle w:val="AllowPageBreak"/>
      </w:pPr>
    </w:p>
    <w:p w:rsidR="00000000" w:rsidRPr="00EC5FF7" w:rsidP="00EC5FF7">
      <w:pPr>
        <w:pStyle w:val="Heading1"/>
      </w:pPr>
      <w:bookmarkStart w:id="6" w:name="O_94868"/>
      <w:bookmarkEnd w:id="6"/>
      <w:r w:rsidRPr="00EC5FF7">
        <w:t>Employability Skills Information</w:t>
      </w:r>
    </w:p>
    <w:tbl>
      <w:tblPr>
        <w:tblW w:w="0" w:type="auto"/>
        <w:tblLayout w:type="fixed"/>
        <w:tblCellMar>
          <w:left w:w="62" w:type="dxa"/>
          <w:right w:w="62" w:type="dxa"/>
        </w:tblCellMar>
        <w:tblLook w:val="0000"/>
      </w:tblPr>
      <w:tblGrid>
        <w:gridCol w:w="2269"/>
        <w:gridCol w:w="6803"/>
      </w:tblGrid>
      <w:tr w:rsidTr="004B1BE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BodyText"/>
            </w:pPr>
            <w:r w:rsidRPr="00EC5FF7">
              <w:t>This unit contains employability skills.</w:t>
            </w:r>
          </w:p>
        </w:tc>
      </w:tr>
    </w:tbl>
    <w:p w:rsidR="00000000" w:rsidRPr="00EC5FF7" w:rsidP="00EC5FF7">
      <w:pPr>
        <w:pStyle w:val="BodyText"/>
      </w:pPr>
    </w:p>
    <w:p w:rsidR="00000000" w:rsidRPr="00EC5FF7" w:rsidP="00EC5FF7">
      <w:pPr>
        <w:pStyle w:val="AllowPageBreak"/>
      </w:pPr>
    </w:p>
    <w:p w:rsidR="00000000" w:rsidRPr="00EC5FF7" w:rsidP="00EC5FF7">
      <w:pPr>
        <w:pStyle w:val="Heading1"/>
      </w:pPr>
      <w:bookmarkStart w:id="7" w:name="O_94869"/>
      <w:bookmarkEnd w:id="7"/>
      <w:r w:rsidRPr="00EC5FF7">
        <w:t>Elements and Performance Criteria Pre-Content</w:t>
      </w:r>
    </w:p>
    <w:p w:rsidR="00000000" w:rsidRPr="00EC5FF7" w:rsidP="00EC5FF7">
      <w:pPr>
        <w:pStyle w:val="BodyText"/>
      </w:pPr>
      <w:r w:rsidRPr="00EC5FF7">
        <w:t>Not applicable.</w:t>
      </w:r>
    </w:p>
    <w:p w:rsidR="00000000" w:rsidRPr="00EC5FF7" w:rsidP="00EC5FF7">
      <w:pPr>
        <w:pStyle w:val="AllowPageBreak"/>
      </w:pPr>
    </w:p>
    <w:p w:rsidR="00000000" w:rsidRPr="00EC5FF7" w:rsidP="00EC5FF7">
      <w:pPr>
        <w:pStyle w:val="Heading1"/>
      </w:pPr>
      <w:bookmarkStart w:id="8" w:name="O_94870"/>
      <w:bookmarkEnd w:id="8"/>
      <w:r w:rsidRPr="00EC5FF7">
        <w:t>Elements and Performance Criteria</w:t>
      </w:r>
    </w:p>
    <w:tbl>
      <w:tblPr>
        <w:tblW w:w="0" w:type="auto"/>
        <w:tblLayout w:type="fixed"/>
        <w:tblCellMar>
          <w:left w:w="62" w:type="dxa"/>
          <w:right w:w="62" w:type="dxa"/>
        </w:tblCellMar>
        <w:tblLook w:val="0000"/>
      </w:tblPr>
      <w:tblGrid>
        <w:gridCol w:w="2269"/>
        <w:gridCol w:w="6803"/>
      </w:tblGrid>
      <w:tr w:rsidTr="004B1BE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EC5FF7" w:rsidP="00EC5FF7">
            <w:pPr>
              <w:pStyle w:val="BodyText"/>
            </w:pPr>
            <w:r w:rsidRPr="00EC5FF7">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rPr>
                <w:rStyle w:val="SpecialBold"/>
              </w:rPr>
              <w:t>PERFORMANCE CRITERIA</w:t>
            </w:r>
          </w:p>
        </w:tc>
      </w:tr>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List"/>
              <w:rPr>
                <w:lang w:val="en-NZ"/>
              </w:rPr>
            </w:pPr>
            <w:r w:rsidRPr="00EC5FF7">
              <w:t>1</w:t>
            </w:r>
            <w:r w:rsidRPr="00EC5FF7">
              <w:tab/>
              <w:t>Analyse TCF market conditions</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List2"/>
            </w:pPr>
            <w:r w:rsidRPr="00EC5FF7">
              <w:t>1.1</w:t>
            </w:r>
            <w:r w:rsidRPr="00EC5FF7">
              <w:tab/>
            </w:r>
            <w:r w:rsidRPr="00EC5FF7">
              <w:rPr>
                <w:rStyle w:val="BoldandItalics"/>
              </w:rPr>
              <w:t>Domestic conditions</w:t>
            </w:r>
            <w:r w:rsidRPr="00EC5FF7">
              <w:t xml:space="preserve"> affecting the TCF market are analysed and effects of these conditions on the TCF industries are identified</w:t>
            </w:r>
          </w:p>
          <w:p w:rsidR="00000000" w:rsidRPr="00EC5FF7" w:rsidP="00EC5FF7">
            <w:pPr>
              <w:pStyle w:val="List2"/>
            </w:pPr>
            <w:r w:rsidRPr="00EC5FF7">
              <w:t>1.2</w:t>
            </w:r>
            <w:r w:rsidRPr="00EC5FF7">
              <w:tab/>
            </w:r>
            <w:r w:rsidRPr="00EC5FF7">
              <w:rPr>
                <w:rStyle w:val="BoldandItalics"/>
              </w:rPr>
              <w:t>Global conditions</w:t>
            </w:r>
            <w:r w:rsidRPr="00EC5FF7">
              <w:t xml:space="preserve"> affecti</w:t>
            </w:r>
            <w:r w:rsidRPr="00EC5FF7">
              <w:t>ng the TCF market are analysed and effects of these conditions on the TCF industries are identified</w:t>
            </w:r>
          </w:p>
          <w:p w:rsidR="00000000" w:rsidRPr="00EC5FF7" w:rsidP="00EC5FF7">
            <w:pPr>
              <w:pStyle w:val="List2"/>
            </w:pPr>
            <w:r w:rsidRPr="00EC5FF7">
              <w:t>1.3</w:t>
            </w:r>
            <w:r w:rsidRPr="00EC5FF7">
              <w:tab/>
              <w:t>Significance of TCF product range on the global market is analysed</w:t>
            </w:r>
          </w:p>
          <w:p w:rsidR="00000000" w:rsidRPr="00EC5FF7" w:rsidP="00EC5FF7">
            <w:pPr>
              <w:pStyle w:val="List2"/>
            </w:pPr>
            <w:r w:rsidRPr="00EC5FF7">
              <w:t>1.4</w:t>
            </w:r>
            <w:r w:rsidRPr="00EC5FF7">
              <w:tab/>
            </w:r>
            <w:r w:rsidRPr="00EC5FF7">
              <w:rPr>
                <w:rStyle w:val="BoldandItalics"/>
              </w:rPr>
              <w:t>Key components of the TCF supply chain</w:t>
            </w:r>
            <w:r w:rsidRPr="00EC5FF7">
              <w:t xml:space="preserve"> are identified and influences on supply ch</w:t>
            </w:r>
            <w:r w:rsidRPr="00EC5FF7">
              <w:t>ain conditions are analysed</w:t>
            </w:r>
          </w:p>
          <w:p w:rsidR="00000000" w:rsidRPr="00EC5FF7" w:rsidP="00EC5FF7">
            <w:pPr>
              <w:pStyle w:val="List2"/>
            </w:pPr>
            <w:r w:rsidRPr="00EC5FF7">
              <w:t>1.5</w:t>
            </w:r>
            <w:r w:rsidRPr="00EC5FF7">
              <w:tab/>
              <w:t>Features of mainstream and niche markets within the TCF market are examined</w:t>
            </w:r>
          </w:p>
          <w:p w:rsidR="00000000" w:rsidP="00EC5FF7">
            <w:pPr>
              <w:pStyle w:val="List2"/>
              <w:rPr>
                <w:lang w:val="en-NZ"/>
              </w:rPr>
            </w:pPr>
            <w:r w:rsidRPr="00EC5FF7">
              <w:t>1.6</w:t>
            </w:r>
            <w:r w:rsidRPr="00EC5FF7">
              <w:tab/>
              <w:t>Role of merchandising in the TCF marketplace is examined</w:t>
            </w:r>
          </w:p>
        </w:tc>
      </w:tr>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List"/>
              <w:rPr>
                <w:lang w:val="en-NZ"/>
              </w:rPr>
            </w:pPr>
            <w:r w:rsidRPr="00EC5FF7">
              <w:t>2</w:t>
            </w:r>
            <w:r w:rsidRPr="00EC5FF7">
              <w:tab/>
              <w:t xml:space="preserve">Analyse the characteristics of the TCF market </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List"/>
            </w:pPr>
            <w:r w:rsidRPr="00EC5FF7">
              <w:t>2.1</w:t>
            </w:r>
            <w:r w:rsidRPr="00EC5FF7">
              <w:tab/>
            </w:r>
            <w:r w:rsidRPr="00EC5FF7">
              <w:t>Current information on the TCF market is accessed and analysed to determine trends influencing TCF production and supply</w:t>
            </w:r>
          </w:p>
          <w:p w:rsidR="00000000" w:rsidRPr="00EC5FF7" w:rsidP="00EC5FF7">
            <w:pPr>
              <w:pStyle w:val="List2"/>
            </w:pPr>
            <w:r w:rsidRPr="00EC5FF7">
              <w:t>2.1</w:t>
            </w:r>
            <w:r w:rsidRPr="00EC5FF7">
              <w:tab/>
              <w:t>TCF market segmentation, targeting and price positioning are analysed for TCF product range</w:t>
            </w:r>
          </w:p>
          <w:p w:rsidR="00000000" w:rsidRPr="00EC5FF7" w:rsidP="00EC5FF7">
            <w:pPr>
              <w:pStyle w:val="List2"/>
            </w:pPr>
            <w:r w:rsidRPr="00EC5FF7">
              <w:t>2.2</w:t>
            </w:r>
            <w:r w:rsidRPr="00EC5FF7">
              <w:tab/>
            </w:r>
            <w:r w:rsidRPr="00EC5FF7">
              <w:rPr>
                <w:rStyle w:val="BoldandItalics"/>
              </w:rPr>
              <w:t>Key characteristics</w:t>
            </w:r>
            <w:r w:rsidRPr="00EC5FF7">
              <w:t xml:space="preserve"> of TCF market s</w:t>
            </w:r>
            <w:r w:rsidRPr="00EC5FF7">
              <w:t xml:space="preserve">egments are identified and implications for marketing activity examined </w:t>
            </w:r>
          </w:p>
          <w:p w:rsidR="00000000" w:rsidP="00EC5FF7">
            <w:pPr>
              <w:pStyle w:val="List2"/>
              <w:rPr>
                <w:lang w:val="en-NZ"/>
              </w:rPr>
            </w:pPr>
            <w:r w:rsidRPr="00EC5FF7">
              <w:t>2.3</w:t>
            </w:r>
            <w:r w:rsidRPr="00EC5FF7">
              <w:tab/>
              <w:t>Consumer behavior for TCF product range is analysed</w:t>
            </w:r>
          </w:p>
        </w:tc>
      </w:tr>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List"/>
              <w:rPr>
                <w:lang w:val="en-NZ"/>
              </w:rPr>
            </w:pPr>
            <w:r w:rsidRPr="00EC5FF7">
              <w:t>3</w:t>
            </w:r>
            <w:r w:rsidRPr="00EC5FF7">
              <w:tab/>
              <w:t xml:space="preserve">Determine marketing features of a TCF product </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List"/>
            </w:pPr>
            <w:r w:rsidRPr="00EC5FF7">
              <w:t>3.1</w:t>
            </w:r>
            <w:r w:rsidRPr="00EC5FF7">
              <w:tab/>
              <w:t>Technical specifications of a TCF product are identified and implications</w:t>
            </w:r>
            <w:r w:rsidRPr="00EC5FF7">
              <w:t xml:space="preserve"> for market positioning determined</w:t>
            </w:r>
          </w:p>
          <w:p w:rsidR="00000000" w:rsidRPr="00EC5FF7" w:rsidP="00EC5FF7">
            <w:pPr>
              <w:pStyle w:val="List"/>
            </w:pPr>
            <w:r w:rsidRPr="00EC5FF7">
              <w:t>3.2</w:t>
            </w:r>
            <w:r w:rsidRPr="00EC5FF7">
              <w:tab/>
              <w:t>Role of creativity in the marketing of TCF products is analysed</w:t>
            </w:r>
          </w:p>
          <w:p w:rsidR="00000000" w:rsidRPr="00EC5FF7" w:rsidP="00EC5FF7">
            <w:pPr>
              <w:pStyle w:val="List"/>
            </w:pPr>
            <w:r w:rsidRPr="00EC5FF7">
              <w:t>3.3</w:t>
            </w:r>
            <w:r w:rsidRPr="00EC5FF7">
              <w:tab/>
              <w:t>Networks applying to the marketing and merchandising of a TCF product are identified</w:t>
            </w:r>
          </w:p>
          <w:p w:rsidR="00000000" w:rsidRPr="00EC5FF7" w:rsidP="00EC5FF7">
            <w:pPr>
              <w:pStyle w:val="List"/>
            </w:pPr>
            <w:r w:rsidRPr="00EC5FF7">
              <w:t>3.4</w:t>
            </w:r>
            <w:r w:rsidRPr="00EC5FF7">
              <w:tab/>
              <w:t>Strengths, weaknesses, opportunities and threats applying to</w:t>
            </w:r>
            <w:r w:rsidRPr="00EC5FF7">
              <w:t xml:space="preserve"> a TCF product are identified and implications for marketing examined</w:t>
            </w:r>
          </w:p>
        </w:tc>
      </w:tr>
    </w:tbl>
    <w:p w:rsidR="00000000" w:rsidRPr="00EC5FF7" w:rsidP="00EC5FF7">
      <w:pPr>
        <w:pStyle w:val="BodyText"/>
      </w:pPr>
    </w:p>
    <w:p w:rsidR="00000000" w:rsidRPr="00EC5FF7" w:rsidP="00EC5FF7">
      <w:pPr>
        <w:pStyle w:val="AllowPageBreak"/>
      </w:pPr>
    </w:p>
    <w:p w:rsidR="00000000" w:rsidRPr="00EC5FF7" w:rsidP="00EC5FF7">
      <w:pPr>
        <w:pStyle w:val="Heading1"/>
      </w:pPr>
      <w:bookmarkStart w:id="9" w:name="O_94871"/>
      <w:bookmarkEnd w:id="9"/>
      <w:r w:rsidRPr="00EC5FF7">
        <w:t>Required Skills and Knowledge</w:t>
      </w:r>
    </w:p>
    <w:tbl>
      <w:tblPr>
        <w:tblW w:w="0" w:type="auto"/>
        <w:tblLayout w:type="fixed"/>
        <w:tblCellMar>
          <w:left w:w="62" w:type="dxa"/>
          <w:right w:w="62" w:type="dxa"/>
        </w:tblCellMar>
        <w:tblLook w:val="0000"/>
      </w:tblPr>
      <w:tblGrid>
        <w:gridCol w:w="9072"/>
      </w:tblGrid>
      <w:tr w:rsidTr="004B1BE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rPr>
                <w:rStyle w:val="SpecialBold"/>
              </w:rPr>
              <w:t>REQUIRED SKILLS AND KNOWLEDGE</w:t>
            </w:r>
          </w:p>
        </w:tc>
      </w:tr>
      <w:tr w:rsidTr="004B1B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t>This describes the essential skills and knowledge and their level, required for this unit</w:t>
            </w:r>
          </w:p>
        </w:tc>
      </w:tr>
      <w:tr w:rsidTr="004B1B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C5FF7" w:rsidP="00EC5FF7">
            <w:pPr>
              <w:pStyle w:val="BodyText"/>
            </w:pPr>
            <w:r w:rsidRPr="00EC5FF7">
              <w:t>Demonstrates knowledge of:</w:t>
            </w:r>
          </w:p>
          <w:p w:rsidR="00000000" w:rsidRPr="00EC5FF7" w:rsidP="00EC5FF7">
            <w:pPr>
              <w:pStyle w:val="ListBullet"/>
            </w:pPr>
            <w:r w:rsidRPr="00EC5FF7">
              <w:t>domestic TCF market characteristics</w:t>
            </w:r>
          </w:p>
          <w:p w:rsidR="00000000" w:rsidRPr="00EC5FF7" w:rsidP="00EC5FF7">
            <w:pPr>
              <w:pStyle w:val="ListBullet"/>
            </w:pPr>
            <w:r w:rsidRPr="00EC5FF7">
              <w:t>global TCF market characteristics</w:t>
            </w:r>
          </w:p>
          <w:p w:rsidR="00000000" w:rsidRPr="00EC5FF7" w:rsidP="00EC5FF7">
            <w:pPr>
              <w:pStyle w:val="ListBullet"/>
            </w:pPr>
            <w:r w:rsidRPr="00EC5FF7">
              <w:t>the inter-relationship between domestic and global markets</w:t>
            </w:r>
          </w:p>
          <w:p w:rsidR="00000000" w:rsidRPr="00EC5FF7" w:rsidP="00EC5FF7">
            <w:pPr>
              <w:pStyle w:val="ListBullet"/>
            </w:pPr>
            <w:r w:rsidRPr="00EC5FF7">
              <w:t>the range of products available in the TCF Industry</w:t>
            </w:r>
          </w:p>
          <w:p w:rsidR="00000000" w:rsidRPr="00EC5FF7" w:rsidP="00EC5FF7">
            <w:pPr>
              <w:pStyle w:val="ListBullet"/>
            </w:pPr>
            <w:r w:rsidRPr="00EC5FF7">
              <w:t>the segmentation of the TCF market</w:t>
            </w:r>
          </w:p>
          <w:p w:rsidR="00000000" w:rsidRPr="00EC5FF7" w:rsidP="00EC5FF7">
            <w:pPr>
              <w:pStyle w:val="ListBullet"/>
            </w:pPr>
            <w:r w:rsidRPr="00EC5FF7">
              <w:t xml:space="preserve">demographics </w:t>
            </w:r>
            <w:r w:rsidRPr="00EC5FF7">
              <w:t xml:space="preserve">of the TCF consumer  </w:t>
            </w:r>
          </w:p>
          <w:p w:rsidR="00000000" w:rsidRPr="00EC5FF7" w:rsidP="00EC5FF7">
            <w:pPr>
              <w:pStyle w:val="ListBullet"/>
            </w:pPr>
            <w:r w:rsidRPr="00EC5FF7">
              <w:t>technical aspects of TCF product</w:t>
            </w:r>
          </w:p>
          <w:p w:rsidR="00000000" w:rsidRPr="00EC5FF7" w:rsidP="00EC5FF7">
            <w:pPr>
              <w:pStyle w:val="ListBullet"/>
            </w:pPr>
            <w:r w:rsidRPr="00EC5FF7">
              <w:t>OHS practices, including hazard identification and control measures</w:t>
            </w:r>
          </w:p>
          <w:p w:rsidR="00000000" w:rsidRPr="00EC5FF7" w:rsidP="00EC5FF7">
            <w:pPr>
              <w:pStyle w:val="ListBullet"/>
            </w:pPr>
            <w:r w:rsidRPr="00EC5FF7">
              <w:t>quality practices</w:t>
            </w:r>
          </w:p>
          <w:p w:rsidR="00000000" w:rsidRPr="00EC5FF7" w:rsidP="00EC5FF7">
            <w:pPr>
              <w:pStyle w:val="ListBullet"/>
            </w:pPr>
            <w:r w:rsidRPr="00EC5FF7">
              <w:t>workplace practices</w:t>
            </w:r>
          </w:p>
          <w:p w:rsidR="00000000" w:rsidP="00EC5FF7">
            <w:pPr>
              <w:pStyle w:val="ListBullet"/>
              <w:rPr>
                <w:lang w:val="en-NZ"/>
              </w:rPr>
            </w:pPr>
            <w:r w:rsidRPr="00EC5FF7">
              <w:t>recording and reporting practices</w:t>
            </w:r>
          </w:p>
        </w:tc>
      </w:tr>
      <w:tr w:rsidTr="004B1B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C5FF7" w:rsidP="00EC5FF7">
            <w:pPr>
              <w:pStyle w:val="BodyText"/>
            </w:pPr>
            <w:r w:rsidRPr="00EC5FF7">
              <w:t>Demonstrates skill to:</w:t>
            </w:r>
          </w:p>
          <w:p w:rsidR="00000000" w:rsidRPr="00EC5FF7" w:rsidP="00EC5FF7">
            <w:pPr>
              <w:pStyle w:val="ListBullet"/>
            </w:pPr>
            <w:r w:rsidRPr="00EC5FF7">
              <w:t>access and analyse information on TCF markets</w:t>
            </w:r>
          </w:p>
          <w:p w:rsidR="00000000" w:rsidRPr="00EC5FF7" w:rsidP="00EC5FF7">
            <w:pPr>
              <w:pStyle w:val="ListBullet"/>
            </w:pPr>
            <w:r w:rsidRPr="00EC5FF7">
              <w:t>maintain accurate records</w:t>
            </w:r>
          </w:p>
          <w:p w:rsidR="00000000" w:rsidRPr="00EC5FF7" w:rsidP="00EC5FF7">
            <w:pPr>
              <w:pStyle w:val="ListBullet"/>
            </w:pPr>
            <w:r w:rsidRPr="00EC5FF7">
              <w:t xml:space="preserve">use computer and internet systems </w:t>
            </w:r>
          </w:p>
          <w:p w:rsidR="00000000" w:rsidRPr="00EC5FF7" w:rsidP="00EC5FF7">
            <w:pPr>
              <w:pStyle w:val="ListBullet"/>
            </w:pPr>
            <w:r w:rsidRPr="00EC5FF7">
              <w:t>maintain accurate records</w:t>
            </w:r>
          </w:p>
          <w:p w:rsidR="00000000" w:rsidRPr="00EC5FF7" w:rsidP="00EC5FF7">
            <w:pPr>
              <w:pStyle w:val="ListBullet"/>
            </w:pPr>
            <w:r w:rsidRPr="00EC5FF7">
              <w:t>communicate within the workplace</w:t>
            </w:r>
          </w:p>
          <w:p w:rsidR="00000000" w:rsidRPr="00EC5FF7" w:rsidP="00EC5FF7">
            <w:pPr>
              <w:pStyle w:val="ListBullet"/>
            </w:pPr>
            <w:r w:rsidRPr="00EC5FF7">
              <w:t>sequence operations</w:t>
            </w:r>
          </w:p>
          <w:p w:rsidR="00000000" w:rsidRPr="00EC5FF7" w:rsidP="00EC5FF7">
            <w:pPr>
              <w:pStyle w:val="ListBullet"/>
            </w:pPr>
            <w:r w:rsidRPr="00EC5FF7">
              <w:t>meet specifications</w:t>
            </w:r>
          </w:p>
          <w:p w:rsidR="00000000" w:rsidRPr="00EC5FF7" w:rsidP="00EC5FF7">
            <w:pPr>
              <w:pStyle w:val="ListBullet"/>
            </w:pPr>
            <w:r w:rsidRPr="00EC5FF7">
              <w:t>clarify and check task-related information</w:t>
            </w:r>
          </w:p>
          <w:p w:rsidR="00000000" w:rsidRPr="00EC5FF7" w:rsidP="00EC5FF7">
            <w:pPr>
              <w:pStyle w:val="ListBullet"/>
            </w:pPr>
            <w:r w:rsidRPr="00EC5FF7">
              <w:t>carry o</w:t>
            </w:r>
            <w:r w:rsidRPr="00EC5FF7">
              <w:t>ut work according to OHS practices</w:t>
            </w:r>
          </w:p>
        </w:tc>
      </w:tr>
    </w:tbl>
    <w:p w:rsidR="00000000" w:rsidRPr="00EC5FF7" w:rsidP="00EC5FF7">
      <w:pPr>
        <w:pStyle w:val="BodyText"/>
      </w:pPr>
    </w:p>
    <w:p w:rsidR="00000000" w:rsidRPr="00EC5FF7" w:rsidP="00EC5FF7">
      <w:pPr>
        <w:pStyle w:val="AllowPageBreak"/>
      </w:pPr>
    </w:p>
    <w:p w:rsidR="00000000" w:rsidRPr="00EC5FF7" w:rsidP="00EC5FF7">
      <w:pPr>
        <w:pStyle w:val="Heading1"/>
      </w:pPr>
      <w:bookmarkStart w:id="10" w:name="O_94872"/>
      <w:bookmarkEnd w:id="10"/>
      <w:r w:rsidRPr="00EC5FF7">
        <w:t>Evidence Guide</w:t>
      </w:r>
    </w:p>
    <w:tbl>
      <w:tblPr>
        <w:tblW w:w="0" w:type="auto"/>
        <w:tblLayout w:type="fixed"/>
        <w:tblCellMar>
          <w:left w:w="62" w:type="dxa"/>
          <w:right w:w="62" w:type="dxa"/>
        </w:tblCellMar>
        <w:tblLook w:val="0000"/>
      </w:tblPr>
      <w:tblGrid>
        <w:gridCol w:w="2269"/>
        <w:gridCol w:w="6803"/>
      </w:tblGrid>
      <w:tr w:rsidTr="004B1B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EC5FF7" w:rsidP="00EC5FF7">
            <w:pPr>
              <w:pStyle w:val="BodyText"/>
              <w:rPr>
                <w:rStyle w:val="SpecialBold"/>
              </w:rPr>
            </w:pPr>
          </w:p>
          <w:p w:rsidR="00000000" w:rsidP="00EC5FF7">
            <w:pPr>
              <w:pStyle w:val="BodyText"/>
              <w:rPr>
                <w:rFonts w:ascii="Tahoma" w:hAnsi="Tahoma"/>
                <w:lang w:val="en-NZ"/>
              </w:rPr>
            </w:pPr>
            <w:r w:rsidRPr="00EC5FF7">
              <w:t>The Evidence Guide provides advice on assessment and must be read in conjunction with the Performance Criteria, Required Skills and Knowledge, the Range Statement and the Assessment Guidel</w:t>
            </w:r>
            <w:r w:rsidRPr="00EC5FF7">
              <w:t>ines for the Training Package.</w:t>
            </w:r>
          </w:p>
        </w:tc>
      </w:tr>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rPr>
                <w:rStyle w:val="SpecialBold"/>
              </w:rPr>
              <w:t>Critical aspects of evidence to be considered</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BodyText"/>
            </w:pPr>
            <w:r w:rsidRPr="00EC5FF7">
              <w:t>Demonstrates skills and knowledge to:</w:t>
            </w:r>
          </w:p>
          <w:p w:rsidR="00000000" w:rsidRPr="00EC5FF7" w:rsidP="00EC5FF7">
            <w:pPr>
              <w:pStyle w:val="ListBullet"/>
            </w:pPr>
            <w:r w:rsidRPr="00EC5FF7">
              <w:t>access and interpret TCF marketing information</w:t>
            </w:r>
          </w:p>
          <w:p w:rsidR="00000000" w:rsidRPr="00EC5FF7" w:rsidP="00EC5FF7">
            <w:pPr>
              <w:pStyle w:val="ListBullet"/>
            </w:pPr>
            <w:r w:rsidRPr="00EC5FF7">
              <w:t>distinguish between different TCF market segments</w:t>
            </w:r>
          </w:p>
          <w:p w:rsidR="00000000" w:rsidRPr="00EC5FF7" w:rsidP="00EC5FF7">
            <w:pPr>
              <w:pStyle w:val="ListBullet"/>
            </w:pPr>
            <w:r w:rsidRPr="00EC5FF7">
              <w:t>examine application of  marketin</w:t>
            </w:r>
            <w:r w:rsidRPr="00EC5FF7">
              <w:t>g principles in a TCF context</w:t>
            </w:r>
          </w:p>
          <w:p w:rsidR="00000000" w:rsidRPr="00EC5FF7" w:rsidP="00EC5FF7">
            <w:pPr>
              <w:pStyle w:val="ListBullet"/>
            </w:pPr>
            <w:r w:rsidRPr="00EC5FF7">
              <w:t>identify trends in buyer behaviour in the TCF industry</w:t>
            </w:r>
          </w:p>
          <w:p w:rsidR="00000000" w:rsidRPr="00EC5FF7" w:rsidP="00EC5FF7">
            <w:pPr>
              <w:pStyle w:val="ListBullet"/>
            </w:pPr>
            <w:r w:rsidRPr="00EC5FF7">
              <w:t>understand the relationship between the domestic and global TCF markets</w:t>
            </w:r>
          </w:p>
          <w:p w:rsidR="00000000" w:rsidP="00EC5FF7">
            <w:pPr>
              <w:pStyle w:val="ListBullet"/>
              <w:rPr>
                <w:lang w:val="en-NZ"/>
              </w:rPr>
            </w:pPr>
            <w:r w:rsidRPr="00EC5FF7">
              <w:t>identify marketing features of a TCF product</w:t>
            </w:r>
          </w:p>
        </w:tc>
      </w:tr>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BodyText"/>
            </w:pPr>
            <w:r w:rsidRPr="00EC5FF7">
              <w:t>Consistently applies skill</w:t>
            </w:r>
            <w:r w:rsidRPr="00EC5FF7">
              <w:t>s and knowledge when:</w:t>
            </w:r>
          </w:p>
          <w:p w:rsidR="00000000" w:rsidRPr="00EC5FF7" w:rsidP="00EC5FF7">
            <w:pPr>
              <w:pStyle w:val="ListBullet"/>
            </w:pPr>
            <w:r w:rsidRPr="00EC5FF7">
              <w:t>organising work</w:t>
            </w:r>
          </w:p>
          <w:p w:rsidR="00000000" w:rsidRPr="00EC5FF7" w:rsidP="00EC5FF7">
            <w:pPr>
              <w:pStyle w:val="ListBullet"/>
            </w:pPr>
            <w:r w:rsidRPr="00EC5FF7">
              <w:t>completing tasks</w:t>
            </w:r>
          </w:p>
          <w:p w:rsidR="00000000" w:rsidRPr="00EC5FF7" w:rsidP="00EC5FF7">
            <w:pPr>
              <w:pStyle w:val="ListBullet"/>
            </w:pPr>
            <w:r w:rsidRPr="00EC5FF7">
              <w:t>identifying improvements</w:t>
            </w:r>
          </w:p>
          <w:p w:rsidR="00000000" w:rsidRPr="00EC5FF7" w:rsidP="00EC5FF7">
            <w:pPr>
              <w:pStyle w:val="ListBullet"/>
            </w:pPr>
            <w:r w:rsidRPr="00EC5FF7">
              <w:t>using workplace practices</w:t>
            </w:r>
          </w:p>
          <w:p w:rsidR="00000000" w:rsidRPr="00EC5FF7" w:rsidP="00EC5FF7">
            <w:pPr>
              <w:pStyle w:val="ListBullet"/>
            </w:pPr>
            <w:r w:rsidRPr="00EC5FF7">
              <w:t>using OHS practices</w:t>
            </w:r>
          </w:p>
          <w:p w:rsidR="00000000" w:rsidRPr="00EC5FF7" w:rsidP="00EC5FF7">
            <w:pPr>
              <w:pStyle w:val="ListBullet"/>
            </w:pPr>
            <w:r w:rsidRPr="00EC5FF7">
              <w:t>recording and reporting accidents and incidents</w:t>
            </w:r>
          </w:p>
          <w:p w:rsidR="00000000" w:rsidRPr="00EC5FF7" w:rsidP="00EC5FF7">
            <w:pPr>
              <w:pStyle w:val="ListBullet"/>
            </w:pPr>
            <w:r w:rsidRPr="00EC5FF7">
              <w:t>assessing operational readiness of equipment used and work processes</w:t>
            </w:r>
          </w:p>
          <w:p w:rsidR="00000000" w:rsidRPr="00EC5FF7" w:rsidP="00EC5FF7">
            <w:pPr>
              <w:pStyle w:val="ListBullet"/>
            </w:pPr>
            <w:r w:rsidRPr="00EC5FF7">
              <w:t>recognising and adapting to cultural differences in the workplace, including modes of behaviour and interactions</w:t>
            </w:r>
          </w:p>
          <w:p w:rsidR="00000000" w:rsidP="00EC5FF7">
            <w:pPr>
              <w:pStyle w:val="ListBullet"/>
              <w:rPr>
                <w:lang w:val="en-NZ"/>
              </w:rPr>
            </w:pPr>
            <w:r w:rsidRPr="00EC5FF7">
              <w:t>completing work systematically with attention to detail without damage to goods and equipment</w:t>
            </w:r>
          </w:p>
        </w:tc>
      </w:tr>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t>Access is required to real</w:t>
            </w:r>
            <w:r w:rsidRPr="00EC5FF7">
              <w:t xml:space="preserve"> or appropriately simulated situations, including work areas, materials and equipment, and to information on workplace practices and OHS practices.</w:t>
            </w:r>
          </w:p>
        </w:tc>
      </w:tr>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t>Assessment may occur on the job or in an appropriately simulated environment.</w:t>
            </w:r>
          </w:p>
        </w:tc>
      </w:tr>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rPr>
                <w:rStyle w:val="SpecialBold"/>
              </w:rPr>
              <w:t>Inter</w:t>
            </w:r>
            <w:r w:rsidRPr="00EC5FF7">
              <w:rPr>
                <w:rStyle w:val="SpecialBold"/>
              </w:rPr>
              <w:t>dependent assessment</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BodyText"/>
            </w:pPr>
            <w:r w:rsidRPr="00EC5FF7">
              <w:t>This unit may be assessed independently or in combination with other relevant units.</w:t>
            </w:r>
          </w:p>
        </w:tc>
      </w:tr>
    </w:tbl>
    <w:p w:rsidR="00000000" w:rsidRPr="00EC5FF7" w:rsidP="00EC5FF7">
      <w:pPr>
        <w:pStyle w:val="BodyText"/>
      </w:pPr>
    </w:p>
    <w:p w:rsidR="00000000" w:rsidRPr="00EC5FF7" w:rsidP="00EC5FF7">
      <w:pPr>
        <w:pStyle w:val="AllowPageBreak"/>
      </w:pPr>
    </w:p>
    <w:p w:rsidR="00000000" w:rsidRPr="00EC5FF7" w:rsidP="00EC5FF7">
      <w:pPr>
        <w:pStyle w:val="Heading1"/>
      </w:pPr>
      <w:bookmarkStart w:id="11" w:name="O_94873"/>
      <w:bookmarkEnd w:id="11"/>
      <w:r w:rsidRPr="00EC5FF7">
        <w:t>Range Statement</w:t>
      </w:r>
    </w:p>
    <w:tbl>
      <w:tblPr>
        <w:tblW w:w="0" w:type="auto"/>
        <w:tblLayout w:type="fixed"/>
        <w:tblCellMar>
          <w:left w:w="62" w:type="dxa"/>
          <w:right w:w="62" w:type="dxa"/>
        </w:tblCellMar>
        <w:tblLook w:val="0000"/>
      </w:tblPr>
      <w:tblGrid>
        <w:gridCol w:w="2269"/>
        <w:gridCol w:w="6803"/>
      </w:tblGrid>
      <w:tr w:rsidTr="004B1B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EC5FF7" w:rsidP="00EC5FF7">
            <w:pPr>
              <w:pStyle w:val="BodyText"/>
            </w:pPr>
            <w:r w:rsidRPr="00EC5FF7">
              <w:rPr>
                <w:rStyle w:val="SpecialBold"/>
              </w:rPr>
              <w:t>RANGE STATEMENT</w:t>
            </w:r>
          </w:p>
          <w:p w:rsidR="00000000" w:rsidP="00EC5FF7">
            <w:pPr>
              <w:pStyle w:val="BodyText"/>
              <w:rPr>
                <w:lang w:val="en-NZ"/>
              </w:rPr>
            </w:pPr>
            <w:r w:rsidRPr="00EC5FF7">
              <w:t>The Range Statement relates to the unit of competency as a whole. It allows for different work environments and situations that may affect performance. Bold italicised wording, if used in the Performance Criteria, is detailed below. Add any essential opera</w:t>
            </w:r>
            <w:r w:rsidRPr="00EC5FF7">
              <w:t>ting conditions that may be present with training and assessment depending on the work situation, needs if the candidate, accessibility of the item, and local industry and regional contexts.</w:t>
            </w:r>
          </w:p>
        </w:tc>
      </w:tr>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t>All work must comply with r</w:t>
            </w:r>
            <w:r w:rsidRPr="00EC5FF7">
              <w:t>elevant Federal and State or Territory legislative or regulatory requirements.</w:t>
            </w:r>
          </w:p>
        </w:tc>
      </w:tr>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t>Domestic conditions may include:</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ListBullet"/>
            </w:pPr>
            <w:r w:rsidRPr="00EC5FF7">
              <w:t>availability of raw material</w:t>
            </w:r>
          </w:p>
          <w:p w:rsidR="00000000" w:rsidRPr="00EC5FF7" w:rsidP="00EC5FF7">
            <w:pPr>
              <w:pStyle w:val="ListBullet"/>
            </w:pPr>
            <w:r w:rsidRPr="00EC5FF7">
              <w:t>tariff agreements</w:t>
            </w:r>
          </w:p>
          <w:p w:rsidR="00000000" w:rsidRPr="00EC5FF7" w:rsidP="00EC5FF7">
            <w:pPr>
              <w:pStyle w:val="ListBullet"/>
            </w:pPr>
            <w:r w:rsidRPr="00EC5FF7">
              <w:t>costs of transportation</w:t>
            </w:r>
          </w:p>
          <w:p w:rsidR="00000000" w:rsidRPr="00EC5FF7" w:rsidP="00EC5FF7">
            <w:pPr>
              <w:pStyle w:val="ListBullet"/>
            </w:pPr>
            <w:r w:rsidRPr="00EC5FF7">
              <w:t>employment rates, skill availability and training support</w:t>
            </w:r>
          </w:p>
          <w:p w:rsidR="00000000" w:rsidRPr="00EC5FF7" w:rsidP="00EC5FF7">
            <w:pPr>
              <w:pStyle w:val="ListBullet"/>
            </w:pPr>
            <w:r w:rsidRPr="00EC5FF7">
              <w:t>status of businesses within the supply chain</w:t>
            </w:r>
          </w:p>
          <w:p w:rsidR="00000000" w:rsidRPr="00EC5FF7" w:rsidP="00EC5FF7">
            <w:pPr>
              <w:pStyle w:val="ListBullet"/>
            </w:pPr>
            <w:r w:rsidRPr="00EC5FF7">
              <w:t>image of Australia as a provider of quality, cost effective TCF products</w:t>
            </w:r>
          </w:p>
          <w:p w:rsidR="00000000" w:rsidP="00EC5FF7">
            <w:pPr>
              <w:pStyle w:val="ListBullet"/>
              <w:rPr>
                <w:lang w:val="en-NZ"/>
              </w:rPr>
            </w:pPr>
            <w:r w:rsidRPr="00EC5FF7">
              <w:t>economic status</w:t>
            </w:r>
          </w:p>
        </w:tc>
      </w:tr>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t>Global conditions may include:</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ListBullet"/>
            </w:pPr>
            <w:r w:rsidRPr="00EC5FF7">
              <w:t>availability of raw material</w:t>
            </w:r>
          </w:p>
          <w:p w:rsidR="00000000" w:rsidRPr="00EC5FF7" w:rsidP="00EC5FF7">
            <w:pPr>
              <w:pStyle w:val="ListBullet"/>
            </w:pPr>
            <w:r w:rsidRPr="00EC5FF7">
              <w:t>tariffs, levies, taxes and other import and export considerat</w:t>
            </w:r>
            <w:r w:rsidRPr="00EC5FF7">
              <w:t>ions</w:t>
            </w:r>
          </w:p>
          <w:p w:rsidR="00000000" w:rsidRPr="00EC5FF7" w:rsidP="00EC5FF7">
            <w:pPr>
              <w:pStyle w:val="ListBullet"/>
            </w:pPr>
            <w:r w:rsidRPr="00EC5FF7">
              <w:t>costs of transportation for importing and exporting product to and from Australia</w:t>
            </w:r>
          </w:p>
          <w:p w:rsidR="00000000" w:rsidRPr="00EC5FF7" w:rsidP="00EC5FF7">
            <w:pPr>
              <w:pStyle w:val="ListBullet"/>
            </w:pPr>
            <w:r w:rsidRPr="00EC5FF7">
              <w:t>skill availability and labour forces</w:t>
            </w:r>
          </w:p>
          <w:p w:rsidR="00000000" w:rsidRPr="00EC5FF7" w:rsidP="00EC5FF7">
            <w:pPr>
              <w:pStyle w:val="ListBullet"/>
            </w:pPr>
            <w:r w:rsidRPr="00EC5FF7">
              <w:t>size and influence of international interests</w:t>
            </w:r>
          </w:p>
          <w:p w:rsidR="00000000" w:rsidRPr="00EC5FF7" w:rsidP="00EC5FF7">
            <w:pPr>
              <w:pStyle w:val="ListBullet"/>
            </w:pPr>
            <w:r w:rsidRPr="00EC5FF7">
              <w:t>image of Australia as a provider of quality, cost effective TCF products</w:t>
            </w:r>
          </w:p>
          <w:p w:rsidR="00000000" w:rsidP="00EC5FF7">
            <w:pPr>
              <w:pStyle w:val="ListBullet"/>
              <w:rPr>
                <w:lang w:val="en-NZ"/>
              </w:rPr>
            </w:pPr>
            <w:r w:rsidRPr="00EC5FF7">
              <w:t>economic stat</w:t>
            </w:r>
            <w:r w:rsidRPr="00EC5FF7">
              <w:t>us</w:t>
            </w:r>
          </w:p>
        </w:tc>
      </w:tr>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t>Key components of the TCF supply chain</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ListBullet"/>
            </w:pPr>
            <w:r w:rsidRPr="00EC5FF7">
              <w:t>designers and product engineers</w:t>
            </w:r>
          </w:p>
          <w:p w:rsidR="00000000" w:rsidRPr="00EC5FF7" w:rsidP="00EC5FF7">
            <w:pPr>
              <w:pStyle w:val="ListBullet"/>
            </w:pPr>
            <w:r w:rsidRPr="00EC5FF7">
              <w:t>manufacturers</w:t>
            </w:r>
          </w:p>
          <w:p w:rsidR="00000000" w:rsidRPr="00EC5FF7" w:rsidP="00EC5FF7">
            <w:pPr>
              <w:pStyle w:val="ListBullet"/>
            </w:pPr>
            <w:r w:rsidRPr="00EC5FF7">
              <w:t>distributors, wholesalers, exporters, importers</w:t>
            </w:r>
          </w:p>
          <w:p w:rsidR="00000000" w:rsidRPr="00EC5FF7" w:rsidP="00EC5FF7">
            <w:pPr>
              <w:pStyle w:val="ListBullet"/>
            </w:pPr>
            <w:r w:rsidRPr="00EC5FF7">
              <w:t>transporters</w:t>
            </w:r>
          </w:p>
          <w:p w:rsidR="00000000" w:rsidP="00EC5FF7">
            <w:pPr>
              <w:pStyle w:val="ListBullet"/>
              <w:rPr>
                <w:lang w:val="en-NZ"/>
              </w:rPr>
            </w:pPr>
            <w:r w:rsidRPr="00EC5FF7">
              <w:t>sales, marketing, retail providers</w:t>
            </w:r>
          </w:p>
        </w:tc>
      </w:tr>
      <w:tr w:rsidTr="004B1BE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t>Key characteristics may include:</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ListBullet"/>
            </w:pPr>
            <w:r w:rsidRPr="00EC5FF7">
              <w:t>demographics</w:t>
            </w:r>
          </w:p>
          <w:p w:rsidR="00000000" w:rsidRPr="00EC5FF7" w:rsidP="00EC5FF7">
            <w:pPr>
              <w:pStyle w:val="ListBullet"/>
            </w:pPr>
            <w:r w:rsidRPr="00EC5FF7">
              <w:t>economics</w:t>
            </w:r>
          </w:p>
          <w:p w:rsidR="00000000" w:rsidRPr="00EC5FF7" w:rsidP="00EC5FF7">
            <w:pPr>
              <w:pStyle w:val="ListBullet"/>
            </w:pPr>
            <w:r w:rsidRPr="00EC5FF7">
              <w:t>location</w:t>
            </w:r>
          </w:p>
          <w:p w:rsidR="00000000" w:rsidRPr="00EC5FF7" w:rsidP="00EC5FF7">
            <w:pPr>
              <w:pStyle w:val="ListBullet"/>
            </w:pPr>
            <w:r w:rsidRPr="00EC5FF7">
              <w:t xml:space="preserve">education </w:t>
            </w:r>
          </w:p>
        </w:tc>
      </w:tr>
    </w:tbl>
    <w:p w:rsidR="00000000" w:rsidRPr="00EC5FF7" w:rsidP="00EC5FF7">
      <w:pPr>
        <w:pStyle w:val="BodyText"/>
      </w:pPr>
    </w:p>
    <w:p w:rsidR="00000000" w:rsidRPr="00EC5FF7" w:rsidP="00EC5FF7">
      <w:pPr>
        <w:pStyle w:val="AllowPageBreak"/>
      </w:pPr>
    </w:p>
    <w:p w:rsidR="00000000" w:rsidRPr="00EC5FF7" w:rsidP="00EC5FF7">
      <w:pPr>
        <w:pStyle w:val="Heading1"/>
      </w:pPr>
      <w:bookmarkStart w:id="12" w:name="O_94874"/>
      <w:bookmarkEnd w:id="12"/>
      <w:r w:rsidRPr="00EC5FF7">
        <w:t>Unit Sector(s)</w:t>
      </w:r>
    </w:p>
    <w:tbl>
      <w:tblPr>
        <w:tblW w:w="0" w:type="auto"/>
        <w:tblLayout w:type="fixed"/>
        <w:tblCellMar>
          <w:left w:w="62" w:type="dxa"/>
          <w:right w:w="62" w:type="dxa"/>
        </w:tblCellMar>
        <w:tblLook w:val="0000"/>
      </w:tblPr>
      <w:tblGrid>
        <w:gridCol w:w="2269"/>
        <w:gridCol w:w="6803"/>
      </w:tblGrid>
      <w:tr w:rsidTr="004B1BE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C5FF7">
            <w:pPr>
              <w:pStyle w:val="BodyText"/>
              <w:rPr>
                <w:lang w:val="en-NZ"/>
              </w:rPr>
            </w:pPr>
            <w:r w:rsidRPr="00EC5FF7">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EC5FF7" w:rsidP="00EC5FF7">
            <w:pPr>
              <w:pStyle w:val="BodyText"/>
            </w:pPr>
            <w:r w:rsidRPr="00EC5FF7">
              <w:t>All</w:t>
            </w:r>
          </w:p>
        </w:tc>
      </w:tr>
    </w:tbl>
    <w:p w:rsidR="00000000" w:rsidRPr="00EC5FF7" w:rsidP="00EC5FF7">
      <w:pPr>
        <w:pStyle w:val="BodyText"/>
      </w:pPr>
    </w:p>
    <w:p w:rsidR="00000000" w:rsidRPr="00EC5FF7" w:rsidP="00EC5FF7"/>
    <w:sectPr w:rsidSect="00EC5F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BEE" w:rsidP="004B1B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EE" w:rsidP="00EC5F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1BEE" w:rsidP="00EC5F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1BEE" w:rsidP="00EC5F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FF7" w:rsidRPr="004B1BEE" w:rsidP="004B1B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EE" w:rsidRPr="002D2AF8" w:rsidP="00EC5FF7">
    <w:pPr>
      <w:pStyle w:val="Header"/>
      <w:framePr w:wrap="around"/>
    </w:pPr>
    <w:r>
      <w:fldChar w:fldCharType="begin"/>
    </w:r>
    <w:r>
      <w:instrText xml:space="preserve"> TITLE   \* MERGEFORMAT </w:instrText>
    </w:r>
    <w:r>
      <w:fldChar w:fldCharType="separate"/>
    </w:r>
    <w:r>
      <w:t>LMTGN4019A Analyse textiles, clothing and footwear merchandising and marketing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B1BEE" w:rsidP="00EC5F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005F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F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FF7"/>
    <w:pPr>
      <w:spacing w:before="360" w:after="60"/>
      <w:outlineLvl w:val="0"/>
    </w:pPr>
    <w:rPr>
      <w:sz w:val="32"/>
    </w:rPr>
  </w:style>
  <w:style w:type="paragraph" w:styleId="Heading2">
    <w:name w:val="heading 2"/>
    <w:basedOn w:val="HeadingBase"/>
    <w:next w:val="BodyText"/>
    <w:link w:val="Heading2Char"/>
    <w:qFormat/>
    <w:rsid w:val="00EC5FF7"/>
    <w:pPr>
      <w:keepLines/>
      <w:spacing w:before="240" w:after="120"/>
      <w:outlineLvl w:val="1"/>
    </w:pPr>
    <w:rPr>
      <w:sz w:val="28"/>
      <w:szCs w:val="40"/>
    </w:rPr>
  </w:style>
  <w:style w:type="paragraph" w:styleId="Heading3">
    <w:name w:val="heading 3"/>
    <w:basedOn w:val="HeadingBase"/>
    <w:next w:val="BodyText"/>
    <w:link w:val="Heading3Char"/>
    <w:qFormat/>
    <w:rsid w:val="00EC5FF7"/>
    <w:pPr>
      <w:spacing w:before="180" w:after="120"/>
      <w:outlineLvl w:val="2"/>
    </w:pPr>
    <w:rPr>
      <w:spacing w:val="-10"/>
      <w:kern w:val="32"/>
    </w:rPr>
  </w:style>
  <w:style w:type="paragraph" w:styleId="Heading4">
    <w:name w:val="heading 4"/>
    <w:basedOn w:val="HeadingBase"/>
    <w:next w:val="BodyText"/>
    <w:link w:val="Heading4Char"/>
    <w:qFormat/>
    <w:rsid w:val="00EC5FF7"/>
    <w:pPr>
      <w:spacing w:before="160" w:after="120"/>
      <w:outlineLvl w:val="3"/>
    </w:pPr>
    <w:rPr>
      <w:sz w:val="22"/>
    </w:rPr>
  </w:style>
  <w:style w:type="paragraph" w:styleId="Heading5">
    <w:name w:val="heading 5"/>
    <w:basedOn w:val="HeadingBase"/>
    <w:next w:val="Normal"/>
    <w:link w:val="Heading5Char"/>
    <w:qFormat/>
    <w:rsid w:val="00EC5FF7"/>
    <w:pPr>
      <w:spacing w:before="80"/>
      <w:outlineLvl w:val="4"/>
    </w:pPr>
    <w:rPr>
      <w:color w:val="918585"/>
      <w:sz w:val="20"/>
    </w:rPr>
  </w:style>
  <w:style w:type="paragraph" w:styleId="Heading6">
    <w:name w:val="heading 6"/>
    <w:basedOn w:val="HeadingBase"/>
    <w:next w:val="Normal"/>
    <w:link w:val="Heading6Char"/>
    <w:qFormat/>
    <w:rsid w:val="00EC5FF7"/>
    <w:pPr>
      <w:spacing w:before="60"/>
      <w:outlineLvl w:val="5"/>
    </w:pPr>
    <w:rPr>
      <w:color w:val="918585"/>
      <w:sz w:val="20"/>
    </w:rPr>
  </w:style>
  <w:style w:type="paragraph" w:styleId="Heading7">
    <w:name w:val="heading 7"/>
    <w:basedOn w:val="Normal"/>
    <w:next w:val="Normal"/>
    <w:link w:val="Heading7Char"/>
    <w:qFormat/>
    <w:rsid w:val="00EC5FF7"/>
    <w:pPr>
      <w:ind w:left="720"/>
      <w:outlineLvl w:val="6"/>
    </w:pPr>
    <w:rPr>
      <w:i/>
    </w:rPr>
  </w:style>
  <w:style w:type="paragraph" w:styleId="Heading8">
    <w:name w:val="heading 8"/>
    <w:basedOn w:val="Normal"/>
    <w:next w:val="Normal"/>
    <w:link w:val="Heading8Char"/>
    <w:qFormat/>
    <w:rsid w:val="00EC5FF7"/>
    <w:pPr>
      <w:ind w:left="720"/>
      <w:outlineLvl w:val="7"/>
    </w:pPr>
    <w:rPr>
      <w:i/>
    </w:rPr>
  </w:style>
  <w:style w:type="paragraph" w:styleId="Heading9">
    <w:name w:val="heading 9"/>
    <w:basedOn w:val="Normal"/>
    <w:next w:val="Normal"/>
    <w:link w:val="Heading9Char"/>
    <w:qFormat/>
    <w:rsid w:val="00EC5FF7"/>
    <w:pPr>
      <w:ind w:left="720"/>
      <w:outlineLvl w:val="8"/>
    </w:pPr>
    <w:rPr>
      <w:i/>
    </w:rPr>
  </w:style>
  <w:style w:type="character" w:default="1" w:styleId="DefaultParagraphFont">
    <w:name w:val="Default Paragraph Font"/>
    <w:uiPriority w:val="1"/>
    <w:unhideWhenUsed/>
    <w:rsid w:val="00EC5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FF7"/>
  </w:style>
  <w:style w:type="character" w:customStyle="1" w:styleId="Heading1Char">
    <w:name w:val="Heading 1 Char"/>
    <w:basedOn w:val="DefaultParagraphFont"/>
    <w:link w:val="Heading1"/>
    <w:rsid w:val="00EC5FF7"/>
    <w:rPr>
      <w:rFonts w:ascii="Times New Roman" w:eastAsia="Times New Roman" w:hAnsi="Times New Roman" w:cs="Times New Roman"/>
      <w:b/>
      <w:sz w:val="32"/>
      <w:szCs w:val="20"/>
      <w:lang w:eastAsia="en-US"/>
    </w:rPr>
  </w:style>
  <w:style w:type="paragraph" w:styleId="BodyText">
    <w:name w:val="Body Text"/>
    <w:basedOn w:val="Normal"/>
    <w:link w:val="BodyTextChar"/>
    <w:rsid w:val="00EC5F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5FF7"/>
    <w:rPr>
      <w:rFonts w:ascii="Times New Roman" w:eastAsia="Times New Roman" w:hAnsi="Times New Roman" w:cs="Times New Roman"/>
      <w:sz w:val="24"/>
      <w:lang w:eastAsia="en-US"/>
    </w:rPr>
  </w:style>
  <w:style w:type="paragraph" w:styleId="Footer">
    <w:name w:val="footer"/>
    <w:basedOn w:val="Normal"/>
    <w:link w:val="FooterChar"/>
    <w:rsid w:val="00EC5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FF7"/>
    <w:rPr>
      <w:rFonts w:ascii="Times New Roman" w:eastAsia="Times New Roman" w:hAnsi="Times New Roman" w:cs="Times New Roman"/>
      <w:sz w:val="16"/>
      <w:lang w:eastAsia="en-US"/>
    </w:rPr>
  </w:style>
  <w:style w:type="paragraph" w:styleId="List">
    <w:name w:val="List"/>
    <w:basedOn w:val="BodyText"/>
    <w:next w:val="BodyText"/>
    <w:rsid w:val="00EC5FF7"/>
    <w:pPr>
      <w:tabs>
        <w:tab w:val="left" w:pos="340"/>
      </w:tabs>
      <w:spacing w:before="60" w:after="60"/>
      <w:ind w:left="340" w:hanging="340"/>
    </w:pPr>
  </w:style>
  <w:style w:type="paragraph" w:styleId="ListBullet">
    <w:name w:val="List Bullet"/>
    <w:basedOn w:val="List"/>
    <w:rsid w:val="00EC5FF7"/>
    <w:pPr>
      <w:numPr>
        <w:numId w:val="12"/>
      </w:numPr>
      <w:tabs>
        <w:tab w:val="clear" w:pos="340"/>
      </w:tabs>
      <w:spacing w:before="40" w:after="40"/>
    </w:pPr>
  </w:style>
  <w:style w:type="character" w:customStyle="1" w:styleId="SpecialBold">
    <w:name w:val="Special Bold"/>
    <w:basedOn w:val="DefaultParagraphFont"/>
    <w:rsid w:val="00EC5FF7"/>
    <w:rPr>
      <w:b/>
      <w:spacing w:val="0"/>
    </w:rPr>
  </w:style>
  <w:style w:type="paragraph" w:customStyle="1" w:styleId="SuperHeading">
    <w:name w:val="SuperHeading"/>
    <w:basedOn w:val="Normal"/>
    <w:rsid w:val="00EC5FF7"/>
    <w:pPr>
      <w:spacing w:before="240" w:after="120"/>
      <w:outlineLvl w:val="0"/>
    </w:pPr>
    <w:rPr>
      <w:rFonts w:ascii="Times New Roman" w:hAnsi="Times New Roman"/>
      <w:b/>
      <w:sz w:val="28"/>
    </w:rPr>
  </w:style>
  <w:style w:type="paragraph" w:customStyle="1" w:styleId="AllowPageBreak">
    <w:name w:val="AllowPageBreak"/>
    <w:rsid w:val="00EC5F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5FF7"/>
    <w:pPr>
      <w:tabs>
        <w:tab w:val="left" w:pos="680"/>
      </w:tabs>
      <w:spacing w:before="60" w:after="60"/>
      <w:ind w:left="680" w:hanging="340"/>
    </w:pPr>
  </w:style>
  <w:style w:type="character" w:customStyle="1" w:styleId="BoldandItalics">
    <w:name w:val="Bold and Italics"/>
    <w:qFormat/>
    <w:rsid w:val="00EC5FF7"/>
    <w:rPr>
      <w:b/>
      <w:i/>
      <w:u w:val="none"/>
    </w:rPr>
  </w:style>
  <w:style w:type="character" w:customStyle="1" w:styleId="Heading2Char">
    <w:name w:val="Heading 2 Char"/>
    <w:basedOn w:val="DefaultParagraphFont"/>
    <w:link w:val="Heading2"/>
    <w:rsid w:val="00EC5F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F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F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F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F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F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FF7"/>
    <w:rPr>
      <w:rFonts w:ascii="Courier New" w:eastAsia="Times New Roman" w:hAnsi="Courier New" w:cs="Times New Roman"/>
      <w:i/>
      <w:szCs w:val="20"/>
      <w:lang w:eastAsia="en-US"/>
    </w:rPr>
  </w:style>
  <w:style w:type="paragraph" w:customStyle="1" w:styleId="HeadingBase">
    <w:name w:val="Heading Base"/>
    <w:rsid w:val="00EC5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FF7"/>
    <w:pPr>
      <w:tabs>
        <w:tab w:val="right" w:leader="dot" w:pos="9072"/>
      </w:tabs>
      <w:ind w:left="567"/>
    </w:pPr>
    <w:rPr>
      <w:szCs w:val="22"/>
    </w:rPr>
  </w:style>
  <w:style w:type="paragraph" w:customStyle="1" w:styleId="TOCBase">
    <w:name w:val="TOC Base"/>
    <w:rsid w:val="00EC5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FF7"/>
    <w:pPr>
      <w:tabs>
        <w:tab w:val="right" w:leader="dot" w:pos="9072"/>
      </w:tabs>
      <w:spacing w:before="40" w:after="40"/>
      <w:ind w:left="284"/>
    </w:pPr>
    <w:rPr>
      <w:rFonts w:ascii="Times New Roman" w:hAnsi="Times New Roman"/>
    </w:rPr>
  </w:style>
  <w:style w:type="paragraph" w:styleId="TOC1">
    <w:name w:val="toc 1"/>
    <w:basedOn w:val="TOCBase"/>
    <w:next w:val="Normal"/>
    <w:rsid w:val="00EC5F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5FF7"/>
    <w:pPr>
      <w:spacing w:before="5040"/>
      <w:jc w:val="center"/>
    </w:pPr>
    <w:rPr>
      <w:sz w:val="48"/>
      <w:szCs w:val="72"/>
      <w:lang w:val="en-US"/>
    </w:rPr>
  </w:style>
  <w:style w:type="character" w:customStyle="1" w:styleId="TitleChar">
    <w:name w:val="Title Char"/>
    <w:basedOn w:val="DefaultParagraphFont"/>
    <w:link w:val="Title"/>
    <w:rsid w:val="00EC5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FF7"/>
    <w:pPr>
      <w:tabs>
        <w:tab w:val="left" w:pos="3600"/>
        <w:tab w:val="left" w:pos="3958"/>
      </w:tabs>
    </w:pPr>
  </w:style>
  <w:style w:type="paragraph" w:customStyle="1" w:styleId="Note">
    <w:name w:val="Note"/>
    <w:basedOn w:val="BodyText"/>
    <w:rsid w:val="00EC5F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FF7"/>
    <w:pPr>
      <w:framePr w:wrap="auto" w:hAnchor="text" w:y="6049"/>
    </w:pPr>
    <w:rPr>
      <w:color w:val="000000"/>
      <w:sz w:val="40"/>
    </w:rPr>
  </w:style>
  <w:style w:type="paragraph" w:customStyle="1" w:styleId="TOCTitle">
    <w:name w:val="TOCTitle"/>
    <w:basedOn w:val="Heading1"/>
    <w:rsid w:val="00EC5FF7"/>
    <w:pPr>
      <w:spacing w:after="240"/>
      <w:jc w:val="center"/>
      <w:outlineLvl w:val="9"/>
    </w:pPr>
    <w:rPr>
      <w:caps/>
    </w:rPr>
  </w:style>
  <w:style w:type="paragraph" w:customStyle="1" w:styleId="Version">
    <w:name w:val="Version"/>
    <w:rsid w:val="00EC5F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5FF7"/>
    <w:pPr>
      <w:numPr>
        <w:numId w:val="13"/>
      </w:numPr>
      <w:tabs>
        <w:tab w:val="clear" w:pos="680"/>
      </w:tabs>
    </w:pPr>
  </w:style>
  <w:style w:type="paragraph" w:styleId="Index1">
    <w:name w:val="index 1"/>
    <w:basedOn w:val="Normal"/>
    <w:next w:val="Normal"/>
    <w:semiHidden/>
    <w:rsid w:val="00EC5FF7"/>
    <w:pPr>
      <w:keepNext w:val="0"/>
      <w:tabs>
        <w:tab w:val="right" w:pos="4176"/>
      </w:tabs>
      <w:ind w:left="198" w:hanging="198"/>
    </w:pPr>
    <w:rPr>
      <w:rFonts w:ascii="Garamond" w:hAnsi="Garamond"/>
    </w:rPr>
  </w:style>
  <w:style w:type="paragraph" w:styleId="IndexHeading">
    <w:name w:val="index heading"/>
    <w:basedOn w:val="Normal"/>
    <w:next w:val="Index1"/>
    <w:semiHidden/>
    <w:rsid w:val="00EC5FF7"/>
    <w:pPr>
      <w:spacing w:before="120" w:after="120"/>
    </w:pPr>
    <w:rPr>
      <w:rFonts w:ascii="Arial" w:hAnsi="Arial"/>
      <w:b/>
      <w:color w:val="918585"/>
      <w:sz w:val="24"/>
    </w:rPr>
  </w:style>
  <w:style w:type="paragraph" w:styleId="Header">
    <w:name w:val="header"/>
    <w:basedOn w:val="Normal"/>
    <w:link w:val="HeaderChar"/>
    <w:rsid w:val="00EC5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FF7"/>
    <w:rPr>
      <w:rFonts w:ascii="Times New Roman" w:eastAsia="Times New Roman" w:hAnsi="Times New Roman" w:cs="Times New Roman"/>
      <w:sz w:val="16"/>
      <w:szCs w:val="20"/>
      <w:lang w:val="en-GB" w:eastAsia="en-US"/>
    </w:rPr>
  </w:style>
  <w:style w:type="paragraph" w:customStyle="1" w:styleId="Chapter">
    <w:name w:val="Chapter"/>
    <w:basedOn w:val="Normal"/>
    <w:rsid w:val="00EC5FF7"/>
    <w:pPr>
      <w:spacing w:before="240"/>
    </w:pPr>
    <w:rPr>
      <w:rFonts w:ascii="Times New Roman" w:hAnsi="Times New Roman"/>
      <w:smallCaps/>
      <w:spacing w:val="80"/>
      <w:sz w:val="28"/>
    </w:rPr>
  </w:style>
  <w:style w:type="paragraph" w:customStyle="1" w:styleId="InChapter">
    <w:name w:val="InChapter"/>
    <w:basedOn w:val="Heading3"/>
    <w:rsid w:val="00EC5FF7"/>
    <w:pPr>
      <w:spacing w:after="240"/>
      <w:outlineLvl w:val="9"/>
    </w:pPr>
    <w:rPr>
      <w:noProof/>
    </w:rPr>
  </w:style>
  <w:style w:type="paragraph" w:styleId="Index2">
    <w:name w:val="index 2"/>
    <w:basedOn w:val="Normal"/>
    <w:next w:val="Normal"/>
    <w:semiHidden/>
    <w:rsid w:val="00EC5FF7"/>
    <w:pPr>
      <w:tabs>
        <w:tab w:val="right" w:pos="4176"/>
      </w:tabs>
      <w:ind w:left="568" w:hanging="284"/>
    </w:pPr>
    <w:rPr>
      <w:rFonts w:ascii="Garamond" w:hAnsi="Garamond"/>
    </w:rPr>
  </w:style>
  <w:style w:type="paragraph" w:customStyle="1" w:styleId="Byline">
    <w:name w:val="Byline"/>
    <w:rsid w:val="00EC5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FF7"/>
    <w:pPr>
      <w:tabs>
        <w:tab w:val="clear" w:pos="3600"/>
        <w:tab w:val="clear" w:pos="3958"/>
      </w:tabs>
      <w:jc w:val="right"/>
    </w:pPr>
  </w:style>
  <w:style w:type="character" w:styleId="Emphasis">
    <w:name w:val="Emphasis"/>
    <w:basedOn w:val="DefaultParagraphFont"/>
    <w:qFormat/>
    <w:rsid w:val="00EC5FF7"/>
    <w:rPr>
      <w:i/>
    </w:rPr>
  </w:style>
  <w:style w:type="paragraph" w:styleId="Caption">
    <w:name w:val="caption"/>
    <w:basedOn w:val="BodyText"/>
    <w:next w:val="Normal"/>
    <w:qFormat/>
    <w:rsid w:val="00EC5FF7"/>
    <w:pPr>
      <w:framePr w:w="2268" w:hSpace="181" w:vSpace="181" w:wrap="around" w:vAnchor="text" w:hAnchor="page" w:x="1135" w:y="285" w:anchorLock="1"/>
    </w:pPr>
    <w:rPr>
      <w:i/>
    </w:rPr>
  </w:style>
  <w:style w:type="paragraph" w:customStyle="1" w:styleId="MiniTOCTitle">
    <w:name w:val="MiniTOCTitle"/>
    <w:basedOn w:val="Heading4"/>
    <w:rsid w:val="00EC5FF7"/>
    <w:pPr>
      <w:spacing w:before="240"/>
      <w:outlineLvl w:val="9"/>
    </w:pPr>
    <w:rPr>
      <w:noProof/>
      <w:sz w:val="24"/>
    </w:rPr>
  </w:style>
  <w:style w:type="paragraph" w:customStyle="1" w:styleId="MiniTOCItem">
    <w:name w:val="MiniTOCItem"/>
    <w:basedOn w:val="ListBullet"/>
    <w:rsid w:val="00EC5FF7"/>
    <w:pPr>
      <w:numPr>
        <w:numId w:val="0"/>
      </w:numPr>
      <w:tabs>
        <w:tab w:val="right" w:leader="dot" w:pos="6521"/>
      </w:tabs>
      <w:spacing w:before="0" w:after="0"/>
    </w:pPr>
  </w:style>
  <w:style w:type="paragraph" w:customStyle="1" w:styleId="TOFTitle">
    <w:name w:val="TOFTitle"/>
    <w:basedOn w:val="TOCTitle"/>
    <w:rsid w:val="00EC5FF7"/>
  </w:style>
  <w:style w:type="paragraph" w:styleId="TableofFigures">
    <w:name w:val="table of figures"/>
    <w:basedOn w:val="Normal"/>
    <w:next w:val="Normal"/>
    <w:semiHidden/>
    <w:rsid w:val="00EC5FF7"/>
    <w:pPr>
      <w:tabs>
        <w:tab w:val="right" w:leader="dot" w:pos="9072"/>
      </w:tabs>
      <w:ind w:left="970" w:hanging="403"/>
    </w:pPr>
    <w:rPr>
      <w:rFonts w:ascii="Times New Roman" w:hAnsi="Times New Roman"/>
      <w:b/>
    </w:rPr>
  </w:style>
  <w:style w:type="paragraph" w:styleId="ListNumber">
    <w:name w:val="List Number"/>
    <w:basedOn w:val="List"/>
    <w:rsid w:val="00EC5FF7"/>
    <w:pPr>
      <w:numPr>
        <w:numId w:val="10"/>
      </w:numPr>
    </w:pPr>
  </w:style>
  <w:style w:type="character" w:customStyle="1" w:styleId="WingdingSymbols">
    <w:name w:val="Wingding Symbols"/>
    <w:rsid w:val="00EC5FF7"/>
    <w:rPr>
      <w:rFonts w:ascii="Wingdings" w:hAnsi="Wingdings"/>
    </w:rPr>
  </w:style>
  <w:style w:type="paragraph" w:customStyle="1" w:styleId="TableHeading">
    <w:name w:val="Table Heading"/>
    <w:basedOn w:val="HeadingBase"/>
    <w:rsid w:val="00EC5FF7"/>
    <w:pPr>
      <w:keepLines/>
      <w:pBdr>
        <w:bottom w:val="single" w:sz="6" w:space="1" w:color="918585"/>
      </w:pBdr>
      <w:spacing w:before="240"/>
    </w:pPr>
  </w:style>
  <w:style w:type="character" w:customStyle="1" w:styleId="HotSpot">
    <w:name w:val="HotSpot"/>
    <w:rsid w:val="00EC5FF7"/>
    <w:rPr>
      <w:color w:val="0033CC"/>
      <w:u w:val="none"/>
    </w:rPr>
  </w:style>
  <w:style w:type="paragraph" w:customStyle="1" w:styleId="BodyTextRight">
    <w:name w:val="Body Text Right"/>
    <w:basedOn w:val="BodyText"/>
    <w:rsid w:val="00EC5FF7"/>
    <w:pPr>
      <w:spacing w:before="0" w:after="0"/>
      <w:jc w:val="right"/>
    </w:pPr>
  </w:style>
  <w:style w:type="paragraph" w:styleId="Index3">
    <w:name w:val="index 3"/>
    <w:basedOn w:val="ListNumber2"/>
    <w:next w:val="Normal"/>
    <w:semiHidden/>
    <w:rsid w:val="00EC5FF7"/>
    <w:pPr>
      <w:numPr>
        <w:numId w:val="0"/>
      </w:numPr>
      <w:tabs>
        <w:tab w:val="right" w:leader="dot" w:pos="4176"/>
      </w:tabs>
    </w:pPr>
  </w:style>
  <w:style w:type="paragraph" w:styleId="ListNumber2">
    <w:name w:val="List Number 2"/>
    <w:basedOn w:val="List2"/>
    <w:rsid w:val="00EC5FF7"/>
    <w:pPr>
      <w:numPr>
        <w:numId w:val="9"/>
      </w:numPr>
      <w:tabs>
        <w:tab w:val="clear" w:pos="1060"/>
      </w:tabs>
    </w:pPr>
  </w:style>
  <w:style w:type="paragraph" w:customStyle="1" w:styleId="MarginNote">
    <w:name w:val="Margin Note"/>
    <w:basedOn w:val="BodyText"/>
    <w:rsid w:val="00EC5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F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FF7"/>
    <w:rPr>
      <w:sz w:val="32"/>
    </w:rPr>
  </w:style>
  <w:style w:type="paragraph" w:customStyle="1" w:styleId="HeadingProcedure">
    <w:name w:val="Heading Procedure"/>
    <w:basedOn w:val="HeadingBase"/>
    <w:next w:val="Normal"/>
    <w:rsid w:val="00EC5FF7"/>
    <w:pPr>
      <w:tabs>
        <w:tab w:val="left" w:pos="0"/>
      </w:tabs>
      <w:spacing w:before="120" w:after="60"/>
    </w:pPr>
    <w:rPr>
      <w:i/>
      <w:color w:val="918585"/>
      <w:sz w:val="22"/>
    </w:rPr>
  </w:style>
  <w:style w:type="paragraph" w:customStyle="1" w:styleId="TableBodyText">
    <w:name w:val="Table Body Text"/>
    <w:basedOn w:val="BodyText"/>
    <w:rsid w:val="00EC5FF7"/>
    <w:pPr>
      <w:spacing w:before="60" w:after="60"/>
    </w:pPr>
  </w:style>
  <w:style w:type="paragraph" w:styleId="ListContinue">
    <w:name w:val="List Continue"/>
    <w:basedOn w:val="List"/>
    <w:rsid w:val="00EC5FF7"/>
    <w:pPr>
      <w:ind w:firstLine="0"/>
    </w:pPr>
  </w:style>
  <w:style w:type="paragraph" w:customStyle="1" w:styleId="ListNote">
    <w:name w:val="List Note"/>
    <w:basedOn w:val="List"/>
    <w:rsid w:val="00EC5FF7"/>
    <w:pPr>
      <w:pBdr>
        <w:top w:val="single" w:sz="6" w:space="2" w:color="918585"/>
        <w:bottom w:val="single" w:sz="6" w:space="2" w:color="918585"/>
      </w:pBdr>
      <w:tabs>
        <w:tab w:val="left" w:pos="1021"/>
      </w:tabs>
      <w:ind w:firstLine="0"/>
    </w:pPr>
  </w:style>
  <w:style w:type="paragraph" w:customStyle="1" w:styleId="Warning">
    <w:name w:val="Warning"/>
    <w:basedOn w:val="BodyText"/>
    <w:rsid w:val="00EC5FF7"/>
    <w:pPr>
      <w:shd w:val="clear" w:color="auto" w:fill="D9D9D9"/>
      <w:tabs>
        <w:tab w:val="left" w:pos="992"/>
      </w:tabs>
      <w:ind w:left="119" w:right="119"/>
    </w:pPr>
    <w:rPr>
      <w:sz w:val="20"/>
    </w:rPr>
  </w:style>
  <w:style w:type="paragraph" w:customStyle="1" w:styleId="MarginIcons">
    <w:name w:val="Margin Icons"/>
    <w:basedOn w:val="BodyText"/>
    <w:rsid w:val="00EC5F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FF7"/>
    <w:rPr>
      <w:rFonts w:ascii="Courier New" w:hAnsi="Courier New"/>
    </w:rPr>
  </w:style>
  <w:style w:type="paragraph" w:customStyle="1" w:styleId="NoteBullet">
    <w:name w:val="Note Bullet"/>
    <w:basedOn w:val="Note"/>
    <w:rsid w:val="00EC5FF7"/>
    <w:pPr>
      <w:tabs>
        <w:tab w:val="clear" w:pos="680"/>
      </w:tabs>
      <w:spacing w:before="60" w:after="60"/>
    </w:pPr>
  </w:style>
  <w:style w:type="paragraph" w:customStyle="1" w:styleId="SubHeading2">
    <w:name w:val="SubHeading2"/>
    <w:basedOn w:val="HeadingBase"/>
    <w:rsid w:val="00EC5FF7"/>
    <w:pPr>
      <w:spacing w:before="240" w:after="60"/>
    </w:pPr>
    <w:rPr>
      <w:sz w:val="20"/>
    </w:rPr>
  </w:style>
  <w:style w:type="paragraph" w:customStyle="1" w:styleId="SubHeading1">
    <w:name w:val="SubHeading1"/>
    <w:basedOn w:val="HeadingBase"/>
    <w:rsid w:val="00EC5FF7"/>
    <w:pPr>
      <w:spacing w:before="240" w:after="60"/>
    </w:pPr>
    <w:rPr>
      <w:color w:val="918585"/>
      <w:sz w:val="22"/>
    </w:rPr>
  </w:style>
  <w:style w:type="paragraph" w:customStyle="1" w:styleId="SideHeading">
    <w:name w:val="Side Heading"/>
    <w:basedOn w:val="HeadingBase"/>
    <w:rsid w:val="00EC5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FF7"/>
    <w:pPr>
      <w:tabs>
        <w:tab w:val="num" w:pos="360"/>
      </w:tabs>
    </w:pPr>
  </w:style>
  <w:style w:type="paragraph" w:styleId="PlainText">
    <w:name w:val="Plain Text"/>
    <w:basedOn w:val="Normal"/>
    <w:link w:val="PlainTextChar"/>
    <w:rsid w:val="00EC5FF7"/>
    <w:rPr>
      <w:sz w:val="20"/>
    </w:rPr>
  </w:style>
  <w:style w:type="character" w:customStyle="1" w:styleId="PlainTextChar">
    <w:name w:val="Plain Text Char"/>
    <w:basedOn w:val="DefaultParagraphFont"/>
    <w:link w:val="PlainText"/>
    <w:rsid w:val="00EC5FF7"/>
    <w:rPr>
      <w:rFonts w:ascii="Courier New" w:eastAsia="Times New Roman" w:hAnsi="Courier New" w:cs="Times New Roman"/>
      <w:sz w:val="20"/>
      <w:szCs w:val="20"/>
      <w:lang w:eastAsia="en-US"/>
    </w:rPr>
  </w:style>
  <w:style w:type="character" w:customStyle="1" w:styleId="MenuOption">
    <w:name w:val="Menu Option"/>
    <w:basedOn w:val="DefaultParagraphFont"/>
    <w:rsid w:val="00EC5FF7"/>
    <w:rPr>
      <w:b/>
      <w:smallCaps/>
    </w:rPr>
  </w:style>
  <w:style w:type="paragraph" w:customStyle="1" w:styleId="TableListNumber">
    <w:name w:val="Table List Number"/>
    <w:basedOn w:val="ListNumber"/>
    <w:rsid w:val="00EC5FF7"/>
    <w:pPr>
      <w:numPr>
        <w:numId w:val="0"/>
      </w:numPr>
    </w:pPr>
  </w:style>
  <w:style w:type="paragraph" w:styleId="TOC4">
    <w:name w:val="toc 4"/>
    <w:basedOn w:val="TOCBase"/>
    <w:next w:val="Normal"/>
    <w:semiHidden/>
    <w:rsid w:val="00EC5FF7"/>
    <w:pPr>
      <w:tabs>
        <w:tab w:val="right" w:leader="dot" w:pos="9071"/>
      </w:tabs>
      <w:ind w:left="1701"/>
    </w:pPr>
  </w:style>
  <w:style w:type="paragraph" w:customStyle="1" w:styleId="ListAlpha">
    <w:name w:val="List Alpha"/>
    <w:basedOn w:val="List"/>
    <w:rsid w:val="00EC5FF7"/>
    <w:pPr>
      <w:numPr>
        <w:numId w:val="8"/>
      </w:numPr>
    </w:pPr>
  </w:style>
  <w:style w:type="paragraph" w:customStyle="1" w:styleId="ListAlpha2">
    <w:name w:val="List Alpha 2"/>
    <w:basedOn w:val="List2"/>
    <w:rsid w:val="00EC5FF7"/>
    <w:pPr>
      <w:numPr>
        <w:numId w:val="7"/>
      </w:numPr>
    </w:pPr>
  </w:style>
  <w:style w:type="paragraph" w:styleId="List3">
    <w:name w:val="List 3"/>
    <w:basedOn w:val="BodyText"/>
    <w:rsid w:val="00EC5FF7"/>
    <w:pPr>
      <w:tabs>
        <w:tab w:val="left" w:pos="1021"/>
      </w:tabs>
      <w:spacing w:before="60" w:after="60"/>
      <w:ind w:left="1020" w:hanging="340"/>
    </w:pPr>
  </w:style>
  <w:style w:type="paragraph" w:styleId="List4">
    <w:name w:val="List 4"/>
    <w:basedOn w:val="BodyText"/>
    <w:rsid w:val="00EC5FF7"/>
    <w:pPr>
      <w:tabs>
        <w:tab w:val="left" w:pos="1361"/>
      </w:tabs>
      <w:spacing w:before="60" w:after="60"/>
      <w:ind w:left="1361" w:hanging="340"/>
    </w:pPr>
  </w:style>
  <w:style w:type="paragraph" w:styleId="List5">
    <w:name w:val="List 5"/>
    <w:basedOn w:val="BodyText"/>
    <w:rsid w:val="00EC5FF7"/>
    <w:pPr>
      <w:tabs>
        <w:tab w:val="left" w:pos="1701"/>
      </w:tabs>
      <w:spacing w:before="60" w:after="60"/>
      <w:ind w:left="1701" w:hanging="340"/>
    </w:pPr>
  </w:style>
  <w:style w:type="paragraph" w:styleId="ListBullet3">
    <w:name w:val="List Bullet 3"/>
    <w:basedOn w:val="List3"/>
    <w:rsid w:val="00EC5FF7"/>
    <w:pPr>
      <w:numPr>
        <w:numId w:val="14"/>
      </w:numPr>
      <w:tabs>
        <w:tab w:val="clear" w:pos="1021"/>
      </w:tabs>
      <w:ind w:left="1037" w:hanging="357"/>
    </w:pPr>
  </w:style>
  <w:style w:type="paragraph" w:styleId="ListBullet4">
    <w:name w:val="List Bullet 4"/>
    <w:basedOn w:val="List4"/>
    <w:rsid w:val="00EC5FF7"/>
    <w:pPr>
      <w:numPr>
        <w:numId w:val="2"/>
      </w:numPr>
    </w:pPr>
  </w:style>
  <w:style w:type="paragraph" w:styleId="ListBullet5">
    <w:name w:val="List Bullet 5"/>
    <w:basedOn w:val="List5"/>
    <w:rsid w:val="00EC5FF7"/>
    <w:pPr>
      <w:numPr>
        <w:numId w:val="3"/>
      </w:numPr>
    </w:pPr>
  </w:style>
  <w:style w:type="paragraph" w:styleId="ListContinue2">
    <w:name w:val="List Continue 2"/>
    <w:basedOn w:val="List2"/>
    <w:rsid w:val="00EC5FF7"/>
    <w:pPr>
      <w:ind w:firstLine="0"/>
    </w:pPr>
  </w:style>
  <w:style w:type="paragraph" w:styleId="ListContinue3">
    <w:name w:val="List Continue 3"/>
    <w:basedOn w:val="List3"/>
    <w:rsid w:val="00EC5FF7"/>
    <w:pPr>
      <w:ind w:left="1021" w:firstLine="0"/>
    </w:pPr>
  </w:style>
  <w:style w:type="paragraph" w:styleId="ListContinue4">
    <w:name w:val="List Continue 4"/>
    <w:basedOn w:val="List4"/>
    <w:rsid w:val="00EC5FF7"/>
    <w:pPr>
      <w:ind w:firstLine="0"/>
    </w:pPr>
  </w:style>
  <w:style w:type="paragraph" w:styleId="ListContinue5">
    <w:name w:val="List Continue 5"/>
    <w:basedOn w:val="List5"/>
    <w:rsid w:val="00EC5FF7"/>
    <w:pPr>
      <w:ind w:firstLine="0"/>
    </w:pPr>
  </w:style>
  <w:style w:type="paragraph" w:styleId="ListNumber3">
    <w:name w:val="List Number 3"/>
    <w:basedOn w:val="List3"/>
    <w:rsid w:val="00EC5FF7"/>
    <w:pPr>
      <w:numPr>
        <w:numId w:val="4"/>
      </w:numPr>
    </w:pPr>
  </w:style>
  <w:style w:type="paragraph" w:styleId="ListNumber4">
    <w:name w:val="List Number 4"/>
    <w:basedOn w:val="List4"/>
    <w:rsid w:val="00EC5FF7"/>
    <w:pPr>
      <w:numPr>
        <w:numId w:val="5"/>
      </w:numPr>
    </w:pPr>
  </w:style>
  <w:style w:type="paragraph" w:styleId="ListNumber5">
    <w:name w:val="List Number 5"/>
    <w:basedOn w:val="List5"/>
    <w:rsid w:val="00EC5FF7"/>
    <w:pPr>
      <w:numPr>
        <w:numId w:val="6"/>
      </w:numPr>
    </w:pPr>
  </w:style>
  <w:style w:type="paragraph" w:styleId="BlockText">
    <w:name w:val="Block Text"/>
    <w:basedOn w:val="Normal"/>
    <w:rsid w:val="00EC5FF7"/>
    <w:pPr>
      <w:spacing w:after="120"/>
      <w:ind w:left="1440" w:right="1440"/>
    </w:pPr>
  </w:style>
  <w:style w:type="character" w:customStyle="1" w:styleId="Subscript">
    <w:name w:val="Subscript"/>
    <w:basedOn w:val="DefaultParagraphFont"/>
    <w:rsid w:val="00EC5FF7"/>
    <w:rPr>
      <w:sz w:val="16"/>
      <w:vertAlign w:val="subscript"/>
    </w:rPr>
  </w:style>
  <w:style w:type="character" w:customStyle="1" w:styleId="Superscript">
    <w:name w:val="Superscript"/>
    <w:basedOn w:val="DefaultParagraphFont"/>
    <w:rsid w:val="00EC5FF7"/>
    <w:rPr>
      <w:sz w:val="16"/>
      <w:vertAlign w:val="superscript"/>
    </w:rPr>
  </w:style>
  <w:style w:type="character" w:customStyle="1" w:styleId="Symbols">
    <w:name w:val="Symbols"/>
    <w:basedOn w:val="DefaultParagraphFont"/>
    <w:rsid w:val="00EC5FF7"/>
    <w:rPr>
      <w:rFonts w:ascii="Symbol" w:hAnsi="Symbol"/>
    </w:rPr>
  </w:style>
  <w:style w:type="character" w:customStyle="1" w:styleId="MenuOptions">
    <w:name w:val="Menu Options"/>
    <w:basedOn w:val="DefaultParagraphFont"/>
    <w:rsid w:val="00EC5FF7"/>
    <w:rPr>
      <w:rFonts w:ascii="Arial Narrow" w:hAnsi="Arial Narrow"/>
      <w:smallCaps/>
    </w:rPr>
  </w:style>
  <w:style w:type="character" w:customStyle="1" w:styleId="Buttons">
    <w:name w:val="Buttons"/>
    <w:basedOn w:val="DefaultParagraphFont"/>
    <w:rsid w:val="00EC5FF7"/>
    <w:rPr>
      <w:b/>
    </w:rPr>
  </w:style>
  <w:style w:type="character" w:customStyle="1" w:styleId="Underlined">
    <w:name w:val="Underlined"/>
    <w:basedOn w:val="DefaultParagraphFont"/>
    <w:rsid w:val="00EC5FF7"/>
    <w:rPr>
      <w:u w:val="single"/>
    </w:rPr>
  </w:style>
  <w:style w:type="paragraph" w:customStyle="1" w:styleId="TableBodyTextRight">
    <w:name w:val="Table Body Text Right"/>
    <w:basedOn w:val="TableBodyText"/>
    <w:rsid w:val="00EC5FF7"/>
    <w:pPr>
      <w:widowControl w:val="0"/>
      <w:autoSpaceDE w:val="0"/>
      <w:autoSpaceDN w:val="0"/>
      <w:adjustRightInd w:val="0"/>
      <w:jc w:val="right"/>
    </w:pPr>
    <w:rPr>
      <w:rFonts w:cs="Arial"/>
      <w:szCs w:val="18"/>
    </w:rPr>
  </w:style>
  <w:style w:type="paragraph" w:customStyle="1" w:styleId="CopyrightText">
    <w:name w:val="Copyright Text"/>
    <w:basedOn w:val="BodyText"/>
    <w:rsid w:val="00EC5FF7"/>
    <w:rPr>
      <w:sz w:val="18"/>
    </w:rPr>
  </w:style>
  <w:style w:type="paragraph" w:customStyle="1" w:styleId="BodySmallRight">
    <w:name w:val="Body Small Right"/>
    <w:basedOn w:val="BodyTextRight"/>
    <w:rsid w:val="00EC5FF7"/>
    <w:rPr>
      <w:sz w:val="18"/>
      <w:szCs w:val="18"/>
    </w:rPr>
  </w:style>
  <w:style w:type="paragraph" w:customStyle="1" w:styleId="MarginEdition">
    <w:name w:val="Margin Edition"/>
    <w:basedOn w:val="MarginNote"/>
    <w:rsid w:val="00EC5FF7"/>
    <w:pPr>
      <w:spacing w:before="0" w:after="0"/>
    </w:pPr>
    <w:rPr>
      <w:rFonts w:ascii="Times New Roman" w:hAnsi="Times New Roman"/>
      <w:color w:val="999999"/>
    </w:rPr>
  </w:style>
  <w:style w:type="paragraph" w:customStyle="1" w:styleId="Spacer">
    <w:name w:val="Spacer"/>
    <w:basedOn w:val="Normal"/>
    <w:rsid w:val="00EC5FF7"/>
    <w:rPr>
      <w:sz w:val="2"/>
      <w:szCs w:val="2"/>
    </w:rPr>
  </w:style>
  <w:style w:type="character" w:customStyle="1" w:styleId="Small">
    <w:name w:val="Small"/>
    <w:basedOn w:val="DefaultParagraphFont"/>
    <w:rsid w:val="00EC5FF7"/>
    <w:rPr>
      <w:sz w:val="16"/>
    </w:rPr>
  </w:style>
  <w:style w:type="paragraph" w:customStyle="1" w:styleId="WideTable">
    <w:name w:val="Wide Table"/>
    <w:basedOn w:val="Normal"/>
    <w:rsid w:val="00EC5FF7"/>
    <w:pPr>
      <w:ind w:left="-1418"/>
    </w:pPr>
    <w:rPr>
      <w:sz w:val="2"/>
      <w:szCs w:val="2"/>
    </w:rPr>
  </w:style>
  <w:style w:type="character" w:styleId="PageNumber">
    <w:name w:val="page number"/>
    <w:basedOn w:val="DefaultParagraphFont"/>
    <w:rsid w:val="00EC5FF7"/>
  </w:style>
  <w:style w:type="paragraph" w:styleId="Quote">
    <w:name w:val="Quote"/>
    <w:basedOn w:val="Heading1"/>
    <w:link w:val="QuoteChar"/>
    <w:qFormat/>
    <w:rsid w:val="00EC5FF7"/>
    <w:rPr>
      <w:b w:val="0"/>
      <w:sz w:val="72"/>
      <w:szCs w:val="72"/>
      <w:lang w:val="en-NZ"/>
    </w:rPr>
  </w:style>
  <w:style w:type="character" w:customStyle="1" w:styleId="QuoteChar">
    <w:name w:val="Quote Char"/>
    <w:basedOn w:val="DefaultParagraphFont"/>
    <w:link w:val="Quote"/>
    <w:rsid w:val="00EC5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FF7"/>
    <w:pPr>
      <w:pageBreakBefore/>
    </w:pPr>
  </w:style>
  <w:style w:type="paragraph" w:customStyle="1" w:styleId="Border">
    <w:name w:val="Border"/>
    <w:basedOn w:val="Normal"/>
    <w:qFormat/>
    <w:rsid w:val="00EC5F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FF7"/>
    <w:rPr>
      <w:b/>
      <w:bCs/>
      <w:i/>
      <w:iCs/>
      <w:color w:val="auto"/>
    </w:rPr>
  </w:style>
  <w:style w:type="paragraph" w:styleId="IntenseQuote">
    <w:name w:val="Intense Quote"/>
    <w:basedOn w:val="Normal"/>
    <w:next w:val="Normal"/>
    <w:link w:val="IntenseQuoteChar"/>
    <w:uiPriority w:val="30"/>
    <w:qFormat/>
    <w:rsid w:val="00EC5F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F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FF7"/>
    <w:rPr>
      <w:smallCaps/>
      <w:color w:val="auto"/>
      <w:u w:val="single"/>
    </w:rPr>
  </w:style>
  <w:style w:type="character" w:styleId="IntenseReference">
    <w:name w:val="Intense Reference"/>
    <w:basedOn w:val="DefaultParagraphFont"/>
    <w:uiPriority w:val="32"/>
    <w:qFormat/>
    <w:rsid w:val="00EC5FF7"/>
    <w:rPr>
      <w:b/>
      <w:bCs/>
      <w:smallCaps/>
      <w:color w:val="auto"/>
      <w:spacing w:val="5"/>
      <w:u w:val="single"/>
    </w:rPr>
  </w:style>
  <w:style w:type="paragraph" w:customStyle="1" w:styleId="2ColumnHeading">
    <w:name w:val="2Column Heading"/>
    <w:basedOn w:val="BodyText"/>
    <w:qFormat/>
    <w:rsid w:val="00EC5FF7"/>
    <w:pPr>
      <w:spacing w:after="60"/>
      <w:ind w:left="-2268"/>
    </w:pPr>
    <w:rPr>
      <w:b/>
    </w:rPr>
  </w:style>
  <w:style w:type="paragraph" w:customStyle="1" w:styleId="Heading1TOC">
    <w:name w:val="Heading1 TOC"/>
    <w:basedOn w:val="Normal"/>
    <w:qFormat/>
    <w:rsid w:val="00EC5FF7"/>
    <w:pPr>
      <w:spacing w:before="240" w:after="120"/>
    </w:pPr>
    <w:rPr>
      <w:rFonts w:ascii="Times New Roman" w:hAnsi="Times New Roman"/>
      <w:b/>
      <w:sz w:val="32"/>
    </w:rPr>
  </w:style>
  <w:style w:type="paragraph" w:customStyle="1" w:styleId="Heading2TOC">
    <w:name w:val="Heading2 TOC"/>
    <w:basedOn w:val="Normal"/>
    <w:qFormat/>
    <w:rsid w:val="00EC5FF7"/>
    <w:pPr>
      <w:spacing w:before="240" w:after="60"/>
    </w:pPr>
    <w:rPr>
      <w:rFonts w:ascii="Times New Roman" w:hAnsi="Times New Roman"/>
      <w:b/>
      <w:sz w:val="28"/>
    </w:rPr>
  </w:style>
  <w:style w:type="character" w:customStyle="1" w:styleId="Underline">
    <w:name w:val="Underline"/>
    <w:basedOn w:val="DefaultParagraphFont"/>
    <w:qFormat/>
    <w:rsid w:val="00EC5FF7"/>
    <w:rPr>
      <w:u w:val="single"/>
    </w:rPr>
  </w:style>
  <w:style w:type="paragraph" w:styleId="BalloonText">
    <w:name w:val="Balloon Text"/>
    <w:basedOn w:val="Normal"/>
    <w:link w:val="BalloonTextChar"/>
    <w:rsid w:val="00EC5FF7"/>
    <w:rPr>
      <w:rFonts w:ascii="Tahoma" w:hAnsi="Tahoma" w:cs="Tahoma"/>
      <w:sz w:val="16"/>
      <w:szCs w:val="16"/>
    </w:rPr>
  </w:style>
  <w:style w:type="character" w:customStyle="1" w:styleId="BalloonTextChar">
    <w:name w:val="Balloon Text Char"/>
    <w:basedOn w:val="DefaultParagraphFont"/>
    <w:link w:val="BalloonText"/>
    <w:rsid w:val="00EC5F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F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5F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FF7"/>
    <w:rPr>
      <w:b/>
      <w:color w:val="660033"/>
      <w:spacing w:val="0"/>
    </w:rPr>
  </w:style>
  <w:style w:type="paragraph" w:customStyle="1" w:styleId="Nameditemlist">
    <w:name w:val="Named item list"/>
    <w:basedOn w:val="BodyText"/>
    <w:qFormat/>
    <w:rsid w:val="00EC5F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1082</Words>
  <Characters>6764</Characters>
  <Application>Microsoft Office Word</Application>
  <DocSecurity>0</DocSecurity>
  <Lines>230</Lines>
  <Paragraphs>137</Paragraphs>
  <ScaleCrop>false</ScaleCrop>
  <Company>Author-it Software Corporation Ltd.</Company>
  <LinksUpToDate>false</LinksUpToDate>
  <CharactersWithSpaces>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LMTGN4019A Analyse textiles, clothing and footwear merchandising and marketing principles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2012-10-05T06:30:00Z</dcterms:created>
  <dcterms:modified xsi:type="dcterms:W3CDTF">2012-10-05T06:30:00Z</dcterms:modified>
</cp:coreProperties>
</file>