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3D23" w:rsidP="00E23D23">
      <w:pPr>
        <w:pStyle w:val="Title"/>
      </w:pPr>
      <w:bookmarkStart w:id="0" w:name="_GoBack"/>
      <w:bookmarkEnd w:id="0"/>
      <w:r>
        <w:fldChar w:fldCharType="begin"/>
      </w:r>
      <w:r>
        <w:instrText xml:space="preserve"> TITLE   \* MERGEFORMAT </w:instrText>
      </w:r>
      <w:r>
        <w:fldChar w:fldCharType="separate"/>
      </w:r>
      <w:r>
        <w:t>LMFSL5005A Apply innovation in contemporary lead light and stained glass</w:t>
      </w:r>
      <w:r>
        <w:fldChar w:fldCharType="end"/>
      </w:r>
    </w:p>
    <w:p w:rsidR="00E23D23" w:rsidP="00E23D23">
      <w:pPr>
        <w:pStyle w:val="Version"/>
        <w:sectPr w:rsidSect="00F96D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96DBC" w:rsidP="00F96DBC">
      <w:pPr>
        <w:pStyle w:val="SuperHeading"/>
      </w:pPr>
      <w:r w:rsidRPr="00F96DBC">
        <w:t>LMFSL5005A Apply innovation in contemporary lead light and stained glass</w:t>
      </w:r>
    </w:p>
    <w:p w:rsidR="00000000" w:rsidRPr="00F96DBC" w:rsidP="00F96DBC">
      <w:pPr>
        <w:pStyle w:val="SuperHeading"/>
      </w:pPr>
    </w:p>
    <w:p w:rsidR="00000000" w:rsidRPr="00F96DBC" w:rsidP="00F96DBC">
      <w:pPr>
        <w:pStyle w:val="Heading1"/>
      </w:pPr>
      <w:bookmarkStart w:id="1" w:name="O_92199"/>
      <w:bookmarkEnd w:id="1"/>
      <w:r w:rsidRPr="00F96DBC">
        <w:t>Modification History</w:t>
      </w:r>
    </w:p>
    <w:p w:rsidR="00000000" w:rsidRPr="00F96DBC" w:rsidP="00F96DBC">
      <w:pPr>
        <w:pStyle w:val="BodyText"/>
      </w:pPr>
      <w:r w:rsidRPr="00F96DBC">
        <w:t>Not applicable.</w:t>
      </w:r>
    </w:p>
    <w:p w:rsidR="00000000" w:rsidRPr="00F96DBC" w:rsidP="00F96DBC">
      <w:pPr>
        <w:pStyle w:val="AllowPageBreak"/>
      </w:pPr>
    </w:p>
    <w:p w:rsidR="00000000" w:rsidRPr="00F96DBC" w:rsidP="00F96DBC">
      <w:pPr>
        <w:pStyle w:val="Heading1"/>
      </w:pPr>
      <w:bookmarkStart w:id="2" w:name="O_92200"/>
      <w:bookmarkEnd w:id="2"/>
      <w:r w:rsidRPr="00F96DBC">
        <w:t>Unit Descriptor</w:t>
      </w:r>
    </w:p>
    <w:tbl>
      <w:tblPr>
        <w:tblW w:w="0" w:type="auto"/>
        <w:tblLayout w:type="fixed"/>
        <w:tblCellMar>
          <w:left w:w="62" w:type="dxa"/>
          <w:right w:w="62" w:type="dxa"/>
        </w:tblCellMar>
        <w:tblLook w:val="0000"/>
      </w:tblPr>
      <w:tblGrid>
        <w:gridCol w:w="2662"/>
        <w:gridCol w:w="5860"/>
      </w:tblGrid>
      <w:tr w:rsidTr="00E23D23">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Unit descr</w:t>
            </w:r>
            <w:r w:rsidRPr="00F96DBC">
              <w:rPr>
                <w:rStyle w:val="SpecialBold"/>
              </w:rPr>
              <w:t>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DBC" w:rsidP="00F96DBC">
            <w:pPr>
              <w:pStyle w:val="BodyText"/>
            </w:pPr>
            <w:r w:rsidRPr="00F96DBC">
              <w:t>This unit addresses the knowledge and skills required to apply innovative techniques in the development of leadlight or stained glass works that may include the adaptation of traditional techniques such as lead light and stained glass or other techni</w:t>
            </w:r>
            <w:r w:rsidRPr="00F96DBC">
              <w:t>ques such as kiln-formed and laminated glass. The unit includes the need for research and analysis of ideas. It outlines the way glass works may be produced through experimentation and subsequent refinement of ideas and techniques.</w:t>
            </w:r>
          </w:p>
        </w:tc>
      </w:tr>
    </w:tbl>
    <w:p w:rsidR="00000000" w:rsidRPr="00F96DBC" w:rsidP="00F96DBC">
      <w:pPr>
        <w:pStyle w:val="BodyText"/>
      </w:pPr>
    </w:p>
    <w:p w:rsidR="00000000" w:rsidRPr="00F96DBC" w:rsidP="00F96DBC">
      <w:pPr>
        <w:pStyle w:val="AllowPageBreak"/>
      </w:pPr>
    </w:p>
    <w:p w:rsidR="00000000" w:rsidRPr="00F96DBC" w:rsidP="00F96DBC">
      <w:pPr>
        <w:pStyle w:val="Heading1"/>
      </w:pPr>
      <w:bookmarkStart w:id="3" w:name="O_92201"/>
      <w:bookmarkEnd w:id="3"/>
      <w:r w:rsidRPr="00F96DBC">
        <w:t>Application of the Unit</w:t>
      </w:r>
    </w:p>
    <w:tbl>
      <w:tblPr>
        <w:tblW w:w="0" w:type="auto"/>
        <w:tblLayout w:type="fixed"/>
        <w:tblCellMar>
          <w:left w:w="62" w:type="dxa"/>
          <w:right w:w="62" w:type="dxa"/>
        </w:tblCellMar>
        <w:tblLook w:val="0000"/>
      </w:tblPr>
      <w:tblGrid>
        <w:gridCol w:w="2754"/>
        <w:gridCol w:w="5768"/>
      </w:tblGrid>
      <w:tr w:rsidTr="00E23D23">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DBC" w:rsidP="00F96DBC">
            <w:pPr>
              <w:pStyle w:val="BodyText"/>
            </w:pPr>
            <w:r w:rsidRPr="00F96DBC">
              <w:t>This unit supports the attainment of skills and knowledge required for competent workplace performance in leadlight and stained glass operations. The requirement to apply innovation in contemporary lead light</w:t>
            </w:r>
            <w:r w:rsidRPr="00F96DBC">
              <w:t xml:space="preserve"> and stained glass applies to a workshop and onsite environment and involves application of skills and knowledge at a tradesperson level. These skills and knowledge are to be used within the scope of the individual's job and authority.</w:t>
            </w:r>
          </w:p>
        </w:tc>
      </w:tr>
    </w:tbl>
    <w:p w:rsidR="00000000" w:rsidRPr="00F96DBC" w:rsidP="00F96DBC">
      <w:pPr>
        <w:pStyle w:val="BodyText"/>
      </w:pPr>
    </w:p>
    <w:p w:rsidR="00000000" w:rsidRPr="00F96DBC" w:rsidP="00F96DBC">
      <w:pPr>
        <w:pStyle w:val="AllowPageBreak"/>
      </w:pPr>
    </w:p>
    <w:p w:rsidR="00000000" w:rsidRPr="00F96DBC" w:rsidP="00F96DBC">
      <w:pPr>
        <w:pStyle w:val="Heading1"/>
      </w:pPr>
      <w:bookmarkStart w:id="4" w:name="O_92202"/>
      <w:bookmarkEnd w:id="4"/>
      <w:r w:rsidRPr="00F96DBC">
        <w:t>Lic</w:t>
      </w:r>
      <w:r w:rsidRPr="00F96DBC">
        <w:t>ensing/Regulatory Information</w:t>
      </w:r>
    </w:p>
    <w:p w:rsidR="00000000" w:rsidRPr="00F96DBC" w:rsidP="00F96DBC">
      <w:pPr>
        <w:pStyle w:val="BodyText"/>
      </w:pPr>
      <w:r w:rsidRPr="00F96DBC">
        <w:t>Not applicable.</w:t>
      </w:r>
    </w:p>
    <w:p w:rsidR="00000000" w:rsidRPr="00F96DBC" w:rsidP="00F96DBC">
      <w:pPr>
        <w:pStyle w:val="AllowPageBreak"/>
      </w:pPr>
    </w:p>
    <w:p w:rsidR="00000000" w:rsidRPr="00F96DBC" w:rsidP="00F96DBC">
      <w:pPr>
        <w:pStyle w:val="Heading1"/>
      </w:pPr>
      <w:bookmarkStart w:id="5" w:name="O_92204"/>
      <w:bookmarkEnd w:id="5"/>
      <w:r w:rsidRPr="00F96DBC">
        <w:t>Pre-Requisites</w:t>
      </w:r>
    </w:p>
    <w:tbl>
      <w:tblPr>
        <w:tblW w:w="0" w:type="auto"/>
        <w:tblLayout w:type="fixed"/>
        <w:tblCellMar>
          <w:left w:w="62" w:type="dxa"/>
          <w:right w:w="62" w:type="dxa"/>
        </w:tblCellMar>
        <w:tblLook w:val="0000"/>
      </w:tblPr>
      <w:tblGrid>
        <w:gridCol w:w="2771"/>
        <w:gridCol w:w="1313"/>
        <w:gridCol w:w="4438"/>
      </w:tblGrid>
      <w:tr w:rsidTr="00E23D2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t>Nil</w:t>
            </w:r>
          </w:p>
        </w:tc>
      </w:tr>
      <w:tr w:rsidTr="00E23D2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p>
        </w:tc>
      </w:tr>
      <w:tr w:rsidTr="00E23D2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DBC" w:rsidP="00F96DBC">
            <w:pPr>
              <w:pStyle w:val="BodyText"/>
            </w:pPr>
          </w:p>
        </w:tc>
      </w:tr>
    </w:tbl>
    <w:p w:rsidR="00000000" w:rsidRPr="00F96DBC" w:rsidP="00F96DBC">
      <w:pPr>
        <w:pStyle w:val="BodyText"/>
      </w:pPr>
    </w:p>
    <w:p w:rsidR="00000000" w:rsidRPr="00F96DBC" w:rsidP="00F96DBC">
      <w:pPr>
        <w:pStyle w:val="AllowPageBreak"/>
      </w:pPr>
    </w:p>
    <w:p w:rsidR="00000000" w:rsidRPr="00F96DBC" w:rsidP="00F96DBC">
      <w:pPr>
        <w:pStyle w:val="Heading1"/>
      </w:pPr>
      <w:bookmarkStart w:id="6" w:name="O_92203"/>
      <w:bookmarkEnd w:id="6"/>
      <w:r w:rsidRPr="00F96DBC">
        <w:t>Employability Skills Information</w:t>
      </w:r>
    </w:p>
    <w:tbl>
      <w:tblPr>
        <w:tblW w:w="0" w:type="auto"/>
        <w:tblLayout w:type="fixed"/>
        <w:tblCellMar>
          <w:left w:w="62" w:type="dxa"/>
          <w:right w:w="62" w:type="dxa"/>
        </w:tblCellMar>
        <w:tblLook w:val="0000"/>
      </w:tblPr>
      <w:tblGrid>
        <w:gridCol w:w="2802"/>
        <w:gridCol w:w="5720"/>
      </w:tblGrid>
      <w:tr w:rsidTr="00E23D2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DBC" w:rsidP="00F96DBC">
            <w:pPr>
              <w:pStyle w:val="BodyText"/>
            </w:pPr>
            <w:r w:rsidRPr="00F96DBC">
              <w:t>This unit contains employability skills.</w:t>
            </w:r>
          </w:p>
        </w:tc>
      </w:tr>
    </w:tbl>
    <w:p w:rsidR="00000000" w:rsidRPr="00F96DBC" w:rsidP="00F96DBC">
      <w:pPr>
        <w:pStyle w:val="BodyText"/>
      </w:pPr>
    </w:p>
    <w:p w:rsidR="00000000" w:rsidRPr="00F96DBC" w:rsidP="00F96DBC">
      <w:pPr>
        <w:pStyle w:val="AllowPageBreak"/>
      </w:pPr>
    </w:p>
    <w:p w:rsidR="00000000" w:rsidRPr="00F96DBC" w:rsidP="00F96DBC">
      <w:pPr>
        <w:pStyle w:val="Heading1"/>
      </w:pPr>
      <w:bookmarkStart w:id="7" w:name="O_92205"/>
      <w:bookmarkEnd w:id="7"/>
      <w:r w:rsidRPr="00F96DBC">
        <w:t>Elem</w:t>
      </w:r>
      <w:r w:rsidRPr="00F96DBC">
        <w:t>ents and Performance Criteria Pre-Content</w:t>
      </w:r>
    </w:p>
    <w:tbl>
      <w:tblPr>
        <w:tblW w:w="0" w:type="auto"/>
        <w:tblLayout w:type="fixed"/>
        <w:tblCellMar>
          <w:left w:w="62" w:type="dxa"/>
          <w:right w:w="62" w:type="dxa"/>
        </w:tblCellMar>
        <w:tblLook w:val="0000"/>
      </w:tblPr>
      <w:tblGrid>
        <w:gridCol w:w="2592"/>
        <w:gridCol w:w="5930"/>
      </w:tblGrid>
      <w:tr w:rsidTr="00E23D23">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t>Elements describe the essential outcomes of a unit of competency.</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DBC" w:rsidP="00F96DBC">
            <w:pPr>
              <w:pStyle w:val="BodyText"/>
            </w:pPr>
            <w:r w:rsidRPr="00F96DBC">
              <w:t>Performance criteria describe the performance needed to demonstrate achievement of the element. Where bold italicised text is used, further informat</w:t>
            </w:r>
            <w:r w:rsidRPr="00F96DBC">
              <w:t>ion is detailed in the required skills and knowledge section and the range statement. Assessment of performance is to be consistent with the evidence guide.</w:t>
            </w:r>
          </w:p>
        </w:tc>
      </w:tr>
    </w:tbl>
    <w:p w:rsidR="00000000" w:rsidRPr="00F96DBC" w:rsidP="00F96DBC">
      <w:pPr>
        <w:pStyle w:val="BodyText"/>
      </w:pPr>
    </w:p>
    <w:p w:rsidR="00000000" w:rsidRPr="00F96DBC" w:rsidP="00F96DBC">
      <w:pPr>
        <w:pStyle w:val="AllowPageBreak"/>
      </w:pPr>
    </w:p>
    <w:p w:rsidR="00000000" w:rsidRPr="00F96DBC" w:rsidP="00F96DBC">
      <w:pPr>
        <w:pStyle w:val="Heading1"/>
      </w:pPr>
      <w:bookmarkStart w:id="8" w:name="O_92206"/>
      <w:bookmarkEnd w:id="8"/>
      <w:r w:rsidRPr="00F96DBC">
        <w:t>Elements and Performance Criteria</w:t>
      </w:r>
    </w:p>
    <w:tbl>
      <w:tblPr>
        <w:tblW w:w="0" w:type="auto"/>
        <w:tblLayout w:type="fixed"/>
        <w:tblCellMar>
          <w:left w:w="62" w:type="dxa"/>
          <w:right w:w="62" w:type="dxa"/>
        </w:tblCellMar>
        <w:tblLook w:val="0000"/>
      </w:tblPr>
      <w:tblGrid>
        <w:gridCol w:w="2592"/>
        <w:gridCol w:w="5930"/>
      </w:tblGrid>
      <w:tr w:rsidTr="00E23D23">
        <w:tblPrEx>
          <w:tblW w:w="0" w:type="auto"/>
          <w:tblLayout w:type="fixed"/>
          <w:tblCellMar>
            <w:left w:w="62" w:type="dxa"/>
            <w:right w:w="62" w:type="dxa"/>
          </w:tblCellMar>
          <w:tblLook w:val="0000"/>
        </w:tblPrEx>
        <w:trPr>
          <w:tblHeader/>
        </w:trPr>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DBC" w:rsidP="00F96DBC">
            <w:pPr>
              <w:pStyle w:val="BodyText"/>
            </w:pPr>
            <w:r w:rsidRPr="00F96DBC">
              <w:rPr>
                <w:rStyle w:val="SpecialBold"/>
              </w:rPr>
              <w:t>ELEMENT</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PERFORMANCE CRITERIA</w:t>
            </w:r>
          </w:p>
        </w:tc>
      </w:tr>
      <w:tr w:rsidTr="00E23D23">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List"/>
              <w:rPr>
                <w:lang w:val="en-NZ"/>
              </w:rPr>
            </w:pPr>
            <w:r w:rsidRPr="00F96DBC">
              <w:t>1.</w:t>
            </w:r>
            <w:r w:rsidRPr="00F96DBC">
              <w:tab/>
            </w:r>
            <w:r w:rsidRPr="00F96DBC">
              <w:t xml:space="preserve">Identify the potential or need for innovation </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DBC" w:rsidP="00F96DBC">
            <w:pPr>
              <w:pStyle w:val="List2"/>
            </w:pPr>
            <w:r w:rsidRPr="00F96DBC">
              <w:t>1.1.</w:t>
            </w:r>
            <w:r w:rsidRPr="00F96DBC">
              <w:tab/>
              <w:t xml:space="preserve">Applicable </w:t>
            </w:r>
            <w:r w:rsidRPr="00F96DBC">
              <w:rPr>
                <w:rStyle w:val="BoldandItalics"/>
              </w:rPr>
              <w:t>OHS</w:t>
            </w:r>
            <w:r w:rsidRPr="00F96DBC">
              <w:t xml:space="preserve">, </w:t>
            </w:r>
            <w:r w:rsidRPr="00F96DBC">
              <w:rPr>
                <w:rStyle w:val="BoldandItalics"/>
              </w:rPr>
              <w:t>legislative</w:t>
            </w:r>
            <w:r w:rsidRPr="00F96DBC">
              <w:t xml:space="preserve"> and </w:t>
            </w:r>
            <w:r w:rsidRPr="00F96DBC">
              <w:rPr>
                <w:rStyle w:val="BoldandItalics"/>
              </w:rPr>
              <w:t>organisational</w:t>
            </w:r>
            <w:r w:rsidRPr="00F96DBC">
              <w:t xml:space="preserve"> requirements relevant to lead light and stained glass operations are verified and complied with</w:t>
            </w:r>
          </w:p>
          <w:p w:rsidR="00000000" w:rsidRPr="00F96DBC" w:rsidP="00F96DBC">
            <w:pPr>
              <w:pStyle w:val="List2"/>
            </w:pPr>
            <w:r w:rsidRPr="00F96DBC">
              <w:t>1.2.</w:t>
            </w:r>
            <w:r w:rsidRPr="00F96DBC">
              <w:tab/>
              <w:t>Analyse design or production elements to determine areas</w:t>
            </w:r>
            <w:r w:rsidRPr="00F96DBC">
              <w:t xml:space="preserve"> where </w:t>
            </w:r>
            <w:r w:rsidRPr="00F96DBC">
              <w:rPr>
                <w:rStyle w:val="BoldandItalics"/>
              </w:rPr>
              <w:t>research</w:t>
            </w:r>
            <w:r w:rsidRPr="00F96DBC">
              <w:t xml:space="preserve"> and experimentation may be appropriate </w:t>
            </w:r>
          </w:p>
          <w:p w:rsidR="00000000" w:rsidP="00F96DBC">
            <w:pPr>
              <w:pStyle w:val="List2"/>
              <w:rPr>
                <w:lang w:val="en-NZ"/>
              </w:rPr>
            </w:pPr>
            <w:r w:rsidRPr="00F96DBC">
              <w:t>1.3.</w:t>
            </w:r>
            <w:r w:rsidRPr="00F96DBC">
              <w:tab/>
              <w:t xml:space="preserve">Proactively assess the potential for the use of </w:t>
            </w:r>
            <w:r w:rsidRPr="00F96DBC">
              <w:rPr>
                <w:rStyle w:val="BoldandItalics"/>
              </w:rPr>
              <w:t>new techniques</w:t>
            </w:r>
            <w:r w:rsidRPr="00F96DBC">
              <w:t xml:space="preserve"> and </w:t>
            </w:r>
            <w:r w:rsidRPr="00F96DBC">
              <w:rPr>
                <w:rStyle w:val="BoldandItalics"/>
              </w:rPr>
              <w:t>media</w:t>
            </w:r>
            <w:r w:rsidRPr="00F96DBC">
              <w:t xml:space="preserve"> to maximise the effectiveness of lead light and stained glass</w:t>
            </w:r>
          </w:p>
        </w:tc>
      </w:tr>
      <w:tr w:rsidTr="00E23D23">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List"/>
              <w:rPr>
                <w:lang w:val="en-NZ"/>
              </w:rPr>
            </w:pPr>
            <w:r w:rsidRPr="00F96DBC">
              <w:t>2.</w:t>
            </w:r>
            <w:r w:rsidRPr="00F96DBC">
              <w:tab/>
              <w:t>Conduct research</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DBC" w:rsidP="00F96DBC">
            <w:pPr>
              <w:pStyle w:val="List2"/>
            </w:pPr>
            <w:r w:rsidRPr="00F96DBC">
              <w:t>2.1.</w:t>
            </w:r>
            <w:r w:rsidRPr="00F96DBC">
              <w:tab/>
              <w:t>Undertake relevant research to ide</w:t>
            </w:r>
            <w:r w:rsidRPr="00F96DBC">
              <w:t>ntify the historical, cultural and other factors that  might influence techniques or media</w:t>
            </w:r>
          </w:p>
          <w:p w:rsidR="00000000" w:rsidRPr="00F96DBC" w:rsidP="00F96DBC">
            <w:pPr>
              <w:pStyle w:val="List2"/>
            </w:pPr>
            <w:r w:rsidRPr="00F96DBC">
              <w:t>2.2.</w:t>
            </w:r>
            <w:r w:rsidRPr="00F96DBC">
              <w:tab/>
              <w:t xml:space="preserve">Research, adapt and use relevant ideas and approaches from other practitioners with consideration of </w:t>
            </w:r>
            <w:r w:rsidRPr="00F96DBC">
              <w:rPr>
                <w:rStyle w:val="BoldandItalics"/>
              </w:rPr>
              <w:t>intellectual property</w:t>
            </w:r>
            <w:r w:rsidRPr="00F96DBC">
              <w:t xml:space="preserve">, </w:t>
            </w:r>
            <w:r w:rsidRPr="00F96DBC">
              <w:rPr>
                <w:rStyle w:val="BoldandItalics"/>
              </w:rPr>
              <w:t>moral rights and copyright requireme</w:t>
            </w:r>
            <w:r w:rsidRPr="00F96DBC">
              <w:rPr>
                <w:rStyle w:val="BoldandItalics"/>
              </w:rPr>
              <w:t>nts</w:t>
            </w:r>
          </w:p>
          <w:p w:rsidR="00000000" w:rsidRPr="00F96DBC" w:rsidP="00F96DBC">
            <w:pPr>
              <w:pStyle w:val="List2"/>
            </w:pPr>
            <w:r w:rsidRPr="00F96DBC">
              <w:t>2.3.</w:t>
            </w:r>
            <w:r w:rsidRPr="00F96DBC">
              <w:tab/>
              <w:t>Identify appropriate specialists who may be able to contribute to the overall realisation of innovative lead light and stained glass</w:t>
            </w:r>
          </w:p>
          <w:p w:rsidR="00000000" w:rsidRPr="00F96DBC" w:rsidP="00F96DBC">
            <w:pPr>
              <w:pStyle w:val="List2"/>
            </w:pPr>
            <w:r w:rsidRPr="00F96DBC">
              <w:t>2.4.</w:t>
            </w:r>
            <w:r w:rsidRPr="00F96DBC">
              <w:tab/>
              <w:t xml:space="preserve">Maintain references in an accessible form to allow for use by other colleagues as required </w:t>
            </w:r>
          </w:p>
          <w:p w:rsidR="00000000" w:rsidP="00F96DBC">
            <w:pPr>
              <w:pStyle w:val="List2"/>
              <w:rPr>
                <w:lang w:val="en-NZ"/>
              </w:rPr>
            </w:pPr>
            <w:r w:rsidRPr="00F96DBC">
              <w:t>2.5.</w:t>
            </w:r>
            <w:r w:rsidRPr="00F96DBC">
              <w:tab/>
              <w:t>Use research</w:t>
            </w:r>
            <w:r w:rsidRPr="00F96DBC">
              <w:t xml:space="preserve"> material to adapt styles for integration into lead light and stained glass production</w:t>
            </w:r>
          </w:p>
        </w:tc>
      </w:tr>
      <w:tr w:rsidTr="00E23D23">
        <w:tblPrEx>
          <w:tblW w:w="0" w:type="auto"/>
          <w:tblLayout w:type="fixed"/>
          <w:tblCellMar>
            <w:left w:w="62" w:type="dxa"/>
            <w:right w:w="62" w:type="dxa"/>
          </w:tblCellMar>
          <w:tblLook w:val="0000"/>
        </w:tblPrEx>
        <w:tc>
          <w:tcPr>
            <w:tcW w:w="25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List"/>
              <w:rPr>
                <w:lang w:val="en-NZ"/>
              </w:rPr>
            </w:pPr>
            <w:r w:rsidRPr="00F96DBC">
              <w:t>3.</w:t>
            </w:r>
            <w:r w:rsidRPr="00F96DBC">
              <w:tab/>
              <w:t>Experiment with techniques and media</w:t>
            </w:r>
          </w:p>
        </w:tc>
        <w:tc>
          <w:tcPr>
            <w:tcW w:w="59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DBC" w:rsidP="00F96DBC">
            <w:pPr>
              <w:pStyle w:val="List2"/>
            </w:pPr>
            <w:r w:rsidRPr="00F96DBC">
              <w:t>3.1.</w:t>
            </w:r>
            <w:r w:rsidRPr="00F96DBC">
              <w:tab/>
              <w:t>Conduct trials to establish the best ways in which the desired scenic art effect can be achieved</w:t>
            </w:r>
          </w:p>
          <w:p w:rsidR="00000000" w:rsidRPr="00F96DBC" w:rsidP="00F96DBC">
            <w:pPr>
              <w:pStyle w:val="List2"/>
            </w:pPr>
            <w:r w:rsidRPr="00F96DBC">
              <w:t>3.2.</w:t>
            </w:r>
            <w:r w:rsidRPr="00F96DBC">
              <w:tab/>
              <w:t xml:space="preserve">Assess results of </w:t>
            </w:r>
            <w:r w:rsidRPr="00F96DBC">
              <w:rPr>
                <w:rStyle w:val="BoldandItalics"/>
              </w:rPr>
              <w:t>experimentation</w:t>
            </w:r>
            <w:r w:rsidRPr="00F96DBC">
              <w:t>, balancing the need for creative effectiveness and cost practicality</w:t>
            </w:r>
          </w:p>
          <w:p w:rsidR="00000000" w:rsidRPr="00F96DBC" w:rsidP="00F96DBC">
            <w:pPr>
              <w:pStyle w:val="List2"/>
            </w:pPr>
            <w:r w:rsidRPr="00F96DBC">
              <w:t>3.3.</w:t>
            </w:r>
            <w:r w:rsidRPr="00F96DBC">
              <w:tab/>
              <w:t>Select, adapt or introduce new materials, tools, equipment or technology for the achievement of different effects</w:t>
            </w:r>
          </w:p>
          <w:p w:rsidR="00000000" w:rsidRPr="00F96DBC" w:rsidP="00F96DBC">
            <w:pPr>
              <w:pStyle w:val="List2"/>
            </w:pPr>
            <w:r w:rsidRPr="00F96DBC">
              <w:t>3.4.</w:t>
            </w:r>
            <w:r w:rsidRPr="00F96DBC">
              <w:tab/>
              <w:t>Liaise with colleagues to provide information o</w:t>
            </w:r>
            <w:r w:rsidRPr="00F96DBC">
              <w:t>n the results of experimentation and to make appropriate decisions on new techniques and media</w:t>
            </w:r>
          </w:p>
          <w:p w:rsidR="00000000" w:rsidRPr="00F96DBC" w:rsidP="00F96DBC">
            <w:pPr>
              <w:pStyle w:val="List2"/>
            </w:pPr>
            <w:r w:rsidRPr="00F96DBC">
              <w:t>3.5.</w:t>
            </w:r>
            <w:r w:rsidRPr="00F96DBC">
              <w:tab/>
              <w:t>Set-up or coordinate specific resource requirements which arise from the use of different techniques in accordance with workplace requirements</w:t>
            </w:r>
          </w:p>
        </w:tc>
      </w:tr>
    </w:tbl>
    <w:p w:rsidR="00000000" w:rsidRPr="00F96DBC" w:rsidP="00F96DBC">
      <w:pPr>
        <w:pStyle w:val="BodyText"/>
      </w:pPr>
    </w:p>
    <w:p w:rsidR="00000000" w:rsidRPr="00F96DBC" w:rsidP="00F96DBC">
      <w:pPr>
        <w:pStyle w:val="AllowPageBreak"/>
      </w:pPr>
    </w:p>
    <w:p w:rsidR="00000000" w:rsidRPr="00F96DBC" w:rsidP="00F96DBC">
      <w:pPr>
        <w:pStyle w:val="Heading1"/>
      </w:pPr>
      <w:bookmarkStart w:id="9" w:name="O_92207"/>
      <w:bookmarkEnd w:id="9"/>
      <w:r w:rsidRPr="00F96DBC">
        <w:t>Required Skills and Knowledge</w:t>
      </w:r>
    </w:p>
    <w:tbl>
      <w:tblPr>
        <w:tblW w:w="0" w:type="auto"/>
        <w:tblLayout w:type="fixed"/>
        <w:tblCellMar>
          <w:left w:w="62" w:type="dxa"/>
          <w:right w:w="62" w:type="dxa"/>
        </w:tblCellMar>
        <w:tblLook w:val="0000"/>
      </w:tblPr>
      <w:tblGrid>
        <w:gridCol w:w="8522"/>
      </w:tblGrid>
      <w:tr w:rsidTr="00E23D2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REQUIRED SKILLS AND KNOWLEDGE</w:t>
            </w:r>
          </w:p>
        </w:tc>
      </w:tr>
      <w:tr w:rsidTr="00E23D2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t>This section describes the skills and knowledge required for this unit.</w:t>
            </w:r>
          </w:p>
        </w:tc>
      </w:tr>
      <w:tr w:rsidTr="00E23D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Required skills</w:t>
            </w:r>
          </w:p>
        </w:tc>
      </w:tr>
      <w:tr w:rsidTr="00E23D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DBC" w:rsidP="00F96DBC">
            <w:pPr>
              <w:pStyle w:val="ListBullet"/>
            </w:pPr>
            <w:r w:rsidRPr="00F96DBC">
              <w:t xml:space="preserve">collect, organise and understand materials technology and information related to innovative and contemporary leadlight and stained glass </w:t>
            </w:r>
          </w:p>
          <w:p w:rsidR="00000000" w:rsidRPr="00F96DBC" w:rsidP="00F96DBC">
            <w:pPr>
              <w:pStyle w:val="ListBullet"/>
            </w:pPr>
            <w:r w:rsidRPr="00F96DBC">
              <w:t>communicate ideas and information to enable confirmation of work requirements and specifications, coordination of work</w:t>
            </w:r>
            <w:r w:rsidRPr="00F96DBC">
              <w:t xml:space="preserve"> with site supervisor, other workers and customers, and the reporting of work outcomes and problems</w:t>
            </w:r>
          </w:p>
          <w:p w:rsidR="00000000" w:rsidRPr="00F96DBC" w:rsidP="00F96DBC">
            <w:pPr>
              <w:pStyle w:val="ListBullet"/>
            </w:pPr>
            <w:r w:rsidRPr="00F96DBC">
              <w:t>maintain quality records related to innovative and contemporary leadlight and stained glass</w:t>
            </w:r>
          </w:p>
          <w:p w:rsidR="00000000" w:rsidRPr="00F96DBC" w:rsidP="00F96DBC">
            <w:pPr>
              <w:pStyle w:val="ListBullet"/>
            </w:pPr>
            <w:r w:rsidRPr="00F96DBC">
              <w:t>work with others and in a team by recognising dependencies and u</w:t>
            </w:r>
            <w:r w:rsidRPr="00F96DBC">
              <w:t>sing cooperative approaches to optimise work flow and productivity</w:t>
            </w:r>
          </w:p>
          <w:p w:rsidR="00000000" w:rsidRPr="00F96DBC" w:rsidP="00F96DBC">
            <w:pPr>
              <w:pStyle w:val="ListBullet"/>
            </w:pPr>
            <w:r w:rsidRPr="00F96DBC">
              <w:t>identify, anticipate and respond to faults in innovative and contemporary leadlight and stained glass</w:t>
            </w:r>
          </w:p>
          <w:p w:rsidR="00000000" w:rsidRPr="00F96DBC" w:rsidP="00F96DBC">
            <w:pPr>
              <w:pStyle w:val="ListBullet"/>
            </w:pPr>
            <w:r w:rsidRPr="00F96DBC">
              <w:t>recognise and respond to circumstances outside instructions or personal competence</w:t>
            </w:r>
          </w:p>
          <w:p w:rsidR="00000000" w:rsidRPr="00F96DBC" w:rsidP="00F96DBC">
            <w:pPr>
              <w:pStyle w:val="ListBullet"/>
            </w:pPr>
            <w:r w:rsidRPr="00F96DBC">
              <w:t>plan</w:t>
            </w:r>
            <w:r w:rsidRPr="00F96DBC">
              <w:t xml:space="preserve"> and organise activities including the preparation and layout of own worksite and the obtaining and use of tools and materials to avoid any backtracking, work flow interruptions or wastage</w:t>
            </w:r>
          </w:p>
          <w:p w:rsidR="00000000" w:rsidRPr="00F96DBC" w:rsidP="00F96DBC">
            <w:pPr>
              <w:pStyle w:val="ListBullet"/>
            </w:pPr>
            <w:r w:rsidRPr="00F96DBC">
              <w:t>use mathematical ideas and techniques to correctly complete measure</w:t>
            </w:r>
            <w:r w:rsidRPr="00F96DBC">
              <w:t>ments, calculate area and volume, estimate work and material requirements</w:t>
            </w:r>
          </w:p>
          <w:p w:rsidR="00000000" w:rsidRPr="00F96DBC" w:rsidP="00F96DBC">
            <w:pPr>
              <w:pStyle w:val="ListBullet"/>
            </w:pPr>
            <w:r w:rsidRPr="00F96DBC">
              <w:t>clarify and confirm work instructions</w:t>
            </w:r>
          </w:p>
          <w:p w:rsidR="00000000" w:rsidRPr="00F96DBC" w:rsidP="00F96DBC">
            <w:pPr>
              <w:pStyle w:val="ListBullet"/>
            </w:pPr>
            <w:r w:rsidRPr="00F96DBC">
              <w:t>plan own work within the given task parameters</w:t>
            </w:r>
          </w:p>
          <w:p w:rsidR="00000000" w:rsidRPr="00F96DBC" w:rsidP="00F96DBC">
            <w:pPr>
              <w:pStyle w:val="ListBullet"/>
            </w:pPr>
            <w:r w:rsidRPr="00F96DBC">
              <w:t>accept responsibility for given tasks</w:t>
            </w:r>
          </w:p>
          <w:p w:rsidR="00000000" w:rsidRPr="00F96DBC" w:rsidP="00F96DBC">
            <w:pPr>
              <w:pStyle w:val="ListBullet"/>
            </w:pPr>
            <w:r w:rsidRPr="00F96DBC">
              <w:t>set, monitor and satisfy personal work goals</w:t>
            </w:r>
          </w:p>
          <w:p w:rsidR="00000000" w:rsidRPr="00F96DBC" w:rsidP="00F96DBC">
            <w:pPr>
              <w:pStyle w:val="ListBullet"/>
            </w:pPr>
            <w:r w:rsidRPr="00F96DBC">
              <w:t>satisfy the competency requirements for the job</w:t>
            </w:r>
          </w:p>
          <w:p w:rsidR="00000000" w:rsidRPr="00F96DBC" w:rsidP="00F96DBC">
            <w:pPr>
              <w:pStyle w:val="ListBullet"/>
            </w:pPr>
            <w:r w:rsidRPr="00F96DBC">
              <w:t>maintain current knowledge of tools and materials</w:t>
            </w:r>
          </w:p>
          <w:p w:rsidR="00000000" w:rsidRPr="00F96DBC" w:rsidP="00F96DBC">
            <w:pPr>
              <w:pStyle w:val="ListBullet"/>
            </w:pPr>
            <w:r w:rsidRPr="00F96DBC">
              <w:t>maintain current knowledge of innovative and contemporary leadlight and stained glass</w:t>
            </w:r>
          </w:p>
          <w:p w:rsidR="00000000" w:rsidRPr="00F96DBC" w:rsidP="00F96DBC">
            <w:pPr>
              <w:pStyle w:val="ListBullet"/>
            </w:pPr>
            <w:r w:rsidRPr="00F96DBC">
              <w:t>seek learning opportunities</w:t>
            </w:r>
          </w:p>
          <w:p w:rsidR="00000000" w:rsidP="00F96DBC">
            <w:pPr>
              <w:pStyle w:val="ListBullet"/>
              <w:rPr>
                <w:lang w:val="en-NZ"/>
              </w:rPr>
            </w:pPr>
            <w:r w:rsidRPr="00F96DBC">
              <w:t>use the workplace technology related to inno</w:t>
            </w:r>
            <w:r w:rsidRPr="00F96DBC">
              <w:t>vative and contemporary leadlight and stained glass components, including computers, measuring devices and recording systems</w:t>
            </w:r>
          </w:p>
        </w:tc>
      </w:tr>
      <w:tr w:rsidTr="00E23D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Required knowledge</w:t>
            </w:r>
          </w:p>
        </w:tc>
      </w:tr>
      <w:tr w:rsidTr="00E23D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DBC" w:rsidP="00F96DBC">
            <w:pPr>
              <w:pStyle w:val="ListBullet"/>
            </w:pPr>
            <w:r w:rsidRPr="00F96DBC">
              <w:t>State or Territory OHS legislation, regulations, standards and codes of practice relevant to the full range of</w:t>
            </w:r>
            <w:r w:rsidRPr="00F96DBC">
              <w:t xml:space="preserve"> processes for lead light and stained glass operations</w:t>
            </w:r>
          </w:p>
          <w:p w:rsidR="00000000" w:rsidRPr="00F96DBC" w:rsidP="00F96DBC">
            <w:pPr>
              <w:pStyle w:val="ListBullet"/>
            </w:pPr>
            <w:r w:rsidRPr="00F96DBC">
              <w:t>contemporary lead light and stained glass construction terminology and techniques</w:t>
            </w:r>
          </w:p>
          <w:p w:rsidR="00000000" w:rsidRPr="00F96DBC" w:rsidP="00F96DBC">
            <w:pPr>
              <w:pStyle w:val="ListBullet"/>
            </w:pPr>
            <w:r w:rsidRPr="00F96DBC">
              <w:t>organisational and site standards, requirements, policies and procedures for preparation and installation of architectu</w:t>
            </w:r>
            <w:r w:rsidRPr="00F96DBC">
              <w:t xml:space="preserve">ral lead light and stained glass </w:t>
            </w:r>
          </w:p>
          <w:p w:rsidR="00000000" w:rsidRPr="00F96DBC" w:rsidP="00F96DBC">
            <w:pPr>
              <w:pStyle w:val="ListBullet"/>
            </w:pPr>
            <w:r w:rsidRPr="00F96DBC">
              <w:t>types of glass and other materials used in the lead light and stained glass industry, their characteristics, properties, uses and limitations</w:t>
            </w:r>
          </w:p>
          <w:p w:rsidR="00000000" w:rsidRPr="00F96DBC" w:rsidP="00F96DBC">
            <w:pPr>
              <w:pStyle w:val="ListBullet"/>
            </w:pPr>
            <w:r w:rsidRPr="00F96DBC">
              <w:t xml:space="preserve">appropriate innovative and experimental lead light and stained glass production </w:t>
            </w:r>
            <w:r w:rsidRPr="00F96DBC">
              <w:t>techniques in 2-dimensional (2D) and 3-dimensional (3D)</w:t>
            </w:r>
          </w:p>
          <w:p w:rsidR="00000000" w:rsidRPr="00F96DBC" w:rsidP="00F96DBC">
            <w:pPr>
              <w:pStyle w:val="ListBullet"/>
            </w:pPr>
            <w:r w:rsidRPr="00F96DBC">
              <w:t>colour theory, line, dimension, chiaroscuro, depth and their application to lead light and stained glass</w:t>
            </w:r>
          </w:p>
          <w:p w:rsidR="00000000" w:rsidRPr="00F96DBC" w:rsidP="00F96DBC">
            <w:pPr>
              <w:pStyle w:val="ListBullet"/>
            </w:pPr>
            <w:r w:rsidRPr="00F96DBC">
              <w:t xml:space="preserve">painting and firing techniques </w:t>
            </w:r>
          </w:p>
          <w:p w:rsidR="00000000" w:rsidRPr="00F96DBC" w:rsidP="00F96DBC">
            <w:pPr>
              <w:pStyle w:val="ListBullet"/>
            </w:pPr>
            <w:r w:rsidRPr="00F96DBC">
              <w:t>the use and properties of a range of paints and media</w:t>
            </w:r>
          </w:p>
          <w:p w:rsidR="00000000" w:rsidRPr="00F96DBC" w:rsidP="00F96DBC">
            <w:pPr>
              <w:pStyle w:val="ListBullet"/>
            </w:pPr>
            <w:r w:rsidRPr="00F96DBC">
              <w:t>testing f</w:t>
            </w:r>
            <w:r w:rsidRPr="00F96DBC">
              <w:t xml:space="preserve">inished and unfinished materials, </w:t>
            </w:r>
          </w:p>
          <w:p w:rsidR="00000000" w:rsidRPr="00F96DBC" w:rsidP="00F96DBC">
            <w:pPr>
              <w:pStyle w:val="ListBullet"/>
            </w:pPr>
            <w:r w:rsidRPr="00F96DBC">
              <w:t>research skills and sources of information to inform research and experimentation on lead light and stained glass</w:t>
            </w:r>
          </w:p>
          <w:p w:rsidR="00000000" w:rsidRPr="00F96DBC" w:rsidP="00F96DBC">
            <w:pPr>
              <w:pStyle w:val="ListBullet"/>
            </w:pPr>
            <w:r w:rsidRPr="00F96DBC">
              <w:t>costs and costing processes for lead light and stained glass elements</w:t>
            </w:r>
          </w:p>
          <w:p w:rsidR="00000000" w:rsidRPr="00F96DBC" w:rsidP="00F96DBC">
            <w:pPr>
              <w:pStyle w:val="ListBullet"/>
            </w:pPr>
            <w:r w:rsidRPr="00F96DBC">
              <w:t>environmental protection requirements</w:t>
            </w:r>
            <w:r w:rsidRPr="00F96DBC">
              <w:t xml:space="preserve"> relating to the disposal of waste material</w:t>
            </w:r>
          </w:p>
          <w:p w:rsidR="00000000" w:rsidRPr="00F96DBC" w:rsidP="00F96DBC">
            <w:pPr>
              <w:pStyle w:val="ListBullet"/>
            </w:pPr>
            <w:r w:rsidRPr="00F96DBC">
              <w:t>established communication channels and protocols</w:t>
            </w:r>
          </w:p>
          <w:p w:rsidR="00000000" w:rsidRPr="00F96DBC" w:rsidP="00F96DBC">
            <w:pPr>
              <w:pStyle w:val="ListBullet"/>
            </w:pPr>
            <w:r w:rsidRPr="00F96DBC">
              <w:t>problem identification and resolution</w:t>
            </w:r>
          </w:p>
          <w:p w:rsidR="00000000" w:rsidRPr="00F96DBC" w:rsidP="00F96DBC">
            <w:pPr>
              <w:pStyle w:val="ListBullet"/>
            </w:pPr>
            <w:r w:rsidRPr="00F96DBC">
              <w:t>storage systems and labelling</w:t>
            </w:r>
          </w:p>
          <w:p w:rsidR="00000000" w:rsidRPr="00F96DBC" w:rsidP="00F96DBC">
            <w:pPr>
              <w:pStyle w:val="ListBullet"/>
            </w:pPr>
            <w:r w:rsidRPr="00F96DBC">
              <w:t>procedures for the recording, reporting and maintenance of workplace records and information</w:t>
            </w:r>
          </w:p>
          <w:p w:rsidR="00000000" w:rsidRPr="00F96DBC" w:rsidP="00F96DBC">
            <w:pPr>
              <w:pStyle w:val="ListBullet"/>
            </w:pPr>
            <w:r w:rsidRPr="00F96DBC">
              <w:t>appropriate mathematical procedures for estimation and measurement</w:t>
            </w:r>
          </w:p>
        </w:tc>
      </w:tr>
    </w:tbl>
    <w:p w:rsidR="00000000" w:rsidRPr="00F96DBC" w:rsidP="00F96DBC">
      <w:pPr>
        <w:pStyle w:val="BodyText"/>
      </w:pPr>
    </w:p>
    <w:p w:rsidR="00000000" w:rsidRPr="00F96DBC" w:rsidP="00F96DBC">
      <w:pPr>
        <w:pStyle w:val="AllowPageBreak"/>
      </w:pPr>
    </w:p>
    <w:p w:rsidR="00000000" w:rsidRPr="00F96DBC" w:rsidP="00F96DBC">
      <w:pPr>
        <w:pStyle w:val="Heading1"/>
      </w:pPr>
      <w:bookmarkStart w:id="10" w:name="O_92208"/>
      <w:bookmarkEnd w:id="10"/>
      <w:r w:rsidRPr="00F96DBC">
        <w:t>Evidence Guide</w:t>
      </w:r>
    </w:p>
    <w:tbl>
      <w:tblPr>
        <w:tblW w:w="9570" w:type="dxa"/>
        <w:tblLayout w:type="fixed"/>
        <w:tblCellMar>
          <w:left w:w="62" w:type="dxa"/>
          <w:right w:w="62" w:type="dxa"/>
        </w:tblCellMar>
        <w:tblLook w:val="0000"/>
      </w:tblPr>
      <w:tblGrid>
        <w:gridCol w:w="3908"/>
        <w:gridCol w:w="5662"/>
      </w:tblGrid>
      <w:tr w:rsidTr="00E23D2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EVIDENCE GUIDE</w:t>
            </w:r>
          </w:p>
        </w:tc>
      </w:tr>
      <w:tr w:rsidTr="00E23D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t>The Evidence Guide provides advice on assessment and must be read in conjunction with the performance criteria, required skills and knowledge, range statement and the Assessment Guidelines for the Training Package.</w:t>
            </w:r>
          </w:p>
        </w:tc>
      </w:tr>
      <w:tr w:rsidTr="00E23D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Critical aspects for assessment and evi</w:t>
            </w:r>
            <w:r w:rsidRPr="00F96DBC">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DBC" w:rsidP="00F96DBC">
            <w:pPr>
              <w:pStyle w:val="ListBullet"/>
            </w:pPr>
            <w:r w:rsidRPr="00F96DBC">
              <w:t>Read and interpret a design specification</w:t>
            </w:r>
          </w:p>
          <w:p w:rsidR="00000000" w:rsidRPr="00F96DBC" w:rsidP="00F96DBC">
            <w:pPr>
              <w:pStyle w:val="ListBullet"/>
            </w:pPr>
            <w:r w:rsidRPr="00F96DBC">
              <w:t>Identify and explain the properties of lead light and stained glass</w:t>
            </w:r>
          </w:p>
          <w:p w:rsidR="00000000" w:rsidRPr="00F96DBC" w:rsidP="00F96DBC">
            <w:pPr>
              <w:pStyle w:val="ListBullet"/>
            </w:pPr>
            <w:r w:rsidRPr="00F96DBC">
              <w:t>Conduct research into new and innovative applications of lead light and stained glass</w:t>
            </w:r>
          </w:p>
          <w:p w:rsidR="00000000" w:rsidRPr="00F96DBC" w:rsidP="00F96DBC">
            <w:pPr>
              <w:pStyle w:val="ListBullet"/>
            </w:pPr>
            <w:r w:rsidRPr="00F96DBC">
              <w:t xml:space="preserve">Apply </w:t>
            </w:r>
            <w:r w:rsidRPr="00F96DBC">
              <w:t>in depth knowledge of a wide range of techniques and media that may be used and adapted for lead light and stained glass</w:t>
            </w:r>
          </w:p>
          <w:p w:rsidR="00000000" w:rsidRPr="00F96DBC" w:rsidP="00F96DBC">
            <w:pPr>
              <w:pStyle w:val="ListBullet"/>
            </w:pPr>
            <w:r w:rsidRPr="00F96DBC">
              <w:t xml:space="preserve">Create panels using differing innovative lead light and stained glass effects </w:t>
            </w:r>
          </w:p>
          <w:p w:rsidR="00000000" w:rsidRPr="00F96DBC" w:rsidP="00F96DBC">
            <w:pPr>
              <w:pStyle w:val="ListBullet"/>
            </w:pPr>
            <w:r w:rsidRPr="00F96DBC">
              <w:t>Identify the likely impact of various environmental effe</w:t>
            </w:r>
            <w:r w:rsidRPr="00F96DBC">
              <w:t xml:space="preserve">cts on lead light and stained glass </w:t>
            </w:r>
          </w:p>
          <w:p w:rsidR="00000000" w:rsidRPr="00F96DBC" w:rsidP="00F96DBC">
            <w:pPr>
              <w:pStyle w:val="ListBullet"/>
            </w:pPr>
            <w:r w:rsidRPr="00F96DBC">
              <w:t xml:space="preserve">Comply with legislation, regulations, standards, codes of practice and established safe practices and procedures for lead light and stained glass </w:t>
            </w:r>
          </w:p>
          <w:p w:rsidR="00000000" w:rsidP="00F96DBC">
            <w:pPr>
              <w:pStyle w:val="ListBullet"/>
              <w:rPr>
                <w:lang w:val="en-NZ"/>
              </w:rPr>
            </w:pPr>
            <w:r w:rsidRPr="00F96DBC">
              <w:t>Communicate effectively and work safely with others in the work area</w:t>
            </w:r>
          </w:p>
        </w:tc>
      </w:tr>
      <w:tr w:rsidTr="00E23D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Context of</w:t>
            </w:r>
            <w:r w:rsidRPr="00F96DBC">
              <w:t xml:space="preserve">, </w:t>
            </w:r>
            <w:r w:rsidRPr="00F96DB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DBC" w:rsidP="00F96DBC">
            <w:pPr>
              <w:pStyle w:val="ListBullet"/>
            </w:pPr>
            <w:r w:rsidRPr="00F96DBC">
              <w:t>The application of competency is to be assessed in the workplace or realistically simulated workplace</w:t>
            </w:r>
          </w:p>
          <w:p w:rsidR="00000000" w:rsidRPr="00F96DBC" w:rsidP="00F96DBC">
            <w:pPr>
              <w:pStyle w:val="ListBullet"/>
            </w:pPr>
            <w:r w:rsidRPr="00F96DBC">
              <w:t>Assessment is to occur under standard and authorised work practices, safety requirements and environment</w:t>
            </w:r>
            <w:r w:rsidRPr="00F96DBC">
              <w:t>al constraints</w:t>
            </w:r>
          </w:p>
          <w:p w:rsidR="00000000" w:rsidRPr="00F96DBC" w:rsidP="00F96DBC">
            <w:pPr>
              <w:pStyle w:val="ListBullet"/>
            </w:pPr>
            <w:r w:rsidRPr="00F96DBC">
              <w:t>Assessment of essential underpinning knowledge, other than confirmatory questions, will usually be conducted in an off-site context</w:t>
            </w:r>
          </w:p>
          <w:p w:rsidR="00000000" w:rsidRPr="00F96DBC" w:rsidP="00F96DBC">
            <w:pPr>
              <w:pStyle w:val="ListBullet"/>
            </w:pPr>
            <w:r w:rsidRPr="00F96DBC">
              <w:t>Assessment is to comply with relevant regulatory and Australian Standards requirements</w:t>
            </w:r>
          </w:p>
          <w:p w:rsidR="00000000" w:rsidRPr="00F96DBC" w:rsidP="00F96DBC">
            <w:pPr>
              <w:pStyle w:val="ListBullet"/>
            </w:pPr>
            <w:r w:rsidRPr="00F96DBC">
              <w:t>The following resource</w:t>
            </w:r>
            <w:r w:rsidRPr="00F96DBC">
              <w:t>s should be made available:</w:t>
            </w:r>
          </w:p>
          <w:p w:rsidR="00000000" w:rsidRPr="00F96DBC" w:rsidP="00F96DBC">
            <w:pPr>
              <w:pStyle w:val="ListBullet2"/>
            </w:pPr>
            <w:r w:rsidRPr="00F96DBC">
              <w:t>workplace location or simulated workplace</w:t>
            </w:r>
          </w:p>
          <w:p w:rsidR="00000000" w:rsidRPr="00F96DBC" w:rsidP="00F96DBC">
            <w:pPr>
              <w:pStyle w:val="ListBullet2"/>
            </w:pPr>
            <w:r w:rsidRPr="00F96DBC">
              <w:t xml:space="preserve">materials and equipment relevant to the production of innovative lead light and stained glass </w:t>
            </w:r>
          </w:p>
          <w:p w:rsidR="00000000" w:rsidP="00F96DBC">
            <w:pPr>
              <w:pStyle w:val="ListBullet2"/>
              <w:rPr>
                <w:lang w:val="en-NZ"/>
              </w:rPr>
            </w:pPr>
            <w:r w:rsidRPr="00F96DBC">
              <w:t>specifications and work instructions</w:t>
            </w:r>
          </w:p>
        </w:tc>
      </w:tr>
      <w:tr w:rsidTr="00E23D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DBC" w:rsidP="00F96DBC">
            <w:pPr>
              <w:pStyle w:val="BodyText"/>
            </w:pPr>
            <w:r w:rsidRPr="00F96DBC">
              <w:t>Assessment must</w:t>
            </w:r>
            <w:r w:rsidRPr="00F96DBC">
              <w:t xml:space="preserve"> satisfy the endorsed assessment guidelines of the Furnishing Industry Training Package</w:t>
            </w:r>
          </w:p>
          <w:p w:rsidR="00000000" w:rsidRPr="00F96DBC" w:rsidP="00F96DBC">
            <w:pPr>
              <w:pStyle w:val="BodyText"/>
            </w:pPr>
            <w:r w:rsidRPr="00F96DBC">
              <w:t>Assessment methods must confirm consistency and accuracy of performance (over time and in a range of workplace relevant contexts) together with application of underpinn</w:t>
            </w:r>
            <w:r w:rsidRPr="00F96DBC">
              <w:t>ing knowledge</w:t>
            </w:r>
          </w:p>
          <w:p w:rsidR="00000000" w:rsidRPr="00F96DBC" w:rsidP="00F96DBC">
            <w:pPr>
              <w:pStyle w:val="BodyText"/>
            </w:pPr>
            <w:r w:rsidRPr="00F96DBC">
              <w:t>Assessment methods must be by direct observation of tasks and include questioning on underpinning knowledge to ensure its correct interpretation and application</w:t>
            </w:r>
          </w:p>
          <w:p w:rsidR="00000000" w:rsidRPr="00F96DBC" w:rsidP="00F96DBC">
            <w:pPr>
              <w:pStyle w:val="BodyText"/>
            </w:pPr>
            <w:r w:rsidRPr="00F96DBC">
              <w:t>Assessment may be applied under project related conditions (real or simulated) an</w:t>
            </w:r>
            <w:r w:rsidRPr="00F96DBC">
              <w:t>d require evidence of process</w:t>
            </w:r>
          </w:p>
          <w:p w:rsidR="00000000" w:rsidRPr="00F96DBC" w:rsidP="00F96DBC">
            <w:pPr>
              <w:pStyle w:val="BodyText"/>
            </w:pPr>
            <w:r w:rsidRPr="00F96DBC">
              <w:t>Assessment must confirm a reasonable inference that competency is able not only to be satisfied under the particular circumstance, but is able to be transferred to other circumstances</w:t>
            </w:r>
          </w:p>
          <w:p w:rsidR="00000000" w:rsidRPr="00F96DBC" w:rsidP="00F96DBC">
            <w:pPr>
              <w:pStyle w:val="BodyText"/>
            </w:pPr>
            <w:r w:rsidRPr="00F96DBC">
              <w:t>Assessment may be in conjunction with asse</w:t>
            </w:r>
            <w:r w:rsidRPr="00F96DBC">
              <w:t>ssment of other units of competency</w:t>
            </w:r>
          </w:p>
        </w:tc>
      </w:tr>
    </w:tbl>
    <w:p w:rsidR="00000000" w:rsidRPr="00F96DBC" w:rsidP="00F96DBC">
      <w:pPr>
        <w:pStyle w:val="BodyText"/>
      </w:pPr>
    </w:p>
    <w:p w:rsidR="00000000" w:rsidRPr="00F96DBC" w:rsidP="00F96DBC">
      <w:pPr>
        <w:pStyle w:val="AllowPageBreak"/>
      </w:pPr>
    </w:p>
    <w:p w:rsidR="00000000" w:rsidRPr="00F96DBC" w:rsidP="00F96DBC">
      <w:pPr>
        <w:pStyle w:val="Heading1"/>
      </w:pPr>
      <w:bookmarkStart w:id="11" w:name="O_92209"/>
      <w:bookmarkEnd w:id="11"/>
      <w:r w:rsidRPr="00F96DBC">
        <w:t>Range Statement</w:t>
      </w:r>
    </w:p>
    <w:tbl>
      <w:tblPr>
        <w:tblW w:w="0" w:type="auto"/>
        <w:tblLayout w:type="fixed"/>
        <w:tblCellMar>
          <w:left w:w="62" w:type="dxa"/>
          <w:right w:w="62" w:type="dxa"/>
        </w:tblCellMar>
        <w:tblLook w:val="0000"/>
      </w:tblPr>
      <w:tblGrid>
        <w:gridCol w:w="3555"/>
        <w:gridCol w:w="4967"/>
      </w:tblGrid>
      <w:tr w:rsidTr="00E23D2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RANGE STATEMENT</w:t>
            </w:r>
          </w:p>
        </w:tc>
      </w:tr>
      <w:tr w:rsidTr="00E23D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t>The range statement relates to the unit of competency as a whole. It allows for different work environments and situations that may affect performance. Bold italicised w</w:t>
            </w:r>
            <w:r w:rsidRPr="00F96DBC">
              <w:t>ording, if used in the performance criteria, is detailed below. Essential operating conditions that may be present with training and assessment (depending on the work situation, needs of the candidate, accessibility of the item, and local industry and regi</w:t>
            </w:r>
            <w:r w:rsidRPr="00F96DBC">
              <w:t>onal contexts) may also be included.</w:t>
            </w:r>
          </w:p>
        </w:tc>
      </w:tr>
      <w:tr w:rsidTr="00E23D23">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OHS requirements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ListBullet"/>
              <w:rPr>
                <w:lang w:val="en-NZ"/>
              </w:rPr>
            </w:pPr>
            <w:r w:rsidRPr="00F96DBC">
              <w:t xml:space="preserve">are to be in accordance with Commonwealth, State or Territory legislation and regulations, organisational safety policies </w:t>
            </w:r>
            <w:r w:rsidRPr="00F96DBC">
              <w:t>and procedures. Requirements may include but not be limited to the use of personal protective equipment and clothing, fire fighting equipment, First Aid equipment, hazard and risk control and elimination of hazardous materials and substances, manual handli</w:t>
            </w:r>
            <w:r w:rsidRPr="00F96DBC">
              <w:t>ng including lifting and carrying.</w:t>
            </w:r>
          </w:p>
        </w:tc>
      </w:tr>
      <w:tr w:rsidTr="00E23D23">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Legislative requirements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ListBullet"/>
              <w:rPr>
                <w:lang w:val="en-NZ"/>
              </w:rPr>
            </w:pPr>
            <w:r w:rsidRPr="00F96DBC">
              <w:t>are to be in accordance with applicable legislation from all levels of government that affect organisational operation. Requirements may include but not be limited to award and enterprise agreeme</w:t>
            </w:r>
            <w:r w:rsidRPr="00F96DBC">
              <w:t>nts, industrial relations, Australian Standards, confidentiality and privacy, OHS, the environment, equal opportunity, anti-discrimination, relevant industry codes of practice, duty of care and heritage.</w:t>
            </w:r>
          </w:p>
        </w:tc>
      </w:tr>
      <w:tr w:rsidTr="00E23D23">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Organisational requirements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ListBullet"/>
              <w:rPr>
                <w:lang w:val="en-NZ"/>
              </w:rPr>
            </w:pPr>
            <w:r w:rsidRPr="00F96DBC">
              <w:t xml:space="preserve">may include but not be </w:t>
            </w:r>
            <w:r w:rsidRPr="00F96DBC">
              <w:t>limited to legal, organisational and site guidelines, policies and procedures relating to own role and responsibility, quality assurance, procedural manuals, quality and continuous improvement processes and standards, OHS, emergency and evacuation, ethical</w:t>
            </w:r>
            <w:r w:rsidRPr="00F96DBC">
              <w:t xml:space="preserve"> standards, recording and reporting, access and equity principles and practices, equipment use, maintenance and storage, environmental management (waste disposal, recycling and re-use guidelines)</w:t>
            </w:r>
          </w:p>
        </w:tc>
      </w:tr>
      <w:tr w:rsidTr="00E23D23">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Research</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ListBullet"/>
              <w:rPr>
                <w:lang w:val="en-NZ"/>
              </w:rPr>
            </w:pPr>
            <w:r w:rsidRPr="00F96DBC">
              <w:t>may include but is not limited to seeking out info</w:t>
            </w:r>
            <w:r w:rsidRPr="00F96DBC">
              <w:t>rmation in books, journals, newspapers, visiting exhibitions, museums, conducting material and technical experiments and tests, approaching individuals with relevant expertise, reviewing approaches of other practitioners</w:t>
            </w:r>
          </w:p>
        </w:tc>
      </w:tr>
      <w:tr w:rsidTr="00E23D23">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New techniques</w:t>
            </w:r>
            <w:r w:rsidRPr="00F96DBC">
              <w:t xml:space="preserve"> </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ListBullet"/>
              <w:rPr>
                <w:lang w:val="en-NZ"/>
              </w:rPr>
            </w:pPr>
            <w:r w:rsidRPr="00F96DBC">
              <w:t xml:space="preserve">may include but is not limited to screen printing, using computer design software, use of non traditional materials and media, fusing different glass, sandwiching materials and applying different painting and firing techniques. </w:t>
            </w:r>
          </w:p>
        </w:tc>
      </w:tr>
      <w:tr w:rsidTr="00E23D23">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New media</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ListBullet"/>
              <w:rPr>
                <w:lang w:val="en-NZ"/>
              </w:rPr>
            </w:pPr>
            <w:r w:rsidRPr="00F96DBC">
              <w:t xml:space="preserve">may include but </w:t>
            </w:r>
            <w:r w:rsidRPr="00F96DBC">
              <w:t xml:space="preserve">is not limited to fabrics, silks, metals, glass, canvas, gauze, wool, velour, paper, wood, film and computer-generated imagery  </w:t>
            </w:r>
          </w:p>
        </w:tc>
      </w:tr>
      <w:tr w:rsidTr="00E23D23">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Intellectual property</w:t>
            </w:r>
            <w:r w:rsidRPr="00F96DBC">
              <w:t xml:space="preserve">, </w:t>
            </w:r>
            <w:r w:rsidRPr="00F96DBC">
              <w:rPr>
                <w:rStyle w:val="SpecialBold"/>
              </w:rPr>
              <w:t>moral rights and copyright requirements</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ListBullet"/>
              <w:rPr>
                <w:lang w:val="en-NZ"/>
              </w:rPr>
            </w:pPr>
            <w:r w:rsidRPr="00F96DBC">
              <w:t>may include the protocols for the adaptation of work by others,</w:t>
            </w:r>
            <w:r w:rsidRPr="00F96DBC">
              <w:t xml:space="preserve"> extent to which the work may be used, procedures for seeking permission to use the work of others, including systems for the administration of copyright</w:t>
            </w:r>
          </w:p>
        </w:tc>
      </w:tr>
      <w:tr w:rsidTr="00E23D23">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Experimentation</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DBC" w:rsidP="00F96DBC">
            <w:pPr>
              <w:pStyle w:val="ListBullet"/>
            </w:pPr>
            <w:r w:rsidRPr="00F96DBC">
              <w:t>may include but is not limited to colour mixes, textures, materials, painting styles</w:t>
            </w:r>
          </w:p>
        </w:tc>
      </w:tr>
    </w:tbl>
    <w:p w:rsidR="00E23D23" w:rsidP="00F96DBC">
      <w:pPr>
        <w:pStyle w:val="BodyText"/>
      </w:pPr>
    </w:p>
    <w:p w:rsidR="00E23D23" w:rsidP="00F96DBC">
      <w:pPr>
        <w:pStyle w:val="BodyText"/>
      </w:pPr>
    </w:p>
    <w:p w:rsidR="00000000" w:rsidRPr="00F96DBC" w:rsidP="00F96DBC">
      <w:pPr>
        <w:pStyle w:val="Heading1"/>
      </w:pPr>
      <w:bookmarkStart w:id="12" w:name="O_92210"/>
      <w:bookmarkEnd w:id="12"/>
      <w:r w:rsidRPr="00F96DBC">
        <w:t>Unit Sector(s)</w:t>
      </w:r>
    </w:p>
    <w:tbl>
      <w:tblPr>
        <w:tblW w:w="0" w:type="auto"/>
        <w:tblLayout w:type="fixed"/>
        <w:tblCellMar>
          <w:left w:w="62" w:type="dxa"/>
          <w:right w:w="62" w:type="dxa"/>
        </w:tblCellMar>
        <w:tblLook w:val="0000"/>
      </w:tblPr>
      <w:tblGrid>
        <w:gridCol w:w="2626"/>
        <w:gridCol w:w="5896"/>
      </w:tblGrid>
      <w:tr w:rsidTr="00E23D23">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DBC" w:rsidP="00F96DBC">
            <w:pPr>
              <w:pStyle w:val="BodyText"/>
            </w:pPr>
            <w:r w:rsidRPr="00F96DBC">
              <w:t>Lead Light and Stained Glass</w:t>
            </w:r>
          </w:p>
        </w:tc>
      </w:tr>
    </w:tbl>
    <w:p w:rsidR="00000000" w:rsidRPr="00F96DBC" w:rsidP="00F96DBC">
      <w:pPr>
        <w:pStyle w:val="BodyText"/>
      </w:pPr>
    </w:p>
    <w:p w:rsidR="00000000" w:rsidRPr="00F96DBC" w:rsidP="00F96DBC">
      <w:pPr>
        <w:pStyle w:val="AllowPageBreak"/>
      </w:pPr>
    </w:p>
    <w:p w:rsidR="00000000" w:rsidRPr="00F96DBC" w:rsidP="00F96DBC">
      <w:pPr>
        <w:pStyle w:val="Heading1"/>
      </w:pPr>
      <w:bookmarkStart w:id="13" w:name="O_158590"/>
      <w:bookmarkEnd w:id="13"/>
      <w:r w:rsidRPr="00F96DBC">
        <w:t>Competency field</w:t>
      </w:r>
    </w:p>
    <w:tbl>
      <w:tblPr>
        <w:tblW w:w="0" w:type="auto"/>
        <w:tblLayout w:type="fixed"/>
        <w:tblCellMar>
          <w:left w:w="62" w:type="dxa"/>
          <w:right w:w="62" w:type="dxa"/>
        </w:tblCellMar>
        <w:tblLook w:val="0000"/>
      </w:tblPr>
      <w:tblGrid>
        <w:gridCol w:w="2784"/>
        <w:gridCol w:w="5738"/>
      </w:tblGrid>
      <w:tr w:rsidTr="00E23D2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DBC" w:rsidP="00F96DBC">
            <w:pPr>
              <w:pStyle w:val="BodyText"/>
            </w:pPr>
          </w:p>
        </w:tc>
      </w:tr>
    </w:tbl>
    <w:p w:rsidR="00000000" w:rsidRPr="00F96DBC" w:rsidP="00F96DBC">
      <w:pPr>
        <w:pStyle w:val="BodyText"/>
      </w:pPr>
    </w:p>
    <w:p w:rsidR="00000000" w:rsidRPr="00F96DBC" w:rsidP="00F96DBC">
      <w:pPr>
        <w:pStyle w:val="AllowPageBreak"/>
      </w:pPr>
    </w:p>
    <w:p w:rsidR="00000000" w:rsidRPr="00F96DBC" w:rsidP="00F96DBC">
      <w:pPr>
        <w:pStyle w:val="Heading1"/>
      </w:pPr>
      <w:bookmarkStart w:id="14" w:name="O_158589"/>
      <w:bookmarkEnd w:id="14"/>
      <w:r w:rsidRPr="00F96DBC">
        <w:t>Co-requisite units</w:t>
      </w:r>
    </w:p>
    <w:tbl>
      <w:tblPr>
        <w:tblW w:w="0" w:type="auto"/>
        <w:tblLayout w:type="fixed"/>
        <w:tblCellMar>
          <w:left w:w="62" w:type="dxa"/>
          <w:right w:w="62" w:type="dxa"/>
        </w:tblCellMar>
        <w:tblLook w:val="0000"/>
      </w:tblPr>
      <w:tblGrid>
        <w:gridCol w:w="2641"/>
        <w:gridCol w:w="1322"/>
        <w:gridCol w:w="4559"/>
      </w:tblGrid>
      <w:tr w:rsidTr="00E23D2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r w:rsidRPr="00F96DB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p>
        </w:tc>
      </w:tr>
      <w:tr w:rsidTr="00E23D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6DBC">
            <w:pPr>
              <w:pStyle w:val="BodyText"/>
              <w:rPr>
                <w:lang w:val="en-NZ"/>
              </w:rPr>
            </w:pPr>
          </w:p>
        </w:tc>
      </w:tr>
      <w:tr w:rsidTr="00E23D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6DBC" w:rsidP="00F96DBC">
            <w:pPr>
              <w:pStyle w:val="BodyText"/>
            </w:pPr>
          </w:p>
        </w:tc>
      </w:tr>
    </w:tbl>
    <w:p w:rsidR="00000000" w:rsidRPr="00F96DBC" w:rsidP="00F96DBC">
      <w:pPr>
        <w:pStyle w:val="BodyText"/>
      </w:pPr>
    </w:p>
    <w:p w:rsidR="00000000" w:rsidRPr="00F96DBC" w:rsidP="00F96DBC"/>
    <w:sectPr w:rsidSect="00F96D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D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3D23" w:rsidP="00E23D2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D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D23" w:rsidP="00F96DB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23D23" w:rsidP="00F96DB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23D23" w:rsidP="00F96DB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D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DBC" w:rsidRPr="00E23D23" w:rsidP="00E23D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D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D23" w:rsidRPr="002D2AF8" w:rsidP="00F96DBC">
    <w:pPr>
      <w:pStyle w:val="Header"/>
      <w:framePr w:wrap="around"/>
    </w:pPr>
    <w:r>
      <w:fldChar w:fldCharType="begin"/>
    </w:r>
    <w:r>
      <w:instrText xml:space="preserve"> TITLE   \* MERGEFORMAT </w:instrText>
    </w:r>
    <w:r>
      <w:fldChar w:fldCharType="separate"/>
    </w:r>
    <w:r>
      <w:t>LMFSL5005A Apply innovation in contemporary lead 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23D23" w:rsidP="00F96D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D2E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443A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924F5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D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6DBC"/>
    <w:pPr>
      <w:spacing w:before="360" w:after="60"/>
      <w:outlineLvl w:val="0"/>
    </w:pPr>
    <w:rPr>
      <w:sz w:val="32"/>
    </w:rPr>
  </w:style>
  <w:style w:type="paragraph" w:styleId="Heading2">
    <w:name w:val="heading 2"/>
    <w:basedOn w:val="HeadingBase"/>
    <w:next w:val="BodyText"/>
    <w:link w:val="Heading2Char"/>
    <w:qFormat/>
    <w:rsid w:val="00F96DBC"/>
    <w:pPr>
      <w:keepLines/>
      <w:spacing w:before="240" w:after="120"/>
      <w:outlineLvl w:val="1"/>
    </w:pPr>
    <w:rPr>
      <w:sz w:val="28"/>
      <w:szCs w:val="40"/>
    </w:rPr>
  </w:style>
  <w:style w:type="paragraph" w:styleId="Heading3">
    <w:name w:val="heading 3"/>
    <w:basedOn w:val="HeadingBase"/>
    <w:next w:val="BodyText"/>
    <w:link w:val="Heading3Char"/>
    <w:qFormat/>
    <w:rsid w:val="00F96DBC"/>
    <w:pPr>
      <w:spacing w:before="180" w:after="120"/>
      <w:outlineLvl w:val="2"/>
    </w:pPr>
    <w:rPr>
      <w:spacing w:val="-10"/>
      <w:kern w:val="32"/>
    </w:rPr>
  </w:style>
  <w:style w:type="paragraph" w:styleId="Heading4">
    <w:name w:val="heading 4"/>
    <w:basedOn w:val="HeadingBase"/>
    <w:next w:val="BodyText"/>
    <w:link w:val="Heading4Char"/>
    <w:qFormat/>
    <w:rsid w:val="00F96DBC"/>
    <w:pPr>
      <w:spacing w:before="160" w:after="120"/>
      <w:outlineLvl w:val="3"/>
    </w:pPr>
    <w:rPr>
      <w:sz w:val="22"/>
    </w:rPr>
  </w:style>
  <w:style w:type="paragraph" w:styleId="Heading5">
    <w:name w:val="heading 5"/>
    <w:basedOn w:val="HeadingBase"/>
    <w:next w:val="Normal"/>
    <w:link w:val="Heading5Char"/>
    <w:qFormat/>
    <w:rsid w:val="00F96DBC"/>
    <w:pPr>
      <w:spacing w:before="80"/>
      <w:outlineLvl w:val="4"/>
    </w:pPr>
    <w:rPr>
      <w:color w:val="918585"/>
      <w:sz w:val="20"/>
    </w:rPr>
  </w:style>
  <w:style w:type="paragraph" w:styleId="Heading6">
    <w:name w:val="heading 6"/>
    <w:basedOn w:val="HeadingBase"/>
    <w:next w:val="Normal"/>
    <w:link w:val="Heading6Char"/>
    <w:qFormat/>
    <w:rsid w:val="00F96DBC"/>
    <w:pPr>
      <w:spacing w:before="60"/>
      <w:outlineLvl w:val="5"/>
    </w:pPr>
    <w:rPr>
      <w:color w:val="918585"/>
      <w:sz w:val="20"/>
    </w:rPr>
  </w:style>
  <w:style w:type="paragraph" w:styleId="Heading7">
    <w:name w:val="heading 7"/>
    <w:basedOn w:val="Normal"/>
    <w:next w:val="Normal"/>
    <w:link w:val="Heading7Char"/>
    <w:qFormat/>
    <w:rsid w:val="00F96DBC"/>
    <w:pPr>
      <w:ind w:left="720"/>
      <w:outlineLvl w:val="6"/>
    </w:pPr>
    <w:rPr>
      <w:i/>
    </w:rPr>
  </w:style>
  <w:style w:type="paragraph" w:styleId="Heading8">
    <w:name w:val="heading 8"/>
    <w:basedOn w:val="Normal"/>
    <w:next w:val="Normal"/>
    <w:link w:val="Heading8Char"/>
    <w:qFormat/>
    <w:rsid w:val="00F96DBC"/>
    <w:pPr>
      <w:ind w:left="720"/>
      <w:outlineLvl w:val="7"/>
    </w:pPr>
    <w:rPr>
      <w:i/>
    </w:rPr>
  </w:style>
  <w:style w:type="paragraph" w:styleId="Heading9">
    <w:name w:val="heading 9"/>
    <w:basedOn w:val="Normal"/>
    <w:next w:val="Normal"/>
    <w:link w:val="Heading9Char"/>
    <w:qFormat/>
    <w:rsid w:val="00F96DBC"/>
    <w:pPr>
      <w:ind w:left="720"/>
      <w:outlineLvl w:val="8"/>
    </w:pPr>
    <w:rPr>
      <w:i/>
    </w:rPr>
  </w:style>
  <w:style w:type="character" w:default="1" w:styleId="DefaultParagraphFont">
    <w:name w:val="Default Paragraph Font"/>
    <w:uiPriority w:val="1"/>
    <w:unhideWhenUsed/>
    <w:rsid w:val="00F96D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DBC"/>
  </w:style>
  <w:style w:type="character" w:customStyle="1" w:styleId="Heading1Char">
    <w:name w:val="Heading 1 Char"/>
    <w:basedOn w:val="DefaultParagraphFont"/>
    <w:link w:val="Heading1"/>
    <w:rsid w:val="00F96DBC"/>
    <w:rPr>
      <w:rFonts w:ascii="Times New Roman" w:eastAsia="Times New Roman" w:hAnsi="Times New Roman" w:cs="Times New Roman"/>
      <w:b/>
      <w:sz w:val="32"/>
      <w:szCs w:val="20"/>
      <w:lang w:eastAsia="en-US"/>
    </w:rPr>
  </w:style>
  <w:style w:type="paragraph" w:styleId="BodyText">
    <w:name w:val="Body Text"/>
    <w:basedOn w:val="Normal"/>
    <w:link w:val="BodyTextChar"/>
    <w:rsid w:val="00F96DB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6DBC"/>
    <w:rPr>
      <w:rFonts w:ascii="Times New Roman" w:eastAsia="Times New Roman" w:hAnsi="Times New Roman" w:cs="Times New Roman"/>
      <w:sz w:val="24"/>
      <w:lang w:eastAsia="en-US"/>
    </w:rPr>
  </w:style>
  <w:style w:type="paragraph" w:styleId="Footer">
    <w:name w:val="footer"/>
    <w:basedOn w:val="Normal"/>
    <w:link w:val="FooterChar"/>
    <w:rsid w:val="00F96D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DBC"/>
    <w:rPr>
      <w:rFonts w:ascii="Times New Roman" w:eastAsia="Times New Roman" w:hAnsi="Times New Roman" w:cs="Times New Roman"/>
      <w:sz w:val="16"/>
      <w:lang w:eastAsia="en-US"/>
    </w:rPr>
  </w:style>
  <w:style w:type="paragraph" w:styleId="List">
    <w:name w:val="List"/>
    <w:basedOn w:val="BodyText"/>
    <w:next w:val="BodyText"/>
    <w:rsid w:val="00F96DBC"/>
    <w:pPr>
      <w:tabs>
        <w:tab w:val="left" w:pos="340"/>
      </w:tabs>
      <w:spacing w:before="60" w:after="60"/>
      <w:ind w:left="340" w:hanging="340"/>
    </w:pPr>
  </w:style>
  <w:style w:type="paragraph" w:styleId="ListBullet">
    <w:name w:val="List Bullet"/>
    <w:basedOn w:val="List"/>
    <w:rsid w:val="00F96DBC"/>
    <w:pPr>
      <w:numPr>
        <w:numId w:val="13"/>
      </w:numPr>
      <w:tabs>
        <w:tab w:val="clear" w:pos="340"/>
      </w:tabs>
      <w:spacing w:before="40" w:after="40"/>
    </w:pPr>
  </w:style>
  <w:style w:type="character" w:customStyle="1" w:styleId="SpecialBold">
    <w:name w:val="Special Bold"/>
    <w:basedOn w:val="DefaultParagraphFont"/>
    <w:rsid w:val="00F96DBC"/>
    <w:rPr>
      <w:b/>
      <w:spacing w:val="0"/>
    </w:rPr>
  </w:style>
  <w:style w:type="paragraph" w:styleId="ListBullet2">
    <w:name w:val="List Bullet 2"/>
    <w:basedOn w:val="List2"/>
    <w:rsid w:val="00F96DBC"/>
    <w:pPr>
      <w:numPr>
        <w:numId w:val="14"/>
      </w:numPr>
      <w:tabs>
        <w:tab w:val="clear" w:pos="680"/>
      </w:tabs>
    </w:pPr>
  </w:style>
  <w:style w:type="paragraph" w:customStyle="1" w:styleId="SuperHeading">
    <w:name w:val="SuperHeading"/>
    <w:basedOn w:val="Normal"/>
    <w:rsid w:val="00F96DBC"/>
    <w:pPr>
      <w:spacing w:before="240" w:after="120"/>
      <w:outlineLvl w:val="0"/>
    </w:pPr>
    <w:rPr>
      <w:rFonts w:ascii="Times New Roman" w:hAnsi="Times New Roman"/>
      <w:b/>
      <w:sz w:val="28"/>
    </w:rPr>
  </w:style>
  <w:style w:type="paragraph" w:customStyle="1" w:styleId="AllowPageBreak">
    <w:name w:val="AllowPageBreak"/>
    <w:rsid w:val="00F96DB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6DBC"/>
    <w:pPr>
      <w:tabs>
        <w:tab w:val="left" w:pos="680"/>
      </w:tabs>
      <w:spacing w:before="60" w:after="60"/>
      <w:ind w:left="680" w:hanging="340"/>
    </w:pPr>
  </w:style>
  <w:style w:type="character" w:customStyle="1" w:styleId="BoldandItalics">
    <w:name w:val="Bold and Italics"/>
    <w:qFormat/>
    <w:rsid w:val="00F96DBC"/>
    <w:rPr>
      <w:b/>
      <w:i/>
      <w:u w:val="none"/>
    </w:rPr>
  </w:style>
  <w:style w:type="character" w:customStyle="1" w:styleId="Heading2Char">
    <w:name w:val="Heading 2 Char"/>
    <w:basedOn w:val="DefaultParagraphFont"/>
    <w:link w:val="Heading2"/>
    <w:rsid w:val="00F96D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D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D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D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D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D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6D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6DBC"/>
    <w:rPr>
      <w:rFonts w:ascii="Courier New" w:eastAsia="Times New Roman" w:hAnsi="Courier New" w:cs="Times New Roman"/>
      <w:i/>
      <w:szCs w:val="20"/>
      <w:lang w:eastAsia="en-US"/>
    </w:rPr>
  </w:style>
  <w:style w:type="paragraph" w:customStyle="1" w:styleId="HeadingBase">
    <w:name w:val="Heading Base"/>
    <w:rsid w:val="00F96D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DBC"/>
    <w:pPr>
      <w:tabs>
        <w:tab w:val="right" w:leader="dot" w:pos="9072"/>
      </w:tabs>
      <w:ind w:left="567"/>
    </w:pPr>
    <w:rPr>
      <w:szCs w:val="22"/>
    </w:rPr>
  </w:style>
  <w:style w:type="paragraph" w:customStyle="1" w:styleId="TOCBase">
    <w:name w:val="TOC Base"/>
    <w:rsid w:val="00F96D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DBC"/>
    <w:pPr>
      <w:tabs>
        <w:tab w:val="right" w:leader="dot" w:pos="9072"/>
      </w:tabs>
      <w:spacing w:before="40" w:after="40"/>
      <w:ind w:left="284"/>
    </w:pPr>
    <w:rPr>
      <w:rFonts w:ascii="Times New Roman" w:hAnsi="Times New Roman"/>
    </w:rPr>
  </w:style>
  <w:style w:type="paragraph" w:styleId="TOC1">
    <w:name w:val="toc 1"/>
    <w:basedOn w:val="TOCBase"/>
    <w:next w:val="Normal"/>
    <w:rsid w:val="00F96DB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6DBC"/>
    <w:pPr>
      <w:spacing w:before="5040"/>
      <w:jc w:val="center"/>
    </w:pPr>
    <w:rPr>
      <w:sz w:val="48"/>
      <w:szCs w:val="72"/>
      <w:lang w:val="en-US"/>
    </w:rPr>
  </w:style>
  <w:style w:type="character" w:customStyle="1" w:styleId="TitleChar">
    <w:name w:val="Title Char"/>
    <w:basedOn w:val="DefaultParagraphFont"/>
    <w:link w:val="Title"/>
    <w:rsid w:val="00F96D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DBC"/>
    <w:pPr>
      <w:tabs>
        <w:tab w:val="left" w:pos="3600"/>
        <w:tab w:val="left" w:pos="3958"/>
      </w:tabs>
    </w:pPr>
  </w:style>
  <w:style w:type="paragraph" w:customStyle="1" w:styleId="Note">
    <w:name w:val="Note"/>
    <w:basedOn w:val="BodyText"/>
    <w:rsid w:val="00F96D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DBC"/>
    <w:pPr>
      <w:framePr w:wrap="auto" w:hAnchor="text" w:y="6049"/>
    </w:pPr>
    <w:rPr>
      <w:color w:val="000000"/>
      <w:sz w:val="40"/>
    </w:rPr>
  </w:style>
  <w:style w:type="paragraph" w:customStyle="1" w:styleId="TOCTitle">
    <w:name w:val="TOCTitle"/>
    <w:basedOn w:val="Heading1"/>
    <w:rsid w:val="00F96DBC"/>
    <w:pPr>
      <w:spacing w:after="240"/>
      <w:jc w:val="center"/>
      <w:outlineLvl w:val="9"/>
    </w:pPr>
    <w:rPr>
      <w:caps/>
    </w:rPr>
  </w:style>
  <w:style w:type="paragraph" w:customStyle="1" w:styleId="Version">
    <w:name w:val="Version"/>
    <w:rsid w:val="00F96DB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6DBC"/>
    <w:pPr>
      <w:keepNext w:val="0"/>
      <w:tabs>
        <w:tab w:val="right" w:pos="4176"/>
      </w:tabs>
      <w:ind w:left="198" w:hanging="198"/>
    </w:pPr>
    <w:rPr>
      <w:rFonts w:ascii="Garamond" w:hAnsi="Garamond"/>
    </w:rPr>
  </w:style>
  <w:style w:type="paragraph" w:styleId="IndexHeading">
    <w:name w:val="index heading"/>
    <w:basedOn w:val="Normal"/>
    <w:next w:val="Index1"/>
    <w:semiHidden/>
    <w:rsid w:val="00F96DBC"/>
    <w:pPr>
      <w:spacing w:before="120" w:after="120"/>
    </w:pPr>
    <w:rPr>
      <w:rFonts w:ascii="Arial" w:hAnsi="Arial"/>
      <w:b/>
      <w:color w:val="918585"/>
      <w:sz w:val="24"/>
    </w:rPr>
  </w:style>
  <w:style w:type="paragraph" w:styleId="Header">
    <w:name w:val="header"/>
    <w:basedOn w:val="Normal"/>
    <w:link w:val="HeaderChar"/>
    <w:rsid w:val="00F96D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DBC"/>
    <w:rPr>
      <w:rFonts w:ascii="Times New Roman" w:eastAsia="Times New Roman" w:hAnsi="Times New Roman" w:cs="Times New Roman"/>
      <w:sz w:val="16"/>
      <w:szCs w:val="20"/>
      <w:lang w:val="en-GB" w:eastAsia="en-US"/>
    </w:rPr>
  </w:style>
  <w:style w:type="paragraph" w:customStyle="1" w:styleId="Chapter">
    <w:name w:val="Chapter"/>
    <w:basedOn w:val="Normal"/>
    <w:rsid w:val="00F96DBC"/>
    <w:pPr>
      <w:spacing w:before="240"/>
    </w:pPr>
    <w:rPr>
      <w:rFonts w:ascii="Times New Roman" w:hAnsi="Times New Roman"/>
      <w:smallCaps/>
      <w:spacing w:val="80"/>
      <w:sz w:val="28"/>
    </w:rPr>
  </w:style>
  <w:style w:type="paragraph" w:customStyle="1" w:styleId="InChapter">
    <w:name w:val="InChapter"/>
    <w:basedOn w:val="Heading3"/>
    <w:rsid w:val="00F96DBC"/>
    <w:pPr>
      <w:spacing w:after="240"/>
      <w:outlineLvl w:val="9"/>
    </w:pPr>
    <w:rPr>
      <w:noProof/>
    </w:rPr>
  </w:style>
  <w:style w:type="paragraph" w:styleId="Index2">
    <w:name w:val="index 2"/>
    <w:basedOn w:val="Normal"/>
    <w:next w:val="Normal"/>
    <w:semiHidden/>
    <w:rsid w:val="00F96DBC"/>
    <w:pPr>
      <w:tabs>
        <w:tab w:val="right" w:pos="4176"/>
      </w:tabs>
      <w:ind w:left="568" w:hanging="284"/>
    </w:pPr>
    <w:rPr>
      <w:rFonts w:ascii="Garamond" w:hAnsi="Garamond"/>
    </w:rPr>
  </w:style>
  <w:style w:type="paragraph" w:customStyle="1" w:styleId="Byline">
    <w:name w:val="Byline"/>
    <w:rsid w:val="00F96D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DBC"/>
    <w:pPr>
      <w:tabs>
        <w:tab w:val="clear" w:pos="3600"/>
        <w:tab w:val="clear" w:pos="3958"/>
      </w:tabs>
      <w:jc w:val="right"/>
    </w:pPr>
  </w:style>
  <w:style w:type="character" w:styleId="Emphasis">
    <w:name w:val="Emphasis"/>
    <w:basedOn w:val="DefaultParagraphFont"/>
    <w:qFormat/>
    <w:rsid w:val="00F96DBC"/>
    <w:rPr>
      <w:i/>
    </w:rPr>
  </w:style>
  <w:style w:type="paragraph" w:styleId="Caption">
    <w:name w:val="caption"/>
    <w:basedOn w:val="BodyText"/>
    <w:next w:val="Normal"/>
    <w:qFormat/>
    <w:rsid w:val="00F96DBC"/>
    <w:pPr>
      <w:framePr w:w="2268" w:hSpace="181" w:vSpace="181" w:wrap="around" w:vAnchor="text" w:hAnchor="page" w:x="1135" w:y="285" w:anchorLock="1"/>
    </w:pPr>
    <w:rPr>
      <w:i/>
    </w:rPr>
  </w:style>
  <w:style w:type="paragraph" w:customStyle="1" w:styleId="MiniTOCTitle">
    <w:name w:val="MiniTOCTitle"/>
    <w:basedOn w:val="Heading4"/>
    <w:rsid w:val="00F96DBC"/>
    <w:pPr>
      <w:spacing w:before="240"/>
      <w:outlineLvl w:val="9"/>
    </w:pPr>
    <w:rPr>
      <w:noProof/>
      <w:sz w:val="24"/>
    </w:rPr>
  </w:style>
  <w:style w:type="paragraph" w:customStyle="1" w:styleId="MiniTOCItem">
    <w:name w:val="MiniTOCItem"/>
    <w:basedOn w:val="ListBullet"/>
    <w:rsid w:val="00F96DBC"/>
    <w:pPr>
      <w:numPr>
        <w:numId w:val="0"/>
      </w:numPr>
      <w:tabs>
        <w:tab w:val="right" w:leader="dot" w:pos="6521"/>
      </w:tabs>
      <w:spacing w:before="0" w:after="0"/>
    </w:pPr>
  </w:style>
  <w:style w:type="paragraph" w:customStyle="1" w:styleId="TOFTitle">
    <w:name w:val="TOFTitle"/>
    <w:basedOn w:val="TOCTitle"/>
    <w:rsid w:val="00F96DBC"/>
  </w:style>
  <w:style w:type="paragraph" w:styleId="TableofFigures">
    <w:name w:val="table of figures"/>
    <w:basedOn w:val="Normal"/>
    <w:next w:val="Normal"/>
    <w:semiHidden/>
    <w:rsid w:val="00F96DBC"/>
    <w:pPr>
      <w:tabs>
        <w:tab w:val="right" w:leader="dot" w:pos="9072"/>
      </w:tabs>
      <w:ind w:left="970" w:hanging="403"/>
    </w:pPr>
    <w:rPr>
      <w:rFonts w:ascii="Times New Roman" w:hAnsi="Times New Roman"/>
      <w:b/>
    </w:rPr>
  </w:style>
  <w:style w:type="paragraph" w:styleId="ListNumber">
    <w:name w:val="List Number"/>
    <w:basedOn w:val="List"/>
    <w:rsid w:val="00F96DBC"/>
    <w:pPr>
      <w:numPr>
        <w:numId w:val="11"/>
      </w:numPr>
    </w:pPr>
  </w:style>
  <w:style w:type="character" w:customStyle="1" w:styleId="WingdingSymbols">
    <w:name w:val="Wingding Symbols"/>
    <w:rsid w:val="00F96DBC"/>
    <w:rPr>
      <w:rFonts w:ascii="Wingdings" w:hAnsi="Wingdings"/>
    </w:rPr>
  </w:style>
  <w:style w:type="paragraph" w:customStyle="1" w:styleId="TableHeading">
    <w:name w:val="Table Heading"/>
    <w:basedOn w:val="HeadingBase"/>
    <w:rsid w:val="00F96DBC"/>
    <w:pPr>
      <w:keepLines/>
      <w:pBdr>
        <w:bottom w:val="single" w:sz="6" w:space="1" w:color="918585"/>
      </w:pBdr>
      <w:spacing w:before="240"/>
    </w:pPr>
  </w:style>
  <w:style w:type="character" w:customStyle="1" w:styleId="HotSpot">
    <w:name w:val="HotSpot"/>
    <w:rsid w:val="00F96DBC"/>
    <w:rPr>
      <w:color w:val="0033CC"/>
      <w:u w:val="none"/>
    </w:rPr>
  </w:style>
  <w:style w:type="paragraph" w:customStyle="1" w:styleId="BodyTextRight">
    <w:name w:val="Body Text Right"/>
    <w:basedOn w:val="BodyText"/>
    <w:rsid w:val="00F96DBC"/>
    <w:pPr>
      <w:spacing w:before="0" w:after="0"/>
      <w:jc w:val="right"/>
    </w:pPr>
  </w:style>
  <w:style w:type="paragraph" w:styleId="Index3">
    <w:name w:val="index 3"/>
    <w:basedOn w:val="ListNumber2"/>
    <w:next w:val="Normal"/>
    <w:semiHidden/>
    <w:rsid w:val="00F96DBC"/>
    <w:pPr>
      <w:numPr>
        <w:numId w:val="0"/>
      </w:numPr>
      <w:tabs>
        <w:tab w:val="right" w:leader="dot" w:pos="4176"/>
      </w:tabs>
    </w:pPr>
  </w:style>
  <w:style w:type="paragraph" w:styleId="ListNumber2">
    <w:name w:val="List Number 2"/>
    <w:basedOn w:val="List2"/>
    <w:rsid w:val="00F96DBC"/>
    <w:pPr>
      <w:numPr>
        <w:numId w:val="10"/>
      </w:numPr>
      <w:tabs>
        <w:tab w:val="clear" w:pos="1060"/>
      </w:tabs>
    </w:pPr>
  </w:style>
  <w:style w:type="paragraph" w:customStyle="1" w:styleId="MarginNote">
    <w:name w:val="Margin Note"/>
    <w:basedOn w:val="BodyText"/>
    <w:rsid w:val="00F96D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D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D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6DBC"/>
    <w:rPr>
      <w:sz w:val="32"/>
    </w:rPr>
  </w:style>
  <w:style w:type="paragraph" w:customStyle="1" w:styleId="HeadingProcedure">
    <w:name w:val="Heading Procedure"/>
    <w:basedOn w:val="HeadingBase"/>
    <w:next w:val="Normal"/>
    <w:rsid w:val="00F96DBC"/>
    <w:pPr>
      <w:tabs>
        <w:tab w:val="left" w:pos="0"/>
      </w:tabs>
      <w:spacing w:before="120" w:after="60"/>
    </w:pPr>
    <w:rPr>
      <w:i/>
      <w:color w:val="918585"/>
      <w:sz w:val="22"/>
    </w:rPr>
  </w:style>
  <w:style w:type="paragraph" w:customStyle="1" w:styleId="TableBodyText">
    <w:name w:val="Table Body Text"/>
    <w:basedOn w:val="BodyText"/>
    <w:rsid w:val="00F96DBC"/>
    <w:pPr>
      <w:spacing w:before="60" w:after="60"/>
    </w:pPr>
  </w:style>
  <w:style w:type="paragraph" w:styleId="ListContinue">
    <w:name w:val="List Continue"/>
    <w:basedOn w:val="List"/>
    <w:rsid w:val="00F96DBC"/>
    <w:pPr>
      <w:ind w:firstLine="0"/>
    </w:pPr>
  </w:style>
  <w:style w:type="paragraph" w:customStyle="1" w:styleId="ListNote">
    <w:name w:val="List Note"/>
    <w:basedOn w:val="List"/>
    <w:rsid w:val="00F96DBC"/>
    <w:pPr>
      <w:pBdr>
        <w:top w:val="single" w:sz="6" w:space="2" w:color="918585"/>
        <w:bottom w:val="single" w:sz="6" w:space="2" w:color="918585"/>
      </w:pBdr>
      <w:tabs>
        <w:tab w:val="left" w:pos="1021"/>
      </w:tabs>
      <w:ind w:firstLine="0"/>
    </w:pPr>
  </w:style>
  <w:style w:type="paragraph" w:customStyle="1" w:styleId="Warning">
    <w:name w:val="Warning"/>
    <w:basedOn w:val="BodyText"/>
    <w:rsid w:val="00F96DBC"/>
    <w:pPr>
      <w:shd w:val="clear" w:color="auto" w:fill="D9D9D9"/>
      <w:tabs>
        <w:tab w:val="left" w:pos="992"/>
      </w:tabs>
      <w:ind w:left="119" w:right="119"/>
    </w:pPr>
    <w:rPr>
      <w:sz w:val="20"/>
    </w:rPr>
  </w:style>
  <w:style w:type="paragraph" w:customStyle="1" w:styleId="MarginIcons">
    <w:name w:val="Margin Icons"/>
    <w:basedOn w:val="BodyText"/>
    <w:rsid w:val="00F96D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DBC"/>
    <w:rPr>
      <w:rFonts w:ascii="Courier New" w:hAnsi="Courier New"/>
    </w:rPr>
  </w:style>
  <w:style w:type="paragraph" w:customStyle="1" w:styleId="NoteBullet">
    <w:name w:val="Note Bullet"/>
    <w:basedOn w:val="Note"/>
    <w:rsid w:val="00F96DBC"/>
    <w:pPr>
      <w:tabs>
        <w:tab w:val="clear" w:pos="680"/>
      </w:tabs>
      <w:spacing w:before="60" w:after="60"/>
    </w:pPr>
  </w:style>
  <w:style w:type="paragraph" w:customStyle="1" w:styleId="SubHeading2">
    <w:name w:val="SubHeading2"/>
    <w:basedOn w:val="HeadingBase"/>
    <w:rsid w:val="00F96DBC"/>
    <w:pPr>
      <w:spacing w:before="240" w:after="60"/>
    </w:pPr>
    <w:rPr>
      <w:sz w:val="20"/>
    </w:rPr>
  </w:style>
  <w:style w:type="paragraph" w:customStyle="1" w:styleId="SubHeading1">
    <w:name w:val="SubHeading1"/>
    <w:basedOn w:val="HeadingBase"/>
    <w:rsid w:val="00F96DBC"/>
    <w:pPr>
      <w:spacing w:before="240" w:after="60"/>
    </w:pPr>
    <w:rPr>
      <w:color w:val="918585"/>
      <w:sz w:val="22"/>
    </w:rPr>
  </w:style>
  <w:style w:type="paragraph" w:customStyle="1" w:styleId="SideHeading">
    <w:name w:val="Side Heading"/>
    <w:basedOn w:val="HeadingBase"/>
    <w:rsid w:val="00F96D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DBC"/>
    <w:pPr>
      <w:numPr>
        <w:numId w:val="12"/>
      </w:numPr>
    </w:pPr>
  </w:style>
  <w:style w:type="paragraph" w:styleId="PlainText">
    <w:name w:val="Plain Text"/>
    <w:basedOn w:val="Normal"/>
    <w:link w:val="PlainTextChar"/>
    <w:rsid w:val="00F96DBC"/>
    <w:rPr>
      <w:sz w:val="20"/>
    </w:rPr>
  </w:style>
  <w:style w:type="character" w:customStyle="1" w:styleId="PlainTextChar">
    <w:name w:val="Plain Text Char"/>
    <w:basedOn w:val="DefaultParagraphFont"/>
    <w:link w:val="PlainText"/>
    <w:rsid w:val="00F96DBC"/>
    <w:rPr>
      <w:rFonts w:ascii="Courier New" w:eastAsia="Times New Roman" w:hAnsi="Courier New" w:cs="Times New Roman"/>
      <w:sz w:val="20"/>
      <w:szCs w:val="20"/>
      <w:lang w:eastAsia="en-US"/>
    </w:rPr>
  </w:style>
  <w:style w:type="character" w:customStyle="1" w:styleId="MenuOption">
    <w:name w:val="Menu Option"/>
    <w:basedOn w:val="DefaultParagraphFont"/>
    <w:rsid w:val="00F96DBC"/>
    <w:rPr>
      <w:b/>
      <w:smallCaps/>
    </w:rPr>
  </w:style>
  <w:style w:type="paragraph" w:customStyle="1" w:styleId="TableListNumber">
    <w:name w:val="Table List Number"/>
    <w:basedOn w:val="ListNumber"/>
    <w:rsid w:val="00F96DBC"/>
    <w:pPr>
      <w:numPr>
        <w:numId w:val="0"/>
      </w:numPr>
    </w:pPr>
  </w:style>
  <w:style w:type="paragraph" w:styleId="TOC4">
    <w:name w:val="toc 4"/>
    <w:basedOn w:val="TOCBase"/>
    <w:next w:val="Normal"/>
    <w:semiHidden/>
    <w:rsid w:val="00F96DBC"/>
    <w:pPr>
      <w:tabs>
        <w:tab w:val="right" w:leader="dot" w:pos="9071"/>
      </w:tabs>
      <w:ind w:left="1701"/>
    </w:pPr>
  </w:style>
  <w:style w:type="paragraph" w:customStyle="1" w:styleId="ListAlpha">
    <w:name w:val="List Alpha"/>
    <w:basedOn w:val="List"/>
    <w:rsid w:val="00F96DBC"/>
    <w:pPr>
      <w:numPr>
        <w:numId w:val="9"/>
      </w:numPr>
    </w:pPr>
  </w:style>
  <w:style w:type="paragraph" w:customStyle="1" w:styleId="ListAlpha2">
    <w:name w:val="List Alpha 2"/>
    <w:basedOn w:val="List2"/>
    <w:rsid w:val="00F96DBC"/>
    <w:pPr>
      <w:numPr>
        <w:numId w:val="8"/>
      </w:numPr>
    </w:pPr>
  </w:style>
  <w:style w:type="paragraph" w:styleId="List3">
    <w:name w:val="List 3"/>
    <w:basedOn w:val="BodyText"/>
    <w:rsid w:val="00F96DBC"/>
    <w:pPr>
      <w:tabs>
        <w:tab w:val="left" w:pos="1021"/>
      </w:tabs>
      <w:spacing w:before="60" w:after="60"/>
      <w:ind w:left="1020" w:hanging="340"/>
    </w:pPr>
  </w:style>
  <w:style w:type="paragraph" w:styleId="List4">
    <w:name w:val="List 4"/>
    <w:basedOn w:val="BodyText"/>
    <w:rsid w:val="00F96DBC"/>
    <w:pPr>
      <w:tabs>
        <w:tab w:val="left" w:pos="1361"/>
      </w:tabs>
      <w:spacing w:before="60" w:after="60"/>
      <w:ind w:left="1361" w:hanging="340"/>
    </w:pPr>
  </w:style>
  <w:style w:type="paragraph" w:styleId="List5">
    <w:name w:val="List 5"/>
    <w:basedOn w:val="BodyText"/>
    <w:rsid w:val="00F96DBC"/>
    <w:pPr>
      <w:tabs>
        <w:tab w:val="left" w:pos="1701"/>
      </w:tabs>
      <w:spacing w:before="60" w:after="60"/>
      <w:ind w:left="1701" w:hanging="340"/>
    </w:pPr>
  </w:style>
  <w:style w:type="paragraph" w:styleId="ListBullet3">
    <w:name w:val="List Bullet 3"/>
    <w:basedOn w:val="List3"/>
    <w:rsid w:val="00F96DBC"/>
    <w:pPr>
      <w:numPr>
        <w:numId w:val="15"/>
      </w:numPr>
      <w:tabs>
        <w:tab w:val="clear" w:pos="1021"/>
      </w:tabs>
      <w:ind w:left="1037" w:hanging="357"/>
    </w:pPr>
  </w:style>
  <w:style w:type="paragraph" w:styleId="ListBullet4">
    <w:name w:val="List Bullet 4"/>
    <w:basedOn w:val="List4"/>
    <w:rsid w:val="00F96DBC"/>
    <w:pPr>
      <w:numPr>
        <w:numId w:val="3"/>
      </w:numPr>
    </w:pPr>
  </w:style>
  <w:style w:type="paragraph" w:styleId="ListBullet5">
    <w:name w:val="List Bullet 5"/>
    <w:basedOn w:val="List5"/>
    <w:rsid w:val="00F96DBC"/>
    <w:pPr>
      <w:numPr>
        <w:numId w:val="4"/>
      </w:numPr>
    </w:pPr>
  </w:style>
  <w:style w:type="paragraph" w:styleId="ListContinue2">
    <w:name w:val="List Continue 2"/>
    <w:basedOn w:val="List2"/>
    <w:rsid w:val="00F96DBC"/>
    <w:pPr>
      <w:ind w:firstLine="0"/>
    </w:pPr>
  </w:style>
  <w:style w:type="paragraph" w:styleId="ListContinue3">
    <w:name w:val="List Continue 3"/>
    <w:basedOn w:val="List3"/>
    <w:rsid w:val="00F96DBC"/>
    <w:pPr>
      <w:ind w:left="1021" w:firstLine="0"/>
    </w:pPr>
  </w:style>
  <w:style w:type="paragraph" w:styleId="ListContinue4">
    <w:name w:val="List Continue 4"/>
    <w:basedOn w:val="List4"/>
    <w:rsid w:val="00F96DBC"/>
    <w:pPr>
      <w:ind w:firstLine="0"/>
    </w:pPr>
  </w:style>
  <w:style w:type="paragraph" w:styleId="ListContinue5">
    <w:name w:val="List Continue 5"/>
    <w:basedOn w:val="List5"/>
    <w:rsid w:val="00F96DBC"/>
    <w:pPr>
      <w:ind w:firstLine="0"/>
    </w:pPr>
  </w:style>
  <w:style w:type="paragraph" w:styleId="ListNumber3">
    <w:name w:val="List Number 3"/>
    <w:basedOn w:val="List3"/>
    <w:rsid w:val="00F96DBC"/>
    <w:pPr>
      <w:numPr>
        <w:numId w:val="5"/>
      </w:numPr>
    </w:pPr>
  </w:style>
  <w:style w:type="paragraph" w:styleId="ListNumber4">
    <w:name w:val="List Number 4"/>
    <w:basedOn w:val="List4"/>
    <w:rsid w:val="00F96DBC"/>
    <w:pPr>
      <w:numPr>
        <w:numId w:val="6"/>
      </w:numPr>
    </w:pPr>
  </w:style>
  <w:style w:type="paragraph" w:styleId="ListNumber5">
    <w:name w:val="List Number 5"/>
    <w:basedOn w:val="List5"/>
    <w:rsid w:val="00F96DBC"/>
    <w:pPr>
      <w:numPr>
        <w:numId w:val="7"/>
      </w:numPr>
    </w:pPr>
  </w:style>
  <w:style w:type="paragraph" w:styleId="BlockText">
    <w:name w:val="Block Text"/>
    <w:basedOn w:val="Normal"/>
    <w:rsid w:val="00F96DBC"/>
    <w:pPr>
      <w:spacing w:after="120"/>
      <w:ind w:left="1440" w:right="1440"/>
    </w:pPr>
  </w:style>
  <w:style w:type="character" w:customStyle="1" w:styleId="Subscript">
    <w:name w:val="Subscript"/>
    <w:basedOn w:val="DefaultParagraphFont"/>
    <w:rsid w:val="00F96DBC"/>
    <w:rPr>
      <w:sz w:val="16"/>
      <w:vertAlign w:val="subscript"/>
    </w:rPr>
  </w:style>
  <w:style w:type="character" w:customStyle="1" w:styleId="Superscript">
    <w:name w:val="Superscript"/>
    <w:basedOn w:val="DefaultParagraphFont"/>
    <w:rsid w:val="00F96DBC"/>
    <w:rPr>
      <w:sz w:val="16"/>
      <w:vertAlign w:val="superscript"/>
    </w:rPr>
  </w:style>
  <w:style w:type="character" w:customStyle="1" w:styleId="Symbols">
    <w:name w:val="Symbols"/>
    <w:basedOn w:val="DefaultParagraphFont"/>
    <w:rsid w:val="00F96DBC"/>
    <w:rPr>
      <w:rFonts w:ascii="Symbol" w:hAnsi="Symbol"/>
    </w:rPr>
  </w:style>
  <w:style w:type="character" w:customStyle="1" w:styleId="MenuOptions">
    <w:name w:val="Menu Options"/>
    <w:basedOn w:val="DefaultParagraphFont"/>
    <w:rsid w:val="00F96DBC"/>
    <w:rPr>
      <w:rFonts w:ascii="Arial Narrow" w:hAnsi="Arial Narrow"/>
      <w:smallCaps/>
    </w:rPr>
  </w:style>
  <w:style w:type="character" w:customStyle="1" w:styleId="Buttons">
    <w:name w:val="Buttons"/>
    <w:basedOn w:val="DefaultParagraphFont"/>
    <w:rsid w:val="00F96DBC"/>
    <w:rPr>
      <w:b/>
    </w:rPr>
  </w:style>
  <w:style w:type="character" w:customStyle="1" w:styleId="Underlined">
    <w:name w:val="Underlined"/>
    <w:basedOn w:val="DefaultParagraphFont"/>
    <w:rsid w:val="00F96DBC"/>
    <w:rPr>
      <w:u w:val="single"/>
    </w:rPr>
  </w:style>
  <w:style w:type="paragraph" w:customStyle="1" w:styleId="TableBodyTextRight">
    <w:name w:val="Table Body Text Right"/>
    <w:basedOn w:val="TableBodyText"/>
    <w:rsid w:val="00F96DBC"/>
    <w:pPr>
      <w:widowControl w:val="0"/>
      <w:autoSpaceDE w:val="0"/>
      <w:autoSpaceDN w:val="0"/>
      <w:adjustRightInd w:val="0"/>
      <w:jc w:val="right"/>
    </w:pPr>
    <w:rPr>
      <w:rFonts w:cs="Arial"/>
      <w:szCs w:val="18"/>
    </w:rPr>
  </w:style>
  <w:style w:type="paragraph" w:customStyle="1" w:styleId="CopyrightText">
    <w:name w:val="Copyright Text"/>
    <w:basedOn w:val="BodyText"/>
    <w:rsid w:val="00F96DBC"/>
    <w:rPr>
      <w:sz w:val="18"/>
    </w:rPr>
  </w:style>
  <w:style w:type="paragraph" w:customStyle="1" w:styleId="BodySmallRight">
    <w:name w:val="Body Small Right"/>
    <w:basedOn w:val="BodyTextRight"/>
    <w:rsid w:val="00F96DBC"/>
    <w:rPr>
      <w:sz w:val="18"/>
      <w:szCs w:val="18"/>
    </w:rPr>
  </w:style>
  <w:style w:type="paragraph" w:customStyle="1" w:styleId="MarginEdition">
    <w:name w:val="Margin Edition"/>
    <w:basedOn w:val="MarginNote"/>
    <w:rsid w:val="00F96DBC"/>
    <w:pPr>
      <w:spacing w:before="0" w:after="0"/>
    </w:pPr>
    <w:rPr>
      <w:rFonts w:ascii="Times New Roman" w:hAnsi="Times New Roman"/>
      <w:color w:val="999999"/>
    </w:rPr>
  </w:style>
  <w:style w:type="paragraph" w:customStyle="1" w:styleId="Spacer">
    <w:name w:val="Spacer"/>
    <w:basedOn w:val="Normal"/>
    <w:rsid w:val="00F96DBC"/>
    <w:rPr>
      <w:sz w:val="2"/>
      <w:szCs w:val="2"/>
    </w:rPr>
  </w:style>
  <w:style w:type="character" w:customStyle="1" w:styleId="Small">
    <w:name w:val="Small"/>
    <w:basedOn w:val="DefaultParagraphFont"/>
    <w:rsid w:val="00F96DBC"/>
    <w:rPr>
      <w:sz w:val="16"/>
    </w:rPr>
  </w:style>
  <w:style w:type="paragraph" w:customStyle="1" w:styleId="WideTable">
    <w:name w:val="Wide Table"/>
    <w:basedOn w:val="Normal"/>
    <w:rsid w:val="00F96DBC"/>
    <w:pPr>
      <w:ind w:left="-1418"/>
    </w:pPr>
    <w:rPr>
      <w:sz w:val="2"/>
      <w:szCs w:val="2"/>
    </w:rPr>
  </w:style>
  <w:style w:type="character" w:styleId="PageNumber">
    <w:name w:val="page number"/>
    <w:basedOn w:val="DefaultParagraphFont"/>
    <w:rsid w:val="00F96DBC"/>
  </w:style>
  <w:style w:type="paragraph" w:styleId="Quote">
    <w:name w:val="Quote"/>
    <w:basedOn w:val="Heading1"/>
    <w:link w:val="QuoteChar"/>
    <w:qFormat/>
    <w:rsid w:val="00F96DBC"/>
    <w:rPr>
      <w:b w:val="0"/>
      <w:sz w:val="72"/>
      <w:szCs w:val="72"/>
      <w:lang w:val="en-NZ"/>
    </w:rPr>
  </w:style>
  <w:style w:type="character" w:customStyle="1" w:styleId="QuoteChar">
    <w:name w:val="Quote Char"/>
    <w:basedOn w:val="DefaultParagraphFont"/>
    <w:link w:val="Quote"/>
    <w:rsid w:val="00F96D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DBC"/>
    <w:pPr>
      <w:pageBreakBefore/>
    </w:pPr>
  </w:style>
  <w:style w:type="paragraph" w:customStyle="1" w:styleId="Border">
    <w:name w:val="Border"/>
    <w:basedOn w:val="Normal"/>
    <w:qFormat/>
    <w:rsid w:val="00F96D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DBC"/>
    <w:rPr>
      <w:b/>
      <w:bCs/>
      <w:i/>
      <w:iCs/>
      <w:color w:val="auto"/>
    </w:rPr>
  </w:style>
  <w:style w:type="paragraph" w:styleId="IntenseQuote">
    <w:name w:val="Intense Quote"/>
    <w:basedOn w:val="Normal"/>
    <w:next w:val="Normal"/>
    <w:link w:val="IntenseQuoteChar"/>
    <w:uiPriority w:val="30"/>
    <w:qFormat/>
    <w:rsid w:val="00F96D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D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6DBC"/>
    <w:rPr>
      <w:smallCaps/>
      <w:color w:val="auto"/>
      <w:u w:val="single"/>
    </w:rPr>
  </w:style>
  <w:style w:type="character" w:styleId="IntenseReference">
    <w:name w:val="Intense Reference"/>
    <w:basedOn w:val="DefaultParagraphFont"/>
    <w:uiPriority w:val="32"/>
    <w:qFormat/>
    <w:rsid w:val="00F96DBC"/>
    <w:rPr>
      <w:b/>
      <w:bCs/>
      <w:smallCaps/>
      <w:color w:val="auto"/>
      <w:spacing w:val="5"/>
      <w:u w:val="single"/>
    </w:rPr>
  </w:style>
  <w:style w:type="paragraph" w:customStyle="1" w:styleId="2ColumnHeading">
    <w:name w:val="2Column Heading"/>
    <w:basedOn w:val="BodyText"/>
    <w:qFormat/>
    <w:rsid w:val="00F96DBC"/>
    <w:pPr>
      <w:spacing w:after="60"/>
      <w:ind w:left="-2268"/>
    </w:pPr>
    <w:rPr>
      <w:b/>
    </w:rPr>
  </w:style>
  <w:style w:type="paragraph" w:customStyle="1" w:styleId="Heading1TOC">
    <w:name w:val="Heading1 TOC"/>
    <w:basedOn w:val="Normal"/>
    <w:qFormat/>
    <w:rsid w:val="00F96DBC"/>
    <w:pPr>
      <w:spacing w:before="240" w:after="120"/>
    </w:pPr>
    <w:rPr>
      <w:rFonts w:ascii="Times New Roman" w:hAnsi="Times New Roman"/>
      <w:b/>
      <w:sz w:val="32"/>
    </w:rPr>
  </w:style>
  <w:style w:type="paragraph" w:customStyle="1" w:styleId="Heading2TOC">
    <w:name w:val="Heading2 TOC"/>
    <w:basedOn w:val="Normal"/>
    <w:qFormat/>
    <w:rsid w:val="00F96DBC"/>
    <w:pPr>
      <w:spacing w:before="240" w:after="60"/>
    </w:pPr>
    <w:rPr>
      <w:rFonts w:ascii="Times New Roman" w:hAnsi="Times New Roman"/>
      <w:b/>
      <w:sz w:val="28"/>
    </w:rPr>
  </w:style>
  <w:style w:type="character" w:customStyle="1" w:styleId="Underline">
    <w:name w:val="Underline"/>
    <w:basedOn w:val="DefaultParagraphFont"/>
    <w:qFormat/>
    <w:rsid w:val="00F96DBC"/>
    <w:rPr>
      <w:u w:val="single"/>
    </w:rPr>
  </w:style>
  <w:style w:type="paragraph" w:styleId="BalloonText">
    <w:name w:val="Balloon Text"/>
    <w:basedOn w:val="Normal"/>
    <w:link w:val="BalloonTextChar"/>
    <w:rsid w:val="00F96DBC"/>
    <w:rPr>
      <w:rFonts w:ascii="Tahoma" w:hAnsi="Tahoma" w:cs="Tahoma"/>
      <w:sz w:val="16"/>
      <w:szCs w:val="16"/>
    </w:rPr>
  </w:style>
  <w:style w:type="character" w:customStyle="1" w:styleId="BalloonTextChar">
    <w:name w:val="Balloon Text Char"/>
    <w:basedOn w:val="DefaultParagraphFont"/>
    <w:link w:val="BalloonText"/>
    <w:rsid w:val="00F96D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6DB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6D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6DBC"/>
    <w:rPr>
      <w:b/>
      <w:color w:val="660033"/>
      <w:spacing w:val="0"/>
    </w:rPr>
  </w:style>
  <w:style w:type="paragraph" w:customStyle="1" w:styleId="Nameditemlist">
    <w:name w:val="Named item list"/>
    <w:basedOn w:val="BodyText"/>
    <w:qFormat/>
    <w:rsid w:val="00F96DB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1756</Words>
  <Characters>10845</Characters>
  <Application>Microsoft Office Word</Application>
  <DocSecurity>0</DocSecurity>
  <Lines>335</Lines>
  <Paragraphs>134</Paragraphs>
  <ScaleCrop>false</ScaleCrop>
  <Company>Author-it Software Corporation Ltd.</Company>
  <LinksUpToDate>false</LinksUpToDate>
  <CharactersWithSpaces>12540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LMFSL5005A Apply innovation in contemporary lead light and stained glass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2012-10-05T16:00:00Z</dcterms:created>
  <dcterms:modified xsi:type="dcterms:W3CDTF">2012-10-05T16:00:00Z</dcterms:modified>
</cp:coreProperties>
</file>