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3777" w:rsidP="00C23777">
      <w:pPr>
        <w:pStyle w:val="Title"/>
      </w:pPr>
      <w:r>
        <w:fldChar w:fldCharType="begin"/>
      </w:r>
      <w:r>
        <w:instrText xml:space="preserve"> TITLE   \* MERGEFORMAT </w:instrText>
      </w:r>
      <w:r>
        <w:fldChar w:fldCharType="separate"/>
      </w:r>
      <w:r>
        <w:t>LMFSL5003B Conserve heritage leadlight and stained glass</w:t>
      </w:r>
      <w:r>
        <w:fldChar w:fldCharType="end"/>
      </w:r>
    </w:p>
    <w:p w:rsidR="00C23777" w:rsidP="00C23777">
      <w:pPr>
        <w:pStyle w:val="Version"/>
        <w:sectPr w:rsidSect="007708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08B4" w:rsidP="007708B4">
      <w:pPr>
        <w:pStyle w:val="SuperHeading"/>
      </w:pPr>
      <w:r w:rsidRPr="007708B4">
        <w:t>LMFSL5003B Conserve heritage leadlight and stained glass</w:t>
      </w:r>
    </w:p>
    <w:p w:rsidR="00000000" w:rsidRPr="007708B4" w:rsidP="007708B4">
      <w:pPr>
        <w:pStyle w:val="Heading1"/>
      </w:pPr>
      <w:bookmarkStart w:id="1" w:name="O_352342"/>
      <w:bookmarkEnd w:id="1"/>
      <w:r w:rsidRPr="007708B4">
        <w:t>Modification History</w:t>
      </w:r>
    </w:p>
    <w:p w:rsidR="00C23777" w:rsidP="007708B4">
      <w:pPr>
        <w:pStyle w:val="BodyText"/>
      </w:pPr>
      <w:r w:rsidRPr="007708B4">
        <w:t>Updated format, revised Evidence Guide. Outcome equivalent.</w:t>
      </w:r>
    </w:p>
    <w:p w:rsidR="00C23777" w:rsidP="007708B4">
      <w:pPr>
        <w:pStyle w:val="BodyText"/>
      </w:pPr>
    </w:p>
    <w:p w:rsidR="00000000" w:rsidRPr="007708B4" w:rsidP="007708B4">
      <w:pPr>
        <w:pStyle w:val="Heading1"/>
      </w:pPr>
      <w:bookmarkStart w:id="2" w:name="O_352343"/>
      <w:bookmarkEnd w:id="2"/>
      <w:r w:rsidRPr="007708B4">
        <w:t>Unit Descriptor</w:t>
      </w:r>
    </w:p>
    <w:p w:rsidR="00000000" w:rsidRPr="007708B4" w:rsidP="007708B4">
      <w:pPr>
        <w:pStyle w:val="BodyText"/>
      </w:pPr>
      <w:r w:rsidRPr="007708B4">
        <w:t>This unit of competency covers the skills and the knowledge requir</w:t>
      </w:r>
      <w:r w:rsidRPr="007708B4">
        <w:t>ed to conserve heritage leadlight and stained glass by preservation, restoration or reconstruction under the principles as determined by the Australia International Council on Monuments and Sites (ICOMOS) Burra Charter.</w:t>
      </w:r>
    </w:p>
    <w:p w:rsidR="00000000" w:rsidRPr="007708B4" w:rsidP="007708B4">
      <w:pPr>
        <w:pStyle w:val="AllowPageBreak"/>
      </w:pPr>
    </w:p>
    <w:p w:rsidR="00000000" w:rsidRPr="007708B4" w:rsidP="007708B4">
      <w:pPr>
        <w:pStyle w:val="Heading1"/>
      </w:pPr>
      <w:bookmarkStart w:id="3" w:name="O_352344"/>
      <w:bookmarkEnd w:id="3"/>
      <w:r w:rsidRPr="007708B4">
        <w:t xml:space="preserve">Application of the </w:t>
      </w:r>
      <w:r w:rsidRPr="007708B4">
        <w:t>Unit</w:t>
      </w:r>
    </w:p>
    <w:p w:rsidR="00000000" w:rsidRPr="007708B4" w:rsidP="007708B4">
      <w:pPr>
        <w:pStyle w:val="BodyText"/>
      </w:pPr>
      <w:r w:rsidRPr="007708B4">
        <w:t>This unit supports the attainment of skills and knowledge required for competent workplace performance in leadlight and stained glass operations. The requirement to conserve heritage leadlight and stained glass applies to a workshop and on-site enviro</w:t>
      </w:r>
      <w:r w:rsidRPr="007708B4">
        <w:t>nment and involves application of skills and knowledge at an artisan level. These skills and knowledge are to be used within the scope of the individual’s job and authority.</w:t>
      </w:r>
    </w:p>
    <w:p w:rsidR="00000000" w:rsidRPr="007708B4" w:rsidP="007708B4">
      <w:pPr>
        <w:pStyle w:val="AllowPageBreak"/>
      </w:pPr>
    </w:p>
    <w:p w:rsidR="00000000" w:rsidRPr="007708B4" w:rsidP="007708B4">
      <w:pPr>
        <w:pStyle w:val="Heading1"/>
      </w:pPr>
      <w:bookmarkStart w:id="4" w:name="O_352345"/>
      <w:bookmarkEnd w:id="4"/>
      <w:r w:rsidRPr="007708B4">
        <w:t>Licensing/Regulatory Information</w:t>
      </w:r>
    </w:p>
    <w:p w:rsidR="00000000" w:rsidRPr="007708B4" w:rsidP="007708B4">
      <w:pPr>
        <w:pStyle w:val="BodyText"/>
      </w:pPr>
      <w:r w:rsidRPr="007708B4">
        <w:t>Not applicable.</w:t>
      </w:r>
    </w:p>
    <w:p w:rsidR="00000000" w:rsidRPr="007708B4" w:rsidP="007708B4">
      <w:pPr>
        <w:pStyle w:val="AllowPageBreak"/>
      </w:pPr>
    </w:p>
    <w:p w:rsidR="00000000" w:rsidRPr="007708B4" w:rsidP="007708B4">
      <w:pPr>
        <w:pStyle w:val="Heading1"/>
      </w:pPr>
      <w:bookmarkStart w:id="5" w:name="O_352346"/>
      <w:bookmarkEnd w:id="5"/>
      <w:r w:rsidRPr="007708B4">
        <w:t>Pre-Requisites</w:t>
      </w:r>
    </w:p>
    <w:p w:rsidR="00000000" w:rsidRPr="007708B4" w:rsidP="007708B4">
      <w:pPr>
        <w:pStyle w:val="BodyText"/>
      </w:pPr>
      <w:r w:rsidRPr="007708B4">
        <w:t>Not applicable.</w:t>
      </w:r>
    </w:p>
    <w:p w:rsidR="00000000" w:rsidRPr="007708B4" w:rsidP="007708B4">
      <w:pPr>
        <w:pStyle w:val="AllowPageBreak"/>
      </w:pPr>
    </w:p>
    <w:p w:rsidR="00000000" w:rsidRPr="007708B4" w:rsidP="007708B4">
      <w:pPr>
        <w:pStyle w:val="Heading1"/>
      </w:pPr>
      <w:bookmarkStart w:id="6" w:name="O_352347"/>
      <w:bookmarkEnd w:id="6"/>
      <w:r w:rsidRPr="007708B4">
        <w:t>Employability Skills Information</w:t>
      </w:r>
    </w:p>
    <w:p w:rsidR="00000000" w:rsidRPr="007708B4" w:rsidP="007708B4">
      <w:pPr>
        <w:pStyle w:val="BodyText"/>
      </w:pPr>
      <w:r w:rsidRPr="007708B4">
        <w:t>This unit contains employability skills.</w:t>
      </w:r>
    </w:p>
    <w:p w:rsidR="00000000" w:rsidRPr="007708B4" w:rsidP="007708B4">
      <w:pPr>
        <w:pStyle w:val="AllowPageBreak"/>
      </w:pPr>
    </w:p>
    <w:p w:rsidR="00000000" w:rsidRPr="007708B4" w:rsidP="007708B4">
      <w:pPr>
        <w:pStyle w:val="Heading1"/>
      </w:pPr>
      <w:bookmarkStart w:id="7" w:name="O_352348"/>
      <w:bookmarkEnd w:id="7"/>
      <w:r w:rsidRPr="007708B4">
        <w:t>Elements and Performance Criteria Pre-Content</w:t>
      </w:r>
    </w:p>
    <w:tbl>
      <w:tblPr>
        <w:tblW w:w="0" w:type="auto"/>
        <w:tblLayout w:type="fixed"/>
        <w:tblCellMar>
          <w:left w:w="62" w:type="dxa"/>
          <w:right w:w="62" w:type="dxa"/>
        </w:tblCellMar>
        <w:tblLook w:val="0000"/>
      </w:tblPr>
      <w:tblGrid>
        <w:gridCol w:w="2640"/>
        <w:gridCol w:w="6380"/>
      </w:tblGrid>
      <w:tr w:rsidTr="007708B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708B4" w:rsidP="007708B4">
            <w:pPr>
              <w:pStyle w:val="BodyText"/>
            </w:pPr>
            <w:r w:rsidRPr="007708B4">
              <w:t>Performance criteria describe the performance needed to demonstrate achievement of the element. Where bold italicised text is used, further information is detailed in the required skills and</w:t>
            </w:r>
            <w:r w:rsidRPr="007708B4">
              <w:t xml:space="preserve"> knowledge section and the range statement. Assessment of performance is to be consistent with the evidence guide.</w:t>
            </w:r>
          </w:p>
        </w:tc>
      </w:tr>
    </w:tbl>
    <w:p w:rsidR="00000000" w:rsidRPr="007708B4" w:rsidP="007708B4">
      <w:pPr>
        <w:pStyle w:val="BodyText"/>
      </w:pPr>
    </w:p>
    <w:p w:rsidR="00000000" w:rsidRPr="007708B4" w:rsidP="007708B4">
      <w:pPr>
        <w:pStyle w:val="AllowPageBreak"/>
      </w:pPr>
    </w:p>
    <w:p w:rsidR="00000000" w:rsidRPr="007708B4" w:rsidP="007708B4">
      <w:pPr>
        <w:pStyle w:val="Heading1"/>
      </w:pPr>
      <w:bookmarkStart w:id="8" w:name="O_352349"/>
      <w:bookmarkEnd w:id="8"/>
      <w:r w:rsidRPr="007708B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708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1</w:t>
            </w:r>
          </w:p>
        </w:tc>
        <w:tc>
          <w:tcPr>
            <w:tcW w:w="1962" w:type="dxa"/>
            <w:vMerge w:val="restart"/>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Identify conservation requirements</w:t>
            </w:r>
          </w:p>
        </w:tc>
        <w:tc>
          <w:tcPr>
            <w:tcW w:w="770"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1.1</w:t>
            </w:r>
          </w:p>
        </w:tc>
        <w:tc>
          <w:tcPr>
            <w:tcW w:w="5610"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 xml:space="preserve">Applicable </w:t>
            </w:r>
            <w:r w:rsidRPr="007708B4">
              <w:rPr>
                <w:rStyle w:val="BoldandItalics"/>
              </w:rPr>
              <w:t>occupational health and safety (OHS)</w:t>
            </w:r>
            <w:r w:rsidRPr="007708B4">
              <w:t xml:space="preserve">, </w:t>
            </w:r>
            <w:r w:rsidRPr="007708B4">
              <w:rPr>
                <w:rStyle w:val="BoldandItalics"/>
              </w:rPr>
              <w:t>legislative</w:t>
            </w:r>
            <w:r w:rsidRPr="007708B4">
              <w:t xml:space="preserve"> and </w:t>
            </w:r>
            <w:r w:rsidRPr="007708B4">
              <w:rPr>
                <w:rStyle w:val="BoldandItalics"/>
              </w:rPr>
              <w:t>organisational requirements</w:t>
            </w:r>
            <w:r w:rsidRPr="007708B4">
              <w:t xml:space="preserve"> relevant to leadlight and stained glass operations are verified and complied with</w:t>
            </w:r>
          </w:p>
        </w:tc>
      </w:tr>
      <w:tr w:rsidTr="007708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1.2</w:t>
            </w:r>
          </w:p>
        </w:tc>
        <w:tc>
          <w:tcPr>
            <w:tcW w:w="5610"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 xml:space="preserve">Detailed inspections of the heritage leadlight and stained glass are conducted to verify </w:t>
            </w:r>
            <w:r w:rsidRPr="007708B4">
              <w:rPr>
                <w:rStyle w:val="BoldandItalics"/>
              </w:rPr>
              <w:t>conservation</w:t>
            </w:r>
            <w:r w:rsidRPr="007708B4">
              <w:t xml:space="preserve"> requirements</w:t>
            </w:r>
          </w:p>
        </w:tc>
      </w:tr>
      <w:tr w:rsidTr="007708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1.3</w:t>
            </w:r>
          </w:p>
        </w:tc>
        <w:tc>
          <w:tcPr>
            <w:tcW w:w="5610" w:type="dxa"/>
            <w:tcBorders>
              <w:top w:val="nil"/>
              <w:left w:val="nil"/>
              <w:bottom w:val="nil"/>
              <w:right w:val="nil"/>
            </w:tcBorders>
            <w:tcMar>
              <w:top w:w="0" w:type="dxa"/>
              <w:left w:w="62" w:type="dxa"/>
              <w:bottom w:w="0" w:type="dxa"/>
              <w:right w:w="62" w:type="dxa"/>
            </w:tcMar>
          </w:tcPr>
          <w:p w:rsidR="00000000" w:rsidRPr="007708B4" w:rsidP="007708B4">
            <w:pPr>
              <w:pStyle w:val="BodyText"/>
            </w:pPr>
            <w:r w:rsidRPr="007708B4">
              <w:t xml:space="preserve">Conservation requirements are identified, confirmed and clarified with </w:t>
            </w:r>
            <w:r w:rsidRPr="007708B4">
              <w:rPr>
                <w:rStyle w:val="BoldandItalics"/>
              </w:rPr>
              <w:t>appropriate personnel</w:t>
            </w:r>
            <w:r w:rsidRPr="007708B4">
              <w:t xml:space="preserve"> </w:t>
            </w:r>
          </w:p>
        </w:tc>
      </w:tr>
    </w:tbl>
    <w:p w:rsidR="00000000" w:rsidRPr="007708B4" w:rsidP="007708B4">
      <w:pPr>
        <w:pStyle w:val="BodyText"/>
      </w:pPr>
    </w:p>
    <w:tbl>
      <w:tblPr>
        <w:tblW w:w="0" w:type="auto"/>
        <w:tblLayout w:type="fixed"/>
        <w:tblCellMar>
          <w:left w:w="62" w:type="dxa"/>
          <w:right w:w="62" w:type="dxa"/>
        </w:tblCellMar>
        <w:tblLook w:val="0000"/>
      </w:tblPr>
      <w:tblGrid>
        <w:gridCol w:w="678"/>
        <w:gridCol w:w="1962"/>
        <w:gridCol w:w="770"/>
        <w:gridCol w:w="5610"/>
      </w:tblGrid>
      <w:tr w:rsidTr="007708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2</w:t>
            </w:r>
          </w:p>
        </w:tc>
        <w:tc>
          <w:tcPr>
            <w:tcW w:w="1962" w:type="dxa"/>
            <w:vMerge w:val="restart"/>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Plan conservation processes</w:t>
            </w:r>
          </w:p>
        </w:tc>
        <w:tc>
          <w:tcPr>
            <w:tcW w:w="770"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2.1</w:t>
            </w:r>
          </w:p>
        </w:tc>
        <w:tc>
          <w:tcPr>
            <w:tcW w:w="5610"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 xml:space="preserve">Conservation sequence is identified and a work plan is developed </w:t>
            </w:r>
          </w:p>
        </w:tc>
      </w:tr>
      <w:tr w:rsidTr="007708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708B4" w:rsidP="007708B4">
            <w:pPr>
              <w:pStyle w:val="BodyText"/>
            </w:pPr>
            <w:r w:rsidRPr="007708B4">
              <w:t>2.2</w:t>
            </w:r>
          </w:p>
        </w:tc>
        <w:tc>
          <w:tcPr>
            <w:tcW w:w="5610"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rPr>
                <w:rStyle w:val="BoldandItalics"/>
              </w:rPr>
              <w:t>Tools and equipment</w:t>
            </w:r>
            <w:r w:rsidRPr="007708B4">
              <w:t xml:space="preserve"> required for the conservation are identified</w:t>
            </w:r>
          </w:p>
        </w:tc>
      </w:tr>
      <w:tr w:rsidTr="007708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2.3</w:t>
            </w:r>
          </w:p>
        </w:tc>
        <w:tc>
          <w:tcPr>
            <w:tcW w:w="5610" w:type="dxa"/>
            <w:tcBorders>
              <w:top w:val="nil"/>
              <w:left w:val="nil"/>
              <w:bottom w:val="nil"/>
              <w:right w:val="nil"/>
            </w:tcBorders>
            <w:tcMar>
              <w:top w:w="0" w:type="dxa"/>
              <w:left w:w="62" w:type="dxa"/>
              <w:bottom w:w="0" w:type="dxa"/>
              <w:right w:w="62" w:type="dxa"/>
            </w:tcMar>
          </w:tcPr>
          <w:p w:rsidR="00000000" w:rsidRPr="007708B4" w:rsidP="007708B4">
            <w:pPr>
              <w:pStyle w:val="BodyText"/>
            </w:pPr>
            <w:r w:rsidRPr="007708B4">
              <w:t>Approval of conservation plan is obtained as required by agreed procedures</w:t>
            </w:r>
          </w:p>
        </w:tc>
      </w:tr>
    </w:tbl>
    <w:p w:rsidR="00000000" w:rsidRPr="007708B4" w:rsidP="007708B4">
      <w:pPr>
        <w:pStyle w:val="BodyText"/>
      </w:pPr>
    </w:p>
    <w:tbl>
      <w:tblPr>
        <w:tblW w:w="0" w:type="auto"/>
        <w:tblLayout w:type="fixed"/>
        <w:tblCellMar>
          <w:left w:w="62" w:type="dxa"/>
          <w:right w:w="62" w:type="dxa"/>
        </w:tblCellMar>
        <w:tblLook w:val="0000"/>
      </w:tblPr>
      <w:tblGrid>
        <w:gridCol w:w="678"/>
        <w:gridCol w:w="1962"/>
        <w:gridCol w:w="770"/>
        <w:gridCol w:w="5610"/>
      </w:tblGrid>
      <w:tr w:rsidTr="007708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3</w:t>
            </w:r>
          </w:p>
        </w:tc>
        <w:tc>
          <w:tcPr>
            <w:tcW w:w="1962" w:type="dxa"/>
            <w:vMerge w:val="restart"/>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Prepare for the conservation process</w:t>
            </w:r>
          </w:p>
        </w:tc>
        <w:tc>
          <w:tcPr>
            <w:tcW w:w="770"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3.1</w:t>
            </w:r>
          </w:p>
        </w:tc>
        <w:tc>
          <w:tcPr>
            <w:tcW w:w="5610"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Tools and equipment are positioned and checked prior to use to ensure they are appropriate for the task, serviceable and in a safe condition</w:t>
            </w:r>
          </w:p>
        </w:tc>
      </w:tr>
      <w:tr w:rsidTr="007708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708B4" w:rsidP="007708B4">
            <w:pPr>
              <w:pStyle w:val="BodyText"/>
            </w:pPr>
            <w:r w:rsidRPr="007708B4">
              <w:t>3.2</w:t>
            </w:r>
          </w:p>
        </w:tc>
        <w:tc>
          <w:tcPr>
            <w:tcW w:w="5610"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rPr>
                <w:rStyle w:val="BoldandItalics"/>
              </w:rPr>
              <w:t xml:space="preserve">Plans and other documents </w:t>
            </w:r>
            <w:r w:rsidRPr="007708B4">
              <w:t>are positioned to allow for confirmation of the panel structure</w:t>
            </w:r>
          </w:p>
        </w:tc>
      </w:tr>
      <w:tr w:rsidTr="007708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3.3</w:t>
            </w:r>
          </w:p>
        </w:tc>
        <w:tc>
          <w:tcPr>
            <w:tcW w:w="5610"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Outline cha</w:t>
            </w:r>
            <w:r w:rsidRPr="007708B4">
              <w:t xml:space="preserve">rcoal rubbings are made to confirm design during the process </w:t>
            </w:r>
          </w:p>
        </w:tc>
      </w:tr>
      <w:tr w:rsidTr="007708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3.4</w:t>
            </w:r>
          </w:p>
        </w:tc>
        <w:tc>
          <w:tcPr>
            <w:tcW w:w="5610" w:type="dxa"/>
            <w:tcBorders>
              <w:top w:val="nil"/>
              <w:left w:val="nil"/>
              <w:bottom w:val="nil"/>
              <w:right w:val="nil"/>
            </w:tcBorders>
            <w:tcMar>
              <w:top w:w="0" w:type="dxa"/>
              <w:left w:w="62" w:type="dxa"/>
              <w:bottom w:w="0" w:type="dxa"/>
              <w:right w:w="62" w:type="dxa"/>
            </w:tcMar>
          </w:tcPr>
          <w:p w:rsidR="00000000" w:rsidRPr="007708B4" w:rsidP="007708B4">
            <w:pPr>
              <w:pStyle w:val="BodyText"/>
            </w:pPr>
            <w:r w:rsidRPr="007708B4">
              <w:t>Photographs are taken of the panel for later reference</w:t>
            </w:r>
          </w:p>
        </w:tc>
      </w:tr>
    </w:tbl>
    <w:p w:rsidR="00000000" w:rsidRPr="007708B4" w:rsidP="007708B4">
      <w:pPr>
        <w:pStyle w:val="BodyText"/>
      </w:pPr>
    </w:p>
    <w:tbl>
      <w:tblPr>
        <w:tblW w:w="0" w:type="auto"/>
        <w:tblLayout w:type="fixed"/>
        <w:tblCellMar>
          <w:left w:w="62" w:type="dxa"/>
          <w:right w:w="62" w:type="dxa"/>
        </w:tblCellMar>
        <w:tblLook w:val="0000"/>
      </w:tblPr>
      <w:tblGrid>
        <w:gridCol w:w="678"/>
        <w:gridCol w:w="1962"/>
        <w:gridCol w:w="770"/>
        <w:gridCol w:w="5610"/>
      </w:tblGrid>
      <w:tr w:rsidTr="007708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4</w:t>
            </w:r>
          </w:p>
        </w:tc>
        <w:tc>
          <w:tcPr>
            <w:tcW w:w="1962" w:type="dxa"/>
            <w:vMerge w:val="restart"/>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Conduct the conservation process</w:t>
            </w:r>
          </w:p>
        </w:tc>
        <w:tc>
          <w:tcPr>
            <w:tcW w:w="770"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4.1</w:t>
            </w:r>
          </w:p>
        </w:tc>
        <w:tc>
          <w:tcPr>
            <w:tcW w:w="5610"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Components requiring conservation are cleaned or disposed of</w:t>
            </w:r>
          </w:p>
        </w:tc>
      </w:tr>
      <w:tr w:rsidTr="007708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4.2</w:t>
            </w:r>
          </w:p>
        </w:tc>
        <w:tc>
          <w:tcPr>
            <w:tcW w:w="5610"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 xml:space="preserve">Decisions on conservation methods are confirmed </w:t>
            </w:r>
          </w:p>
        </w:tc>
      </w:tr>
      <w:tr w:rsidTr="007708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708B4" w:rsidP="007708B4">
            <w:pPr>
              <w:pStyle w:val="BodyText"/>
            </w:pPr>
            <w:r w:rsidRPr="007708B4">
              <w:t>4.3</w:t>
            </w:r>
          </w:p>
        </w:tc>
        <w:tc>
          <w:tcPr>
            <w:tcW w:w="5610"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rPr>
                <w:rStyle w:val="BoldandItalics"/>
              </w:rPr>
              <w:t>Replacement materials</w:t>
            </w:r>
            <w:r w:rsidRPr="007708B4">
              <w:t xml:space="preserve"> are selected and </w:t>
            </w:r>
            <w:r w:rsidRPr="007708B4">
              <w:rPr>
                <w:rStyle w:val="BoldandItalics"/>
              </w:rPr>
              <w:t xml:space="preserve">prepared </w:t>
            </w:r>
          </w:p>
        </w:tc>
      </w:tr>
      <w:tr w:rsidTr="007708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708B4" w:rsidP="007708B4">
            <w:pPr>
              <w:pStyle w:val="BodyText"/>
            </w:pPr>
            <w:r w:rsidRPr="007708B4">
              <w:t>4.4</w:t>
            </w:r>
          </w:p>
        </w:tc>
        <w:tc>
          <w:tcPr>
            <w:tcW w:w="5610"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rPr>
                <w:rStyle w:val="BoldandItalics"/>
              </w:rPr>
              <w:t>Measurements</w:t>
            </w:r>
            <w:r w:rsidRPr="007708B4">
              <w:t xml:space="preserve"> and </w:t>
            </w:r>
            <w:r w:rsidRPr="007708B4">
              <w:rPr>
                <w:rStyle w:val="BoldandItalics"/>
              </w:rPr>
              <w:t>tests</w:t>
            </w:r>
            <w:r w:rsidRPr="007708B4">
              <w:t xml:space="preserve"> are conducted to confirm conservation plan</w:t>
            </w:r>
          </w:p>
        </w:tc>
      </w:tr>
      <w:tr w:rsidTr="007708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4.5</w:t>
            </w:r>
          </w:p>
        </w:tc>
        <w:tc>
          <w:tcPr>
            <w:tcW w:w="5610" w:type="dxa"/>
            <w:tcBorders>
              <w:top w:val="nil"/>
              <w:left w:val="nil"/>
              <w:bottom w:val="nil"/>
              <w:right w:val="nil"/>
            </w:tcBorders>
            <w:tcMar>
              <w:top w:w="0" w:type="dxa"/>
              <w:left w:w="62" w:type="dxa"/>
              <w:bottom w:w="0" w:type="dxa"/>
              <w:right w:w="62" w:type="dxa"/>
            </w:tcMar>
          </w:tcPr>
          <w:p w:rsidR="00000000" w:rsidRPr="007708B4" w:rsidP="007708B4">
            <w:pPr>
              <w:pStyle w:val="BodyText"/>
            </w:pPr>
            <w:r w:rsidRPr="007708B4">
              <w:t xml:space="preserve">Panel is </w:t>
            </w:r>
            <w:r w:rsidRPr="007708B4">
              <w:rPr>
                <w:rStyle w:val="BoldandItalics"/>
              </w:rPr>
              <w:t>assembled</w:t>
            </w:r>
            <w:r w:rsidRPr="007708B4">
              <w:t xml:space="preserve"> and checked against original data </w:t>
            </w:r>
          </w:p>
        </w:tc>
      </w:tr>
    </w:tbl>
    <w:p w:rsidR="00000000" w:rsidRPr="007708B4" w:rsidP="007708B4">
      <w:pPr>
        <w:pStyle w:val="BodyText"/>
      </w:pPr>
    </w:p>
    <w:tbl>
      <w:tblPr>
        <w:tblW w:w="0" w:type="auto"/>
        <w:tblLayout w:type="fixed"/>
        <w:tblCellMar>
          <w:left w:w="62" w:type="dxa"/>
          <w:right w:w="62" w:type="dxa"/>
        </w:tblCellMar>
        <w:tblLook w:val="0000"/>
      </w:tblPr>
      <w:tblGrid>
        <w:gridCol w:w="678"/>
        <w:gridCol w:w="1962"/>
        <w:gridCol w:w="770"/>
        <w:gridCol w:w="5610"/>
      </w:tblGrid>
      <w:tr w:rsidTr="007708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5</w:t>
            </w:r>
          </w:p>
        </w:tc>
        <w:tc>
          <w:tcPr>
            <w:tcW w:w="1962" w:type="dxa"/>
            <w:vMerge w:val="restart"/>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Finalise and report on the assessment</w:t>
            </w:r>
          </w:p>
        </w:tc>
        <w:tc>
          <w:tcPr>
            <w:tcW w:w="770"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5.1</w:t>
            </w:r>
          </w:p>
        </w:tc>
        <w:tc>
          <w:tcPr>
            <w:tcW w:w="5610"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Conserved leadlight and stained glass panel is inspected for quality of work and problems rectified</w:t>
            </w:r>
          </w:p>
        </w:tc>
      </w:tr>
      <w:tr w:rsidTr="007708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5.2</w:t>
            </w:r>
          </w:p>
        </w:tc>
        <w:tc>
          <w:tcPr>
            <w:tcW w:w="5610"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 xml:space="preserve">Tools and equipment are removed, cleaned and stored appropriately </w:t>
            </w:r>
          </w:p>
        </w:tc>
      </w:tr>
      <w:tr w:rsidTr="007708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5.3</w:t>
            </w:r>
          </w:p>
        </w:tc>
        <w:tc>
          <w:tcPr>
            <w:tcW w:w="5610"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Conservation area is cleaned and rubbish disposed of, as appropriate</w:t>
            </w:r>
          </w:p>
        </w:tc>
      </w:tr>
      <w:tr w:rsidTr="007708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5.4</w:t>
            </w:r>
          </w:p>
        </w:tc>
        <w:tc>
          <w:tcPr>
            <w:tcW w:w="5610"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Panel is packaged and stored prior to movement and installation</w:t>
            </w:r>
          </w:p>
        </w:tc>
      </w:tr>
      <w:tr w:rsidTr="007708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708B4" w:rsidP="007708B4">
            <w:pPr>
              <w:pStyle w:val="BodyText"/>
            </w:pPr>
            <w:r w:rsidRPr="007708B4">
              <w:t>5.5</w:t>
            </w:r>
          </w:p>
        </w:tc>
        <w:tc>
          <w:tcPr>
            <w:tcW w:w="5610" w:type="dxa"/>
            <w:tcBorders>
              <w:top w:val="nil"/>
              <w:left w:val="nil"/>
              <w:bottom w:val="nil"/>
              <w:right w:val="nil"/>
            </w:tcBorders>
            <w:tcMar>
              <w:top w:w="0" w:type="dxa"/>
              <w:left w:w="62" w:type="dxa"/>
              <w:bottom w:w="0" w:type="dxa"/>
              <w:right w:w="62" w:type="dxa"/>
            </w:tcMar>
          </w:tcPr>
          <w:p w:rsidR="00000000" w:rsidRPr="007708B4" w:rsidP="007708B4">
            <w:pPr>
              <w:pStyle w:val="BodyText"/>
            </w:pPr>
            <w:r w:rsidRPr="007708B4">
              <w:rPr>
                <w:rStyle w:val="BoldandItalics"/>
              </w:rPr>
              <w:t xml:space="preserve">Conservation report </w:t>
            </w:r>
            <w:r w:rsidRPr="007708B4">
              <w:t>is</w:t>
            </w:r>
            <w:r w:rsidRPr="007708B4">
              <w:rPr>
                <w:rStyle w:val="SpecialBold"/>
              </w:rPr>
              <w:t xml:space="preserve"> </w:t>
            </w:r>
            <w:r w:rsidRPr="007708B4">
              <w:t xml:space="preserve">prepared and provided, as required </w:t>
            </w:r>
          </w:p>
        </w:tc>
      </w:tr>
    </w:tbl>
    <w:p w:rsidR="00C23777" w:rsidP="007708B4">
      <w:pPr>
        <w:pStyle w:val="BodyText"/>
      </w:pPr>
    </w:p>
    <w:p w:rsidR="00C23777" w:rsidP="007708B4">
      <w:pPr>
        <w:pStyle w:val="BodyText"/>
      </w:pPr>
    </w:p>
    <w:p w:rsidR="00000000" w:rsidRPr="007708B4" w:rsidP="007708B4">
      <w:pPr>
        <w:pStyle w:val="Heading1"/>
      </w:pPr>
      <w:bookmarkStart w:id="9" w:name="O_352350"/>
      <w:bookmarkEnd w:id="9"/>
      <w:r w:rsidRPr="007708B4">
        <w:t>Required Skills and Knowledge</w:t>
      </w:r>
    </w:p>
    <w:tbl>
      <w:tblPr>
        <w:tblW w:w="9462" w:type="dxa"/>
        <w:tblLayout w:type="fixed"/>
        <w:tblCellMar>
          <w:left w:w="62" w:type="dxa"/>
          <w:right w:w="62" w:type="dxa"/>
        </w:tblCellMar>
        <w:tblLook w:val="0000"/>
      </w:tblPr>
      <w:tblGrid>
        <w:gridCol w:w="9462"/>
      </w:tblGrid>
      <w:tr w:rsidTr="007708B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This section describes the skills and knowledge required for this unit.</w:t>
            </w:r>
          </w:p>
        </w:tc>
      </w:tr>
      <w:tr w:rsidTr="007708B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p>
        </w:tc>
      </w:tr>
      <w:tr w:rsidTr="007708B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708B4" w:rsidP="007708B4">
            <w:pPr>
              <w:pStyle w:val="BodyText"/>
            </w:pPr>
            <w:r w:rsidRPr="007708B4">
              <w:rPr>
                <w:rStyle w:val="SpecialBold"/>
              </w:rPr>
              <w:t>Required skills include:</w:t>
            </w:r>
          </w:p>
          <w:p w:rsidR="00000000" w:rsidRPr="007708B4" w:rsidP="007708B4">
            <w:pPr>
              <w:pStyle w:val="ListBullet"/>
            </w:pPr>
            <w:r w:rsidRPr="007708B4">
              <w:t xml:space="preserve">collecting, organising and understanding materials technology and information related to the conservation of heritage leadlight and stained glass </w:t>
            </w:r>
          </w:p>
          <w:p w:rsidR="00000000" w:rsidRPr="007708B4" w:rsidP="007708B4">
            <w:pPr>
              <w:pStyle w:val="ListBullet"/>
            </w:pPr>
            <w:r w:rsidRPr="007708B4">
              <w:t>using communication skills to the level required to confirm work requirements and specifications; communicate effectively regarding work requirements with supervisors, other workers and customers; report work outcomes and problems; and relate to people fro</w:t>
            </w:r>
            <w:r w:rsidRPr="007708B4">
              <w:t>m a range of social, cultural and ethnic backgrounds, and of varying physical and mental abilities</w:t>
            </w:r>
          </w:p>
          <w:p w:rsidR="00000000" w:rsidRPr="007708B4" w:rsidP="007708B4">
            <w:pPr>
              <w:pStyle w:val="ListBullet"/>
            </w:pPr>
            <w:r w:rsidRPr="007708B4">
              <w:t>using literacy skills to the level required to understand information related to work orders, including common industry terminology, plans and safety procedu</w:t>
            </w:r>
            <w:r w:rsidRPr="007708B4">
              <w:t>res; prepare reports; and interpret technical information and specifications</w:t>
            </w:r>
          </w:p>
          <w:p w:rsidR="00000000" w:rsidRPr="007708B4" w:rsidP="007708B4">
            <w:pPr>
              <w:pStyle w:val="ListBullet"/>
            </w:pPr>
            <w:r w:rsidRPr="007708B4">
              <w:t xml:space="preserve">maintaining quality records related to conservation of heritage leadlight and stained glass </w:t>
            </w:r>
          </w:p>
          <w:p w:rsidR="00000000" w:rsidRPr="007708B4" w:rsidP="007708B4">
            <w:pPr>
              <w:pStyle w:val="ListBullet"/>
            </w:pPr>
            <w:r w:rsidRPr="007708B4">
              <w:t>working with others and in a team by recognising dependencies and using cooperative ap</w:t>
            </w:r>
            <w:r w:rsidRPr="007708B4">
              <w:t>proaches to optimise workflow and productivity</w:t>
            </w:r>
          </w:p>
          <w:p w:rsidR="00000000" w:rsidRPr="007708B4" w:rsidP="007708B4">
            <w:pPr>
              <w:pStyle w:val="ListBullet"/>
            </w:pPr>
            <w:r w:rsidRPr="007708B4">
              <w:t xml:space="preserve">identifying, anticipating and responding to faults in conservation of heritage leadlight and stained glass </w:t>
            </w:r>
          </w:p>
          <w:p w:rsidR="00000000" w:rsidRPr="007708B4" w:rsidP="007708B4">
            <w:pPr>
              <w:pStyle w:val="ListBullet"/>
            </w:pPr>
            <w:r w:rsidRPr="007708B4">
              <w:t>recognising and responding to circumstances outside instructions or personal competence</w:t>
            </w:r>
          </w:p>
          <w:p w:rsidR="00000000" w:rsidRPr="007708B4" w:rsidP="007708B4">
            <w:pPr>
              <w:pStyle w:val="ListBullet"/>
            </w:pPr>
            <w:r w:rsidRPr="007708B4">
              <w:t xml:space="preserve">planning and </w:t>
            </w:r>
            <w:r w:rsidRPr="007708B4">
              <w:t>organising activities, including the preparation and layout of own worksite, and the obtaining and use of tools and materials to avoid any backtracking, work flow interruptions or wastage</w:t>
            </w:r>
          </w:p>
          <w:p w:rsidR="00000000" w:rsidRPr="007708B4" w:rsidP="007708B4">
            <w:pPr>
              <w:pStyle w:val="ListBullet"/>
            </w:pPr>
            <w:r w:rsidRPr="007708B4">
              <w:t>using mathematical ideas and techniques to correctly complete measur</w:t>
            </w:r>
            <w:r w:rsidRPr="007708B4">
              <w:t>ements, calculate area and volume, and estimate work and material requirements</w:t>
            </w:r>
          </w:p>
          <w:p w:rsidR="00000000" w:rsidRPr="007708B4" w:rsidP="007708B4">
            <w:pPr>
              <w:pStyle w:val="ListBullet"/>
            </w:pPr>
            <w:r w:rsidRPr="007708B4">
              <w:t>clarifying and confirming work instructions</w:t>
            </w:r>
          </w:p>
          <w:p w:rsidR="00000000" w:rsidRPr="007708B4" w:rsidP="007708B4">
            <w:pPr>
              <w:pStyle w:val="ListBullet"/>
            </w:pPr>
            <w:r w:rsidRPr="007708B4">
              <w:t>planning own work within the given task parameters</w:t>
            </w:r>
          </w:p>
          <w:p w:rsidR="00000000" w:rsidRPr="007708B4" w:rsidP="007708B4">
            <w:pPr>
              <w:pStyle w:val="ListBullet"/>
            </w:pPr>
            <w:r w:rsidRPr="007708B4">
              <w:t>accepting responsibility for given tasks</w:t>
            </w:r>
          </w:p>
          <w:p w:rsidR="00000000" w:rsidRPr="007708B4" w:rsidP="007708B4">
            <w:pPr>
              <w:pStyle w:val="ListBullet"/>
            </w:pPr>
            <w:r w:rsidRPr="007708B4">
              <w:t>setting, monitoring and satisfying person</w:t>
            </w:r>
            <w:r w:rsidRPr="007708B4">
              <w:t>al work goals</w:t>
            </w:r>
          </w:p>
          <w:p w:rsidR="00000000" w:rsidRPr="007708B4" w:rsidP="007708B4">
            <w:pPr>
              <w:pStyle w:val="ListBullet"/>
            </w:pPr>
            <w:r w:rsidRPr="007708B4">
              <w:t>maintaining current knowledge of tools and materials</w:t>
            </w:r>
          </w:p>
          <w:p w:rsidR="00000000" w:rsidRPr="007708B4" w:rsidP="007708B4">
            <w:pPr>
              <w:pStyle w:val="ListBullet"/>
            </w:pPr>
            <w:r w:rsidRPr="007708B4">
              <w:t xml:space="preserve">maintaining current knowledge of conservation of heritage leadlight and stained glass </w:t>
            </w:r>
          </w:p>
          <w:p w:rsidR="00000000" w:rsidRPr="007708B4" w:rsidP="007708B4">
            <w:pPr>
              <w:pStyle w:val="ListBullet"/>
            </w:pPr>
            <w:r w:rsidRPr="007708B4">
              <w:t>seeking learning opportunities</w:t>
            </w:r>
          </w:p>
          <w:p w:rsidR="00000000" w:rsidP="007708B4">
            <w:pPr>
              <w:pStyle w:val="ListBullet"/>
              <w:rPr>
                <w:lang w:val="en-NZ"/>
              </w:rPr>
            </w:pPr>
            <w:r w:rsidRPr="007708B4">
              <w:t xml:space="preserve">using the workplace technology related to the conservation of heritage </w:t>
            </w:r>
            <w:r w:rsidRPr="007708B4">
              <w:t>leadlight and stained glass components, including computers, measuring devices and recording systems</w:t>
            </w:r>
          </w:p>
        </w:tc>
      </w:tr>
      <w:tr w:rsidTr="007708B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708B4">
            <w:pPr>
              <w:pStyle w:val="BodyText"/>
              <w:rPr>
                <w:lang w:val="en-NZ"/>
              </w:rPr>
            </w:pPr>
          </w:p>
        </w:tc>
      </w:tr>
      <w:tr w:rsidTr="007708B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708B4" w:rsidP="007708B4">
            <w:pPr>
              <w:pStyle w:val="BodyText"/>
            </w:pPr>
            <w:r w:rsidRPr="007708B4">
              <w:rPr>
                <w:rStyle w:val="SpecialBold"/>
              </w:rPr>
              <w:t>Required knowledge includes:</w:t>
            </w:r>
          </w:p>
          <w:p w:rsidR="00000000" w:rsidRPr="007708B4" w:rsidP="007708B4">
            <w:pPr>
              <w:pStyle w:val="ListBullet"/>
            </w:pPr>
            <w:r w:rsidRPr="007708B4">
              <w:t xml:space="preserve">state or territory OHS legislation, regulations, standards and codes of practice </w:t>
            </w:r>
            <w:r w:rsidRPr="007708B4">
              <w:t>relevant to the full range of processes for leadlight and stained glass operations</w:t>
            </w:r>
          </w:p>
          <w:p w:rsidR="00000000" w:rsidRPr="007708B4" w:rsidP="007708B4">
            <w:pPr>
              <w:pStyle w:val="ListBullet"/>
            </w:pPr>
            <w:r w:rsidRPr="007708B4">
              <w:t xml:space="preserve">the principles of the Burra Charter, the ICOMOS Charter for Places of Cultural Significance </w:t>
            </w:r>
          </w:p>
          <w:p w:rsidR="00000000" w:rsidRPr="007708B4" w:rsidP="007708B4">
            <w:pPr>
              <w:pStyle w:val="ListBullet"/>
            </w:pPr>
            <w:r w:rsidRPr="007708B4">
              <w:t>leadlight and stained glass panels construction and repair terminology and techn</w:t>
            </w:r>
            <w:r w:rsidRPr="007708B4">
              <w:t>iques</w:t>
            </w:r>
          </w:p>
          <w:p w:rsidR="00000000" w:rsidRPr="007708B4" w:rsidP="007708B4">
            <w:pPr>
              <w:pStyle w:val="ListBullet"/>
            </w:pPr>
            <w:r w:rsidRPr="007708B4">
              <w:t xml:space="preserve">organisational and site standards, requirements, policies and procedures for the assessment of leadlight and stained glass panels </w:t>
            </w:r>
          </w:p>
          <w:p w:rsidR="00000000" w:rsidRPr="007708B4" w:rsidP="007708B4">
            <w:pPr>
              <w:pStyle w:val="ListBullet"/>
            </w:pPr>
            <w:r w:rsidRPr="007708B4">
              <w:t>types of glass and other materials, historically used in the leadlight and stained glass industry, their characteristic</w:t>
            </w:r>
            <w:r w:rsidRPr="007708B4">
              <w:t>s, properties, uses and limitations</w:t>
            </w:r>
          </w:p>
          <w:p w:rsidR="00000000" w:rsidRPr="007708B4" w:rsidP="007708B4">
            <w:pPr>
              <w:pStyle w:val="ListBullet"/>
            </w:pPr>
            <w:r w:rsidRPr="007708B4">
              <w:t>preservation, restoration or reconstruction techniques and when to use them</w:t>
            </w:r>
          </w:p>
          <w:p w:rsidR="00000000" w:rsidRPr="007708B4" w:rsidP="007708B4">
            <w:pPr>
              <w:pStyle w:val="ListBullet"/>
            </w:pPr>
            <w:r w:rsidRPr="007708B4">
              <w:t xml:space="preserve">heritage requirements specific to leadlight and stained glass </w:t>
            </w:r>
          </w:p>
          <w:p w:rsidR="00000000" w:rsidRPr="007708B4" w:rsidP="007708B4">
            <w:pPr>
              <w:pStyle w:val="ListBullet"/>
            </w:pPr>
            <w:r w:rsidRPr="007708B4">
              <w:t>established communication channels and protocols</w:t>
            </w:r>
          </w:p>
          <w:p w:rsidR="00000000" w:rsidRPr="007708B4" w:rsidP="007708B4">
            <w:pPr>
              <w:pStyle w:val="ListBullet"/>
            </w:pPr>
            <w:r w:rsidRPr="007708B4">
              <w:t>problem identification and resol</w:t>
            </w:r>
            <w:r w:rsidRPr="007708B4">
              <w:t>ution in conservation of heritage leadlight and stained glass</w:t>
            </w:r>
          </w:p>
          <w:p w:rsidR="00000000" w:rsidRPr="007708B4" w:rsidP="007708B4">
            <w:pPr>
              <w:pStyle w:val="ListBullet"/>
            </w:pPr>
            <w:r w:rsidRPr="007708B4">
              <w:t>storage systems and labelling</w:t>
            </w:r>
          </w:p>
          <w:p w:rsidR="00000000" w:rsidRPr="007708B4" w:rsidP="007708B4">
            <w:pPr>
              <w:pStyle w:val="ListBullet"/>
            </w:pPr>
            <w:r w:rsidRPr="007708B4">
              <w:t>procedures for the recording, reporting and maintenance of workplace records and information</w:t>
            </w:r>
          </w:p>
          <w:p w:rsidR="00000000" w:rsidRPr="007708B4" w:rsidP="007708B4">
            <w:pPr>
              <w:pStyle w:val="ListBullet"/>
            </w:pPr>
            <w:r w:rsidRPr="007708B4">
              <w:t>appropriate mathematical procedures for estimation and measurement</w:t>
            </w:r>
          </w:p>
        </w:tc>
      </w:tr>
    </w:tbl>
    <w:p w:rsidR="00000000" w:rsidRPr="007708B4" w:rsidP="007708B4">
      <w:pPr>
        <w:pStyle w:val="BodyText"/>
      </w:pPr>
    </w:p>
    <w:p w:rsidR="00000000" w:rsidRPr="007708B4" w:rsidP="007708B4">
      <w:pPr>
        <w:pStyle w:val="AllowPageBreak"/>
      </w:pPr>
    </w:p>
    <w:p w:rsidR="00000000" w:rsidRPr="007708B4" w:rsidP="007708B4">
      <w:pPr>
        <w:pStyle w:val="Heading1"/>
      </w:pPr>
      <w:bookmarkStart w:id="10" w:name="O_352351"/>
      <w:bookmarkEnd w:id="10"/>
      <w:r w:rsidRPr="007708B4">
        <w:t>Evidence Guide</w:t>
      </w:r>
    </w:p>
    <w:tbl>
      <w:tblPr>
        <w:tblW w:w="9462" w:type="dxa"/>
        <w:tblLayout w:type="fixed"/>
        <w:tblCellMar>
          <w:left w:w="62" w:type="dxa"/>
          <w:right w:w="62" w:type="dxa"/>
        </w:tblCellMar>
        <w:tblLook w:val="0000"/>
      </w:tblPr>
      <w:tblGrid>
        <w:gridCol w:w="3800"/>
        <w:gridCol w:w="5662"/>
      </w:tblGrid>
      <w:tr w:rsidTr="007708B4">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The evidence guide provides advice on assessment and must be read in conjunction with the performance criteria, required skills and knowledge, range statement and the Assessment Guidelines for the Training Package.</w:t>
            </w:r>
          </w:p>
        </w:tc>
      </w:tr>
      <w:tr w:rsidTr="007708B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8B4">
            <w:pPr>
              <w:pStyle w:val="BodyText"/>
              <w:rPr>
                <w:lang w:val="en-NZ"/>
              </w:rPr>
            </w:pPr>
            <w:r w:rsidRPr="007708B4">
              <w:t>Overview</w:t>
            </w:r>
            <w:r w:rsidRPr="007708B4">
              <w:t xml:space="preserve">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8B4">
            <w:pPr>
              <w:pStyle w:val="BodyText"/>
              <w:rPr>
                <w:lang w:val="en-NZ"/>
              </w:rPr>
            </w:pPr>
            <w:r w:rsidRPr="007708B4">
              <w:t>Assessment processes and techniques must be culturally appropriate and appropriate to the language, literacy and numeracy capacity of the candidate and the work being performed.</w:t>
            </w:r>
          </w:p>
        </w:tc>
      </w:tr>
      <w:tr w:rsidTr="007708B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8B4">
            <w:pPr>
              <w:pStyle w:val="BodyText"/>
              <w:rPr>
                <w:lang w:val="en-NZ"/>
              </w:rPr>
            </w:pPr>
            <w:r w:rsidRPr="007708B4">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8B4" w:rsidP="007708B4">
            <w:pPr>
              <w:pStyle w:val="BodyText"/>
            </w:pPr>
            <w:r w:rsidRPr="007708B4">
              <w:t>Assessors must be satisfied that the candidate can competently and consistently:</w:t>
            </w:r>
          </w:p>
          <w:p w:rsidR="00000000" w:rsidRPr="007708B4" w:rsidP="007708B4">
            <w:pPr>
              <w:pStyle w:val="ListBullet"/>
            </w:pPr>
            <w:r w:rsidRPr="007708B4">
              <w:t>read and interpret work/job specifications</w:t>
            </w:r>
          </w:p>
          <w:p w:rsidR="00000000" w:rsidRPr="007708B4" w:rsidP="007708B4">
            <w:pPr>
              <w:pStyle w:val="ListBullet"/>
            </w:pPr>
            <w:r w:rsidRPr="007708B4">
              <w:t>identify and interpret heritage legisl</w:t>
            </w:r>
            <w:r w:rsidRPr="007708B4">
              <w:t>ation as it applies to leadlight and stained glass panels</w:t>
            </w:r>
          </w:p>
          <w:p w:rsidR="00000000" w:rsidRPr="007708B4" w:rsidP="007708B4">
            <w:pPr>
              <w:pStyle w:val="ListBullet"/>
            </w:pPr>
            <w:r w:rsidRPr="007708B4">
              <w:t xml:space="preserve">identify historical leadlight and stained glass panel construction methods </w:t>
            </w:r>
          </w:p>
          <w:p w:rsidR="00000000" w:rsidRPr="007708B4" w:rsidP="007708B4">
            <w:pPr>
              <w:pStyle w:val="ListBullet"/>
            </w:pPr>
            <w:r w:rsidRPr="007708B4">
              <w:t>assess and make decisions on conservation methods</w:t>
            </w:r>
          </w:p>
          <w:p w:rsidR="00000000" w:rsidRPr="007708B4" w:rsidP="007708B4">
            <w:pPr>
              <w:pStyle w:val="ListBullet"/>
            </w:pPr>
            <w:r w:rsidRPr="007708B4">
              <w:t>identify faults and problems with leadlight and stained glass panels, an</w:t>
            </w:r>
            <w:r w:rsidRPr="007708B4">
              <w:t>d their remedial methods</w:t>
            </w:r>
          </w:p>
          <w:p w:rsidR="00000000" w:rsidRPr="007708B4" w:rsidP="007708B4">
            <w:pPr>
              <w:pStyle w:val="ListBullet"/>
            </w:pPr>
            <w:r w:rsidRPr="007708B4">
              <w:t>conserve heritage leadlight and stained glass panels in accordance with industry best practice</w:t>
            </w:r>
          </w:p>
          <w:p w:rsidR="00000000" w:rsidRPr="007708B4" w:rsidP="007708B4">
            <w:pPr>
              <w:pStyle w:val="ListBullet"/>
            </w:pPr>
            <w:r w:rsidRPr="007708B4">
              <w:t>comply with legislation, regulations, standards, codes of practice and established safe practices and procedures for the assessment of c</w:t>
            </w:r>
            <w:r w:rsidRPr="007708B4">
              <w:t>onservation requirements of leadlight and stained glass panels</w:t>
            </w:r>
          </w:p>
          <w:p w:rsidR="00000000" w:rsidP="007708B4">
            <w:pPr>
              <w:pStyle w:val="ListBullet"/>
              <w:rPr>
                <w:lang w:val="en-NZ"/>
              </w:rPr>
            </w:pPr>
            <w:r w:rsidRPr="007708B4">
              <w:t>communicate effectively and work safely with others in the work area.</w:t>
            </w:r>
          </w:p>
        </w:tc>
      </w:tr>
      <w:tr w:rsidTr="007708B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8B4">
            <w:pPr>
              <w:pStyle w:val="BodyText"/>
              <w:rPr>
                <w:lang w:val="en-NZ"/>
              </w:rPr>
            </w:pPr>
            <w:r w:rsidRPr="007708B4">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8B4" w:rsidP="007708B4">
            <w:pPr>
              <w:pStyle w:val="BodyText"/>
            </w:pPr>
            <w:r w:rsidRPr="007708B4">
              <w:t>The application of competency is to be assessed in the workplace or real</w:t>
            </w:r>
            <w:r w:rsidRPr="007708B4">
              <w:t>istically simulated workplace.</w:t>
            </w:r>
          </w:p>
          <w:p w:rsidR="00000000" w:rsidRPr="007708B4" w:rsidP="007708B4">
            <w:pPr>
              <w:pStyle w:val="BodyText"/>
            </w:pPr>
            <w:r w:rsidRPr="007708B4">
              <w:t>Assessment is to occur under standard and authorised work practices, safety requirements and environmental constraints.</w:t>
            </w:r>
          </w:p>
          <w:p w:rsidR="00000000" w:rsidRPr="007708B4" w:rsidP="007708B4">
            <w:pPr>
              <w:pStyle w:val="BodyText"/>
            </w:pPr>
            <w:r w:rsidRPr="007708B4">
              <w:t xml:space="preserve">Assessment </w:t>
            </w:r>
            <w:r w:rsidRPr="007708B4">
              <w:t>of essential underpinning knowledge, other than confirmatory questions, will usually be conducted in an off-site context.</w:t>
            </w:r>
          </w:p>
          <w:p w:rsidR="00000000" w:rsidRPr="007708B4" w:rsidP="007708B4">
            <w:pPr>
              <w:pStyle w:val="BodyText"/>
            </w:pPr>
            <w:r w:rsidRPr="007708B4">
              <w:t>Assessment is to comply with relevant regulatory or Australian Standard requirements.</w:t>
            </w:r>
          </w:p>
          <w:p w:rsidR="00000000" w:rsidRPr="007708B4" w:rsidP="007708B4">
            <w:pPr>
              <w:pStyle w:val="BodyText"/>
            </w:pPr>
            <w:r w:rsidRPr="007708B4">
              <w:t>The following resources should be made available</w:t>
            </w:r>
            <w:r w:rsidRPr="007708B4">
              <w:t>:</w:t>
            </w:r>
          </w:p>
          <w:p w:rsidR="00000000" w:rsidRPr="007708B4" w:rsidP="007708B4">
            <w:pPr>
              <w:pStyle w:val="ListBullet"/>
            </w:pPr>
            <w:r w:rsidRPr="007708B4">
              <w:t>workplace location or simulated workplace</w:t>
            </w:r>
          </w:p>
          <w:p w:rsidR="00000000" w:rsidRPr="007708B4" w:rsidP="007708B4">
            <w:pPr>
              <w:pStyle w:val="ListBullet"/>
            </w:pPr>
            <w:r w:rsidRPr="007708B4">
              <w:t xml:space="preserve">materials and equipment relevant to the conservation of heritage leadlight and stained glass panels </w:t>
            </w:r>
          </w:p>
          <w:p w:rsidR="00000000" w:rsidP="007708B4">
            <w:pPr>
              <w:pStyle w:val="ListBullet"/>
              <w:rPr>
                <w:lang w:val="en-NZ"/>
              </w:rPr>
            </w:pPr>
            <w:r w:rsidRPr="007708B4">
              <w:t>specifications and work instructions.</w:t>
            </w:r>
          </w:p>
        </w:tc>
      </w:tr>
      <w:tr w:rsidTr="007708B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8B4">
            <w:pPr>
              <w:pStyle w:val="BodyText"/>
              <w:rPr>
                <w:lang w:val="en-NZ"/>
              </w:rPr>
            </w:pPr>
            <w:r w:rsidRPr="007708B4">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8B4" w:rsidP="007708B4">
            <w:pPr>
              <w:pStyle w:val="BodyText"/>
            </w:pPr>
            <w:r w:rsidRPr="007708B4">
              <w:t>Assessment must satisfy the endorsed Assessment Gu</w:t>
            </w:r>
            <w:r w:rsidRPr="007708B4">
              <w:t>idelines of the LMF02 Furnishing Industry Training Package.</w:t>
            </w:r>
          </w:p>
          <w:p w:rsidR="00000000" w:rsidRPr="007708B4" w:rsidP="007708B4">
            <w:pPr>
              <w:pStyle w:val="BodyText"/>
            </w:pPr>
            <w:r w:rsidRPr="007708B4">
              <w:t xml:space="preserve">Assessment methods must confirm consistency and accuracy of performance (over time and in a range of workplace relevant contexts) together with application of </w:t>
            </w:r>
            <w:r w:rsidRPr="007708B4">
              <w:t>underpinning knowledge.</w:t>
            </w:r>
          </w:p>
          <w:p w:rsidR="00000000" w:rsidRPr="007708B4" w:rsidP="007708B4">
            <w:pPr>
              <w:pStyle w:val="BodyText"/>
            </w:pPr>
            <w:r w:rsidRPr="007708B4">
              <w:t>Assessment me</w:t>
            </w:r>
            <w:r w:rsidRPr="007708B4">
              <w:t>thods must be by direct observation of tasks and include questioning on underpinning knowledge to ensure its correct interpretation and application.</w:t>
            </w:r>
          </w:p>
          <w:p w:rsidR="00000000" w:rsidRPr="007708B4" w:rsidP="007708B4">
            <w:pPr>
              <w:pStyle w:val="BodyText"/>
            </w:pPr>
            <w:r w:rsidRPr="007708B4">
              <w:t>Assessment may be applied under project-related conditions (real or simulated) and require evidence of proc</w:t>
            </w:r>
            <w:r w:rsidRPr="007708B4">
              <w:t>ess.</w:t>
            </w:r>
          </w:p>
          <w:p w:rsidR="00000000" w:rsidRPr="007708B4" w:rsidP="007708B4">
            <w:pPr>
              <w:pStyle w:val="BodyText"/>
            </w:pPr>
            <w:r w:rsidRPr="007708B4">
              <w:t>Assessment must confirm a reasonable inference that competency is able not only to be satisfied under the particular circumstance, but is able to be transferred to other circumstances.</w:t>
            </w:r>
          </w:p>
          <w:p w:rsidR="00000000" w:rsidP="007708B4">
            <w:pPr>
              <w:pStyle w:val="BodyText"/>
              <w:rPr>
                <w:lang w:val="en-NZ"/>
              </w:rPr>
            </w:pPr>
            <w:r w:rsidRPr="007708B4">
              <w:t>Assessment may be in conjunction with assessment of other units of</w:t>
            </w:r>
            <w:r w:rsidRPr="007708B4">
              <w:t xml:space="preserve"> competency.</w:t>
            </w:r>
          </w:p>
        </w:tc>
      </w:tr>
      <w:tr w:rsidTr="007708B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8B4">
            <w:pPr>
              <w:pStyle w:val="BodyText"/>
              <w:rPr>
                <w:lang w:val="en-NZ"/>
              </w:rPr>
            </w:pPr>
            <w:r w:rsidRPr="007708B4">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8B4" w:rsidP="007708B4">
            <w:pPr>
              <w:pStyle w:val="BodyText"/>
            </w:pPr>
          </w:p>
        </w:tc>
      </w:tr>
    </w:tbl>
    <w:p w:rsidR="00C23777" w:rsidP="007708B4">
      <w:pPr>
        <w:pStyle w:val="BodyText"/>
      </w:pPr>
    </w:p>
    <w:p w:rsidR="00C23777" w:rsidP="007708B4">
      <w:pPr>
        <w:pStyle w:val="BodyText"/>
      </w:pPr>
    </w:p>
    <w:p w:rsidR="00000000" w:rsidRPr="007708B4" w:rsidP="007708B4">
      <w:pPr>
        <w:pStyle w:val="Heading1"/>
      </w:pPr>
      <w:bookmarkStart w:id="11" w:name="O_352352"/>
      <w:bookmarkEnd w:id="11"/>
      <w:r w:rsidRPr="007708B4">
        <w:t>Range Statement</w:t>
      </w:r>
    </w:p>
    <w:tbl>
      <w:tblPr>
        <w:tblW w:w="9462" w:type="dxa"/>
        <w:tblLayout w:type="fixed"/>
        <w:tblCellMar>
          <w:left w:w="62" w:type="dxa"/>
          <w:right w:w="62" w:type="dxa"/>
        </w:tblCellMar>
        <w:tblLook w:val="0000"/>
      </w:tblPr>
      <w:tblGrid>
        <w:gridCol w:w="3800"/>
        <w:gridCol w:w="5662"/>
      </w:tblGrid>
      <w:tr w:rsidTr="007708B4">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7708B4">
            <w:pPr>
              <w:pStyle w:val="BodyText"/>
              <w:rPr>
                <w:lang w:val="en-NZ"/>
              </w:rPr>
            </w:pPr>
            <w:r w:rsidRPr="007708B4">
              <w:t xml:space="preserve">The range statement relates to the unit of competency as a whole. It allows for different work environments and situations that may affect </w:t>
            </w:r>
            <w:r w:rsidRPr="007708B4">
              <w:t>performance. Bold italicised wording, if used in the performance criteria, is detailed below. Essential operating conditions that may be present with training and assessment (depending on the work situation, needs of the candidate, accessibility of the ite</w:t>
            </w:r>
            <w:r w:rsidRPr="007708B4">
              <w:t>m, and local industry and regional contexts) may also be included.</w:t>
            </w:r>
          </w:p>
        </w:tc>
      </w:tr>
      <w:tr w:rsidTr="007708B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8B4">
            <w:pPr>
              <w:pStyle w:val="BodyText"/>
              <w:rPr>
                <w:lang w:val="en-NZ"/>
              </w:rPr>
            </w:pPr>
            <w:r w:rsidRPr="007708B4">
              <w:rPr>
                <w:rStyle w:val="BoldandItalics"/>
              </w:rPr>
              <w:t>OHS requirements</w:t>
            </w:r>
            <w:r w:rsidRPr="007708B4">
              <w:rPr>
                <w:rStyle w:val="SpecialBold"/>
              </w:rPr>
              <w:t xml:space="preserve"> </w:t>
            </w:r>
            <w:r w:rsidRPr="007708B4">
              <w:t>are to be in accordance with: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8B4" w:rsidP="007708B4">
            <w:pPr>
              <w:pStyle w:val="ListBullet"/>
            </w:pPr>
            <w:r w:rsidRPr="007708B4">
              <w:t xml:space="preserve">Commonwealth, state or territory legislation and regulations, organisational safety policies and procedures. Requirements may include, but </w:t>
            </w:r>
            <w:r w:rsidRPr="007708B4">
              <w:t>are not limited to:</w:t>
            </w:r>
          </w:p>
          <w:p w:rsidR="00000000" w:rsidRPr="007708B4" w:rsidP="007708B4">
            <w:pPr>
              <w:pStyle w:val="ListBullet2"/>
            </w:pPr>
            <w:r w:rsidRPr="007708B4">
              <w:t>the use of personal protective equipment and clothing</w:t>
            </w:r>
          </w:p>
          <w:p w:rsidR="00000000" w:rsidRPr="007708B4" w:rsidP="007708B4">
            <w:pPr>
              <w:pStyle w:val="ListBullet2"/>
            </w:pPr>
            <w:r w:rsidRPr="007708B4">
              <w:t>fire fighting equipment</w:t>
            </w:r>
          </w:p>
          <w:p w:rsidR="00000000" w:rsidRPr="007708B4" w:rsidP="007708B4">
            <w:pPr>
              <w:pStyle w:val="ListBullet2"/>
            </w:pPr>
            <w:r w:rsidRPr="007708B4">
              <w:t>first aid equipment</w:t>
            </w:r>
          </w:p>
          <w:p w:rsidR="00000000" w:rsidRPr="007708B4" w:rsidP="007708B4">
            <w:pPr>
              <w:pStyle w:val="ListBullet2"/>
            </w:pPr>
            <w:r w:rsidRPr="007708B4">
              <w:t>hazard and risk control and elimination of hazardous materials and substances</w:t>
            </w:r>
          </w:p>
          <w:p w:rsidR="00000000" w:rsidP="007708B4">
            <w:pPr>
              <w:pStyle w:val="ListBullet2"/>
              <w:rPr>
                <w:lang w:val="en-NZ"/>
              </w:rPr>
            </w:pPr>
            <w:r w:rsidRPr="007708B4">
              <w:t>manual handling, including lifting and carrying</w:t>
            </w:r>
          </w:p>
        </w:tc>
      </w:tr>
      <w:tr w:rsidTr="007708B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8B4">
            <w:pPr>
              <w:pStyle w:val="BodyText"/>
              <w:rPr>
                <w:lang w:val="en-NZ"/>
              </w:rPr>
            </w:pPr>
            <w:r w:rsidRPr="007708B4">
              <w:rPr>
                <w:rStyle w:val="BoldandItalics"/>
              </w:rPr>
              <w:t>Legislative requirements</w:t>
            </w:r>
            <w:r w:rsidRPr="007708B4">
              <w:rPr>
                <w:rStyle w:val="SpecialBold"/>
              </w:rPr>
              <w:t xml:space="preserve"> </w:t>
            </w:r>
            <w:r w:rsidRPr="007708B4">
              <w:t>are to be in accordance with: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8B4" w:rsidP="007708B4">
            <w:pPr>
              <w:pStyle w:val="ListBullet"/>
            </w:pPr>
            <w:r w:rsidRPr="007708B4">
              <w:t>applicable legislation from all levels of government that affect organisational operation. Requirements may include, but are not limited to:</w:t>
            </w:r>
          </w:p>
          <w:p w:rsidR="00000000" w:rsidRPr="007708B4" w:rsidP="007708B4">
            <w:pPr>
              <w:pStyle w:val="ListBullet2"/>
            </w:pPr>
            <w:r w:rsidRPr="007708B4">
              <w:t>award and enterprise agreements</w:t>
            </w:r>
          </w:p>
          <w:p w:rsidR="00000000" w:rsidRPr="007708B4" w:rsidP="007708B4">
            <w:pPr>
              <w:pStyle w:val="ListBullet2"/>
            </w:pPr>
            <w:r w:rsidRPr="007708B4">
              <w:t>industrial relations</w:t>
            </w:r>
          </w:p>
          <w:p w:rsidR="00000000" w:rsidRPr="007708B4" w:rsidP="007708B4">
            <w:pPr>
              <w:pStyle w:val="ListBullet2"/>
            </w:pPr>
            <w:r w:rsidRPr="007708B4">
              <w:t>Australian Standards</w:t>
            </w:r>
          </w:p>
          <w:p w:rsidR="00000000" w:rsidRPr="007708B4" w:rsidP="007708B4">
            <w:pPr>
              <w:pStyle w:val="ListBullet2"/>
            </w:pPr>
            <w:r w:rsidRPr="007708B4">
              <w:t>confidentiality and privacy</w:t>
            </w:r>
          </w:p>
          <w:p w:rsidR="00000000" w:rsidRPr="007708B4" w:rsidP="007708B4">
            <w:pPr>
              <w:pStyle w:val="ListBullet2"/>
            </w:pPr>
            <w:r w:rsidRPr="007708B4">
              <w:t xml:space="preserve">OHS requirements </w:t>
            </w:r>
          </w:p>
          <w:p w:rsidR="00000000" w:rsidRPr="007708B4" w:rsidP="007708B4">
            <w:pPr>
              <w:pStyle w:val="ListBullet2"/>
            </w:pPr>
            <w:r w:rsidRPr="007708B4">
              <w:t>the environment</w:t>
            </w:r>
          </w:p>
          <w:p w:rsidR="00000000" w:rsidRPr="007708B4" w:rsidP="007708B4">
            <w:pPr>
              <w:pStyle w:val="ListBullet2"/>
            </w:pPr>
            <w:r w:rsidRPr="007708B4">
              <w:t>equal opportunity,</w:t>
            </w:r>
          </w:p>
          <w:p w:rsidR="00000000" w:rsidRPr="007708B4" w:rsidP="007708B4">
            <w:pPr>
              <w:pStyle w:val="ListBullet2"/>
            </w:pPr>
            <w:r w:rsidRPr="007708B4">
              <w:t>anti-discrimination</w:t>
            </w:r>
          </w:p>
          <w:p w:rsidR="00000000" w:rsidRPr="007708B4" w:rsidP="007708B4">
            <w:pPr>
              <w:pStyle w:val="ListBullet2"/>
            </w:pPr>
            <w:r w:rsidRPr="007708B4">
              <w:t>relevant industry codes of practice</w:t>
            </w:r>
          </w:p>
          <w:p w:rsidR="00000000" w:rsidP="007708B4">
            <w:pPr>
              <w:pStyle w:val="ListBullet2"/>
              <w:rPr>
                <w:lang w:val="en-NZ"/>
              </w:rPr>
            </w:pPr>
            <w:r w:rsidRPr="007708B4">
              <w:t>duty of care and heritage.</w:t>
            </w:r>
          </w:p>
        </w:tc>
      </w:tr>
      <w:tr w:rsidTr="007708B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8B4">
            <w:pPr>
              <w:pStyle w:val="BodyText"/>
              <w:rPr>
                <w:lang w:val="en-NZ"/>
              </w:rPr>
            </w:pPr>
            <w:r w:rsidRPr="007708B4">
              <w:rPr>
                <w:rStyle w:val="BoldandItalics"/>
              </w:rPr>
              <w:t>Organisational requirements</w:t>
            </w:r>
            <w:r w:rsidRPr="007708B4">
              <w:rPr>
                <w:rStyle w:val="SpecialBold"/>
              </w:rPr>
              <w:t xml:space="preserve"> </w:t>
            </w:r>
            <w:r w:rsidRPr="007708B4">
              <w:t>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8B4" w:rsidP="007708B4">
            <w:pPr>
              <w:pStyle w:val="ListBullet"/>
            </w:pPr>
            <w:r w:rsidRPr="007708B4">
              <w:t>legal, organisational and site guidelines, policies and procedures relating to own role and responsibility</w:t>
            </w:r>
          </w:p>
          <w:p w:rsidR="00000000" w:rsidRPr="007708B4" w:rsidP="007708B4">
            <w:pPr>
              <w:pStyle w:val="ListBullet"/>
            </w:pPr>
            <w:r w:rsidRPr="007708B4">
              <w:t>quality assurance</w:t>
            </w:r>
          </w:p>
          <w:p w:rsidR="00000000" w:rsidRPr="007708B4" w:rsidP="007708B4">
            <w:pPr>
              <w:pStyle w:val="ListBullet"/>
            </w:pPr>
            <w:r w:rsidRPr="007708B4">
              <w:t>procedural manuals</w:t>
            </w:r>
          </w:p>
          <w:p w:rsidR="00000000" w:rsidRPr="007708B4" w:rsidP="007708B4">
            <w:pPr>
              <w:pStyle w:val="ListBullet"/>
            </w:pPr>
            <w:r w:rsidRPr="007708B4">
              <w:t>quality and continuous improvement processes and standards</w:t>
            </w:r>
          </w:p>
          <w:p w:rsidR="00000000" w:rsidRPr="007708B4" w:rsidP="007708B4">
            <w:pPr>
              <w:pStyle w:val="ListBullet"/>
            </w:pPr>
            <w:r w:rsidRPr="007708B4">
              <w:t>OHS procedures</w:t>
            </w:r>
          </w:p>
          <w:p w:rsidR="00000000" w:rsidRPr="007708B4" w:rsidP="007708B4">
            <w:pPr>
              <w:pStyle w:val="ListBullet"/>
            </w:pPr>
            <w:r w:rsidRPr="007708B4">
              <w:t>emergency and evacuation</w:t>
            </w:r>
          </w:p>
          <w:p w:rsidR="00000000" w:rsidRPr="007708B4" w:rsidP="007708B4">
            <w:pPr>
              <w:pStyle w:val="ListBullet"/>
            </w:pPr>
            <w:r w:rsidRPr="007708B4">
              <w:t>ethical stand</w:t>
            </w:r>
            <w:r w:rsidRPr="007708B4">
              <w:t>ards</w:t>
            </w:r>
          </w:p>
          <w:p w:rsidR="00000000" w:rsidRPr="007708B4" w:rsidP="007708B4">
            <w:pPr>
              <w:pStyle w:val="ListBullet"/>
            </w:pPr>
            <w:r w:rsidRPr="007708B4">
              <w:t>recording and reporting</w:t>
            </w:r>
          </w:p>
          <w:p w:rsidR="00000000" w:rsidRPr="007708B4" w:rsidP="007708B4">
            <w:pPr>
              <w:pStyle w:val="ListBullet"/>
            </w:pPr>
            <w:r w:rsidRPr="007708B4">
              <w:t>access and equity principles and practices</w:t>
            </w:r>
          </w:p>
          <w:p w:rsidR="00000000" w:rsidRPr="007708B4" w:rsidP="007708B4">
            <w:pPr>
              <w:pStyle w:val="ListBullet"/>
            </w:pPr>
            <w:r w:rsidRPr="007708B4">
              <w:t>equipment use, maintenance and storage</w:t>
            </w:r>
          </w:p>
          <w:p w:rsidR="00000000" w:rsidP="007708B4">
            <w:pPr>
              <w:pStyle w:val="ListBullet"/>
              <w:rPr>
                <w:lang w:val="en-NZ"/>
              </w:rPr>
            </w:pPr>
            <w:r w:rsidRPr="007708B4">
              <w:t>environmental management (waste disposal, recycling and reuse guidelines)</w:t>
            </w:r>
          </w:p>
        </w:tc>
      </w:tr>
      <w:tr w:rsidTr="007708B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8B4">
            <w:pPr>
              <w:pStyle w:val="BodyText"/>
              <w:rPr>
                <w:lang w:val="en-NZ"/>
              </w:rPr>
            </w:pPr>
            <w:r w:rsidRPr="007708B4">
              <w:rPr>
                <w:rStyle w:val="BoldandItalics"/>
              </w:rPr>
              <w:t>Conservation</w:t>
            </w:r>
            <w:r w:rsidRPr="007708B4">
              <w:rPr>
                <w:rStyle w:val="SpecialBold"/>
              </w:rPr>
              <w:t xml:space="preserve"> </w:t>
            </w:r>
            <w:r w:rsidRPr="007708B4">
              <w:t>as defined in: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8B4" w:rsidP="007708B4">
            <w:pPr>
              <w:pStyle w:val="ListBullet"/>
            </w:pPr>
            <w:r w:rsidRPr="007708B4">
              <w:t>the Australia ICOMOS Burra Charter as meaning all of the processes of looking after a place needed to retain cultural significance. It includes maintenance and may include:</w:t>
            </w:r>
          </w:p>
          <w:p w:rsidR="00000000" w:rsidRPr="007708B4" w:rsidP="007708B4">
            <w:pPr>
              <w:pStyle w:val="ListBullet2"/>
            </w:pPr>
            <w:r w:rsidRPr="007708B4">
              <w:t xml:space="preserve">preservation, restoration, reconstruction and </w:t>
            </w:r>
            <w:r w:rsidRPr="007708B4">
              <w:t xml:space="preserve">adaptation dependent upon specific circumstances (it commonly involves a combination of more than one of these). It also requires that the stained glass conservator respects and understands the requirements of </w:t>
            </w:r>
            <w:r w:rsidRPr="007708B4">
              <w:t>other specialist crafts and the role of other specialist artisans</w:t>
            </w:r>
          </w:p>
          <w:p w:rsidR="00000000" w:rsidRPr="007708B4" w:rsidP="007708B4">
            <w:pPr>
              <w:pStyle w:val="ListBullet"/>
            </w:pPr>
            <w:r w:rsidRPr="007708B4">
              <w:t>preservation is the process of maintaining the leadlight and stained glass panel in its existing state and of retarding deterioration</w:t>
            </w:r>
          </w:p>
          <w:p w:rsidR="00000000" w:rsidRPr="007708B4" w:rsidP="007708B4">
            <w:pPr>
              <w:pStyle w:val="ListBullet"/>
            </w:pPr>
            <w:r w:rsidRPr="007708B4">
              <w:t>restoration means returning the leadlight and stained g</w:t>
            </w:r>
            <w:r w:rsidRPr="007708B4">
              <w:t>lass panel to a known earlier state by removing accretions or by reassembling existing components without the introduction of new material</w:t>
            </w:r>
          </w:p>
          <w:p w:rsidR="00000000" w:rsidP="007708B4">
            <w:pPr>
              <w:pStyle w:val="ListBullet"/>
              <w:rPr>
                <w:lang w:val="en-NZ"/>
              </w:rPr>
            </w:pPr>
            <w:r w:rsidRPr="007708B4">
              <w:t>reconstruction means returning the leadlight and stained glass panel to a known earlier state and is distinguished by</w:t>
            </w:r>
            <w:r w:rsidRPr="007708B4">
              <w:t xml:space="preserve"> the introduction of new materials</w:t>
            </w:r>
          </w:p>
        </w:tc>
      </w:tr>
      <w:tr w:rsidTr="007708B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8B4">
            <w:pPr>
              <w:pStyle w:val="BodyText"/>
              <w:rPr>
                <w:lang w:val="en-NZ"/>
              </w:rPr>
            </w:pPr>
            <w:r w:rsidRPr="007708B4">
              <w:rPr>
                <w:rStyle w:val="BoldandItalics"/>
              </w:rPr>
              <w:t>Appropriate personnel</w:t>
            </w:r>
            <w:r w:rsidRPr="007708B4">
              <w:rPr>
                <w:rStyle w:val="SpecialBold"/>
              </w:rPr>
              <w:t xml:space="preserve"> </w:t>
            </w:r>
            <w:r w:rsidRPr="007708B4">
              <w:t>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8B4" w:rsidP="007708B4">
            <w:pPr>
              <w:pStyle w:val="ListBullet"/>
            </w:pPr>
            <w:r w:rsidRPr="007708B4">
              <w:t>clients</w:t>
            </w:r>
          </w:p>
          <w:p w:rsidR="00000000" w:rsidRPr="007708B4" w:rsidP="007708B4">
            <w:pPr>
              <w:pStyle w:val="ListBullet"/>
            </w:pPr>
            <w:r w:rsidRPr="007708B4">
              <w:t xml:space="preserve">architects </w:t>
            </w:r>
          </w:p>
          <w:p w:rsidR="00000000" w:rsidRPr="007708B4" w:rsidP="007708B4">
            <w:pPr>
              <w:pStyle w:val="ListBullet"/>
            </w:pPr>
            <w:r w:rsidRPr="007708B4">
              <w:t xml:space="preserve">engineers </w:t>
            </w:r>
          </w:p>
          <w:p w:rsidR="00000000" w:rsidRPr="007708B4" w:rsidP="007708B4">
            <w:pPr>
              <w:pStyle w:val="ListBullet"/>
            </w:pPr>
            <w:r w:rsidRPr="007708B4">
              <w:t xml:space="preserve">construction supervisors </w:t>
            </w:r>
          </w:p>
          <w:p w:rsidR="00000000" w:rsidRPr="007708B4" w:rsidP="007708B4">
            <w:pPr>
              <w:pStyle w:val="ListBullet"/>
            </w:pPr>
            <w:r w:rsidRPr="007708B4">
              <w:t xml:space="preserve">members of heritage committees </w:t>
            </w:r>
          </w:p>
          <w:p w:rsidR="00000000" w:rsidRPr="007708B4" w:rsidP="007708B4">
            <w:pPr>
              <w:pStyle w:val="ListBullet"/>
            </w:pPr>
            <w:r w:rsidRPr="007708B4">
              <w:t xml:space="preserve">government agencies </w:t>
            </w:r>
          </w:p>
          <w:p w:rsidR="00000000" w:rsidP="007708B4">
            <w:pPr>
              <w:pStyle w:val="ListBullet"/>
              <w:rPr>
                <w:lang w:val="en-NZ"/>
              </w:rPr>
            </w:pPr>
            <w:r w:rsidRPr="007708B4">
              <w:t xml:space="preserve">other specialist artisans, such as stonemasons </w:t>
            </w:r>
          </w:p>
        </w:tc>
      </w:tr>
      <w:tr w:rsidTr="007708B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8B4">
            <w:pPr>
              <w:pStyle w:val="BodyText"/>
              <w:rPr>
                <w:lang w:val="en-NZ"/>
              </w:rPr>
            </w:pPr>
            <w:r w:rsidRPr="007708B4">
              <w:rPr>
                <w:rStyle w:val="BoldandItalics"/>
              </w:rPr>
              <w:t>Tools and equipment</w:t>
            </w:r>
            <w:r w:rsidRPr="007708B4">
              <w:rPr>
                <w:rStyle w:val="SpecialBold"/>
              </w:rPr>
              <w:t xml:space="preserve"> </w:t>
            </w:r>
            <w:r w:rsidRPr="007708B4">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8B4" w:rsidP="007708B4">
            <w:pPr>
              <w:pStyle w:val="ListBullet"/>
            </w:pPr>
            <w:r w:rsidRPr="007708B4">
              <w:t xml:space="preserve">work benches </w:t>
            </w:r>
          </w:p>
          <w:p w:rsidR="00000000" w:rsidRPr="007708B4" w:rsidP="007708B4">
            <w:pPr>
              <w:pStyle w:val="ListBullet"/>
            </w:pPr>
            <w:r w:rsidRPr="007708B4">
              <w:t xml:space="preserve">light tables </w:t>
            </w:r>
          </w:p>
          <w:p w:rsidR="00000000" w:rsidRPr="007708B4" w:rsidP="007708B4">
            <w:pPr>
              <w:pStyle w:val="ListBullet"/>
            </w:pPr>
            <w:r w:rsidRPr="007708B4">
              <w:t xml:space="preserve">glass grinders </w:t>
            </w:r>
          </w:p>
          <w:p w:rsidR="00000000" w:rsidRPr="007708B4" w:rsidP="007708B4">
            <w:pPr>
              <w:pStyle w:val="ListBullet"/>
            </w:pPr>
            <w:r w:rsidRPr="007708B4">
              <w:t xml:space="preserve">lead knifes </w:t>
            </w:r>
          </w:p>
          <w:p w:rsidR="00000000" w:rsidRPr="007708B4" w:rsidP="007708B4">
            <w:pPr>
              <w:pStyle w:val="ListBullet"/>
            </w:pPr>
            <w:r w:rsidRPr="007708B4">
              <w:t xml:space="preserve">lead vice </w:t>
            </w:r>
          </w:p>
          <w:p w:rsidR="00000000" w:rsidRPr="007708B4" w:rsidP="007708B4">
            <w:pPr>
              <w:pStyle w:val="ListBullet"/>
            </w:pPr>
            <w:r w:rsidRPr="007708B4">
              <w:t xml:space="preserve">lathekins </w:t>
            </w:r>
          </w:p>
          <w:p w:rsidR="00000000" w:rsidRPr="007708B4" w:rsidP="007708B4">
            <w:pPr>
              <w:pStyle w:val="ListBullet"/>
            </w:pPr>
            <w:r w:rsidRPr="007708B4">
              <w:t xml:space="preserve">farriers nails </w:t>
            </w:r>
          </w:p>
          <w:p w:rsidR="00000000" w:rsidRPr="007708B4" w:rsidP="007708B4">
            <w:pPr>
              <w:pStyle w:val="ListBullet"/>
            </w:pPr>
            <w:r w:rsidRPr="007708B4">
              <w:t xml:space="preserve">glass cutters </w:t>
            </w:r>
          </w:p>
          <w:p w:rsidR="00000000" w:rsidRPr="007708B4" w:rsidP="007708B4">
            <w:pPr>
              <w:pStyle w:val="ListBullet"/>
            </w:pPr>
            <w:r w:rsidRPr="007708B4">
              <w:t xml:space="preserve">grozing and small running pliers </w:t>
            </w:r>
          </w:p>
          <w:p w:rsidR="00000000" w:rsidRPr="007708B4" w:rsidP="007708B4">
            <w:pPr>
              <w:pStyle w:val="ListBullet"/>
            </w:pPr>
            <w:r w:rsidRPr="007708B4">
              <w:t xml:space="preserve">soldering irons and bits </w:t>
            </w:r>
          </w:p>
          <w:p w:rsidR="00000000" w:rsidRPr="007708B4" w:rsidP="007708B4">
            <w:pPr>
              <w:pStyle w:val="ListBullet"/>
            </w:pPr>
            <w:r w:rsidRPr="007708B4">
              <w:t xml:space="preserve">suede </w:t>
            </w:r>
          </w:p>
          <w:p w:rsidR="00000000" w:rsidRPr="007708B4" w:rsidP="007708B4">
            <w:pPr>
              <w:pStyle w:val="ListBullet"/>
            </w:pPr>
            <w:r w:rsidRPr="007708B4">
              <w:t xml:space="preserve">cleaning and polishing brushers and pickers </w:t>
            </w:r>
          </w:p>
          <w:p w:rsidR="00000000" w:rsidP="007708B4">
            <w:pPr>
              <w:pStyle w:val="ListBullet"/>
              <w:rPr>
                <w:lang w:val="en-NZ"/>
              </w:rPr>
            </w:pPr>
            <w:r w:rsidRPr="007708B4">
              <w:t>general hand tools</w:t>
            </w:r>
          </w:p>
        </w:tc>
      </w:tr>
      <w:tr w:rsidTr="007708B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8B4">
            <w:pPr>
              <w:pStyle w:val="BodyText"/>
              <w:rPr>
                <w:lang w:val="en-NZ"/>
              </w:rPr>
            </w:pPr>
            <w:r w:rsidRPr="007708B4">
              <w:rPr>
                <w:rStyle w:val="BoldandItalics"/>
              </w:rPr>
              <w:t>Plans and other documents</w:t>
            </w:r>
            <w:r w:rsidRPr="007708B4">
              <w:rPr>
                <w:rStyle w:val="SpecialBold"/>
              </w:rPr>
              <w:t xml:space="preserve"> </w:t>
            </w:r>
            <w:r w:rsidRPr="007708B4">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8B4" w:rsidP="007708B4">
            <w:pPr>
              <w:pStyle w:val="ListBullet"/>
            </w:pPr>
            <w:r w:rsidRPr="007708B4">
              <w:t>original architectural plans</w:t>
            </w:r>
          </w:p>
          <w:p w:rsidR="00000000" w:rsidRPr="007708B4" w:rsidP="007708B4">
            <w:pPr>
              <w:pStyle w:val="ListBullet"/>
            </w:pPr>
            <w:r w:rsidRPr="007708B4">
              <w:t xml:space="preserve">original drawings, cartoons and cut lines for glass panels </w:t>
            </w:r>
          </w:p>
          <w:p w:rsidR="00000000" w:rsidRPr="007708B4" w:rsidP="007708B4">
            <w:pPr>
              <w:pStyle w:val="ListBullet"/>
            </w:pPr>
            <w:r w:rsidRPr="007708B4">
              <w:t xml:space="preserve">historical documents and photographs </w:t>
            </w:r>
          </w:p>
          <w:p w:rsidR="00000000" w:rsidRPr="007708B4" w:rsidP="007708B4">
            <w:pPr>
              <w:pStyle w:val="ListBullet"/>
            </w:pPr>
            <w:r w:rsidRPr="007708B4">
              <w:t xml:space="preserve">charcoal rubbings </w:t>
            </w:r>
          </w:p>
          <w:p w:rsidR="00000000" w:rsidP="007708B4">
            <w:pPr>
              <w:pStyle w:val="ListBullet"/>
              <w:rPr>
                <w:lang w:val="en-NZ"/>
              </w:rPr>
            </w:pPr>
            <w:r w:rsidRPr="007708B4">
              <w:t>sketches</w:t>
            </w:r>
          </w:p>
        </w:tc>
      </w:tr>
      <w:tr w:rsidTr="007708B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8B4">
            <w:pPr>
              <w:pStyle w:val="BodyText"/>
              <w:rPr>
                <w:lang w:val="en-NZ"/>
              </w:rPr>
            </w:pPr>
            <w:r w:rsidRPr="007708B4">
              <w:rPr>
                <w:rStyle w:val="BoldandItalics"/>
              </w:rPr>
              <w:t>Replacement materials</w:t>
            </w:r>
            <w:r w:rsidRPr="007708B4">
              <w:rPr>
                <w:rStyle w:val="SpecialBold"/>
              </w:rPr>
              <w:t xml:space="preserve"> </w:t>
            </w:r>
            <w:r w:rsidRPr="007708B4">
              <w:t>may include, but a</w:t>
            </w:r>
            <w:r w:rsidRPr="007708B4">
              <w:t>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8B4" w:rsidP="007708B4">
            <w:pPr>
              <w:pStyle w:val="ListBullet"/>
            </w:pPr>
            <w:r w:rsidRPr="007708B4">
              <w:t xml:space="preserve">glass </w:t>
            </w:r>
          </w:p>
          <w:p w:rsidR="00000000" w:rsidRPr="007708B4" w:rsidP="007708B4">
            <w:pPr>
              <w:pStyle w:val="ListBullet"/>
            </w:pPr>
            <w:r w:rsidRPr="007708B4">
              <w:t xml:space="preserve">cames </w:t>
            </w:r>
          </w:p>
          <w:p w:rsidR="00000000" w:rsidRPr="007708B4" w:rsidP="007708B4">
            <w:pPr>
              <w:pStyle w:val="ListBullet"/>
            </w:pPr>
            <w:r w:rsidRPr="007708B4">
              <w:t xml:space="preserve">solder </w:t>
            </w:r>
          </w:p>
          <w:p w:rsidR="00000000" w:rsidP="007708B4">
            <w:pPr>
              <w:pStyle w:val="ListBullet"/>
              <w:rPr>
                <w:lang w:val="en-NZ"/>
              </w:rPr>
            </w:pPr>
            <w:r w:rsidRPr="007708B4">
              <w:t xml:space="preserve">putty </w:t>
            </w:r>
          </w:p>
        </w:tc>
      </w:tr>
      <w:tr w:rsidTr="007708B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8B4">
            <w:pPr>
              <w:pStyle w:val="BodyText"/>
              <w:rPr>
                <w:lang w:val="en-NZ"/>
              </w:rPr>
            </w:pPr>
            <w:r w:rsidRPr="007708B4">
              <w:rPr>
                <w:rStyle w:val="BoldandItalics"/>
              </w:rPr>
              <w:t>Preparation</w:t>
            </w:r>
            <w:r w:rsidRPr="007708B4">
              <w:rPr>
                <w:rStyle w:val="SpecialBold"/>
              </w:rPr>
              <w:t xml:space="preserve"> </w:t>
            </w:r>
            <w:r w:rsidRPr="007708B4">
              <w:t xml:space="preserve">may include, but is not </w:t>
            </w:r>
            <w:r w:rsidRPr="007708B4">
              <w:t>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8B4" w:rsidP="007708B4">
            <w:pPr>
              <w:pStyle w:val="ListBullet"/>
            </w:pPr>
            <w:r w:rsidRPr="007708B4">
              <w:t xml:space="preserve">painting </w:t>
            </w:r>
          </w:p>
          <w:p w:rsidR="00000000" w:rsidRPr="007708B4" w:rsidP="007708B4">
            <w:pPr>
              <w:pStyle w:val="ListBullet"/>
            </w:pPr>
            <w:r w:rsidRPr="007708B4">
              <w:t xml:space="preserve">cutting </w:t>
            </w:r>
          </w:p>
          <w:p w:rsidR="00000000" w:rsidRPr="007708B4" w:rsidP="007708B4">
            <w:pPr>
              <w:pStyle w:val="ListBullet"/>
            </w:pPr>
            <w:r w:rsidRPr="007708B4">
              <w:t xml:space="preserve">rolling </w:t>
            </w:r>
          </w:p>
          <w:p w:rsidR="00000000" w:rsidP="007708B4">
            <w:pPr>
              <w:pStyle w:val="ListBullet"/>
              <w:rPr>
                <w:lang w:val="en-NZ"/>
              </w:rPr>
            </w:pPr>
            <w:r w:rsidRPr="007708B4">
              <w:t>soldering</w:t>
            </w:r>
          </w:p>
        </w:tc>
      </w:tr>
      <w:tr w:rsidTr="007708B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8B4">
            <w:pPr>
              <w:pStyle w:val="BodyText"/>
              <w:rPr>
                <w:lang w:val="en-NZ"/>
              </w:rPr>
            </w:pPr>
            <w:r w:rsidRPr="007708B4">
              <w:rPr>
                <w:rStyle w:val="BoldandItalics"/>
              </w:rPr>
              <w:t>Measurements</w:t>
            </w:r>
            <w:r w:rsidRPr="007708B4">
              <w:rPr>
                <w:rStyle w:val="SpecialBold"/>
              </w:rPr>
              <w:t xml:space="preserve"> </w:t>
            </w:r>
            <w:r w:rsidRPr="007708B4">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8B4">
            <w:pPr>
              <w:pStyle w:val="ListBullet"/>
              <w:rPr>
                <w:lang w:val="en-NZ"/>
              </w:rPr>
            </w:pPr>
            <w:r w:rsidRPr="007708B4">
              <w:t>comparisons with the original plans or other available data</w:t>
            </w:r>
          </w:p>
        </w:tc>
      </w:tr>
      <w:tr w:rsidTr="007708B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8B4">
            <w:pPr>
              <w:pStyle w:val="BodyText"/>
              <w:rPr>
                <w:lang w:val="en-NZ"/>
              </w:rPr>
            </w:pPr>
            <w:r w:rsidRPr="007708B4">
              <w:rPr>
                <w:rStyle w:val="BoldandItalics"/>
              </w:rPr>
              <w:t>Tests</w:t>
            </w:r>
            <w:r w:rsidRPr="007708B4">
              <w:rPr>
                <w:rStyle w:val="SpecialBold"/>
              </w:rPr>
              <w:t xml:space="preserve"> </w:t>
            </w:r>
            <w:r w:rsidRPr="007708B4">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8B4">
            <w:pPr>
              <w:pStyle w:val="ListBullet"/>
              <w:rPr>
                <w:lang w:val="en-NZ"/>
              </w:rPr>
            </w:pPr>
            <w:r w:rsidRPr="007708B4">
              <w:t xml:space="preserve">structural soundness testing and colour matching </w:t>
            </w:r>
          </w:p>
        </w:tc>
      </w:tr>
      <w:tr w:rsidTr="007708B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8B4">
            <w:pPr>
              <w:pStyle w:val="BodyText"/>
              <w:rPr>
                <w:lang w:val="en-NZ"/>
              </w:rPr>
            </w:pPr>
            <w:r w:rsidRPr="007708B4">
              <w:rPr>
                <w:rStyle w:val="BoldandItalics"/>
              </w:rPr>
              <w:t xml:space="preserve">Assembly </w:t>
            </w:r>
            <w:r w:rsidRPr="007708B4">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8B4">
            <w:pPr>
              <w:pStyle w:val="ListBullet"/>
              <w:rPr>
                <w:lang w:val="en-NZ"/>
              </w:rPr>
            </w:pPr>
            <w:r w:rsidRPr="007708B4">
              <w:t>the requirement to assemble sections in order to facilitate later installation</w:t>
            </w:r>
          </w:p>
        </w:tc>
      </w:tr>
      <w:tr w:rsidTr="007708B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8B4">
            <w:pPr>
              <w:pStyle w:val="BodyText"/>
              <w:rPr>
                <w:lang w:val="en-NZ"/>
              </w:rPr>
            </w:pPr>
            <w:r w:rsidRPr="007708B4">
              <w:rPr>
                <w:rStyle w:val="BoldandItalics"/>
              </w:rPr>
              <w:t>Conservation report</w:t>
            </w:r>
            <w:r w:rsidRPr="007708B4">
              <w:rPr>
                <w:rStyle w:val="SpecialBold"/>
              </w:rPr>
              <w:t xml:space="preserve"> </w:t>
            </w:r>
            <w:r w:rsidRPr="007708B4">
              <w:t>would be in a format required by: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8B4" w:rsidP="007708B4">
            <w:pPr>
              <w:pStyle w:val="ListBullet"/>
            </w:pPr>
            <w:r w:rsidRPr="007708B4">
              <w:t>the client and other bodies, and may include su</w:t>
            </w:r>
            <w:r w:rsidRPr="007708B4">
              <w:t xml:space="preserve">ch aspects as: </w:t>
            </w:r>
          </w:p>
          <w:p w:rsidR="00000000" w:rsidRPr="007708B4" w:rsidP="007708B4">
            <w:pPr>
              <w:pStyle w:val="ListBullet2"/>
            </w:pPr>
            <w:r w:rsidRPr="007708B4">
              <w:t>the extent of the conservation methods applied</w:t>
            </w:r>
          </w:p>
          <w:p w:rsidR="00000000" w:rsidRPr="007708B4" w:rsidP="007708B4">
            <w:pPr>
              <w:pStyle w:val="ListBullet2"/>
            </w:pPr>
            <w:r w:rsidRPr="007708B4">
              <w:t xml:space="preserve">problems encountered </w:t>
            </w:r>
          </w:p>
          <w:p w:rsidR="00000000" w:rsidRPr="007708B4" w:rsidP="007708B4">
            <w:pPr>
              <w:pStyle w:val="ListBullet2"/>
            </w:pPr>
            <w:r w:rsidRPr="007708B4">
              <w:t>methods of dealing with them</w:t>
            </w:r>
          </w:p>
          <w:p w:rsidR="00000000" w:rsidRPr="007708B4" w:rsidP="007708B4">
            <w:pPr>
              <w:pStyle w:val="ListBullet2"/>
            </w:pPr>
            <w:r w:rsidRPr="007708B4">
              <w:t>photographic records of process and assembly</w:t>
            </w:r>
          </w:p>
          <w:p w:rsidR="00000000" w:rsidRPr="007708B4" w:rsidP="007708B4">
            <w:pPr>
              <w:pStyle w:val="ListBullet2"/>
            </w:pPr>
            <w:r w:rsidRPr="007708B4">
              <w:t xml:space="preserve">details required by government bodies </w:t>
            </w:r>
          </w:p>
        </w:tc>
      </w:tr>
    </w:tbl>
    <w:p w:rsidR="00000000" w:rsidRPr="007708B4" w:rsidP="007708B4">
      <w:pPr>
        <w:pStyle w:val="BodyText"/>
      </w:pPr>
    </w:p>
    <w:p w:rsidR="00000000" w:rsidRPr="007708B4" w:rsidP="007708B4">
      <w:pPr>
        <w:pStyle w:val="AllowPageBreak"/>
      </w:pPr>
    </w:p>
    <w:p w:rsidR="00000000" w:rsidRPr="007708B4" w:rsidP="007708B4">
      <w:pPr>
        <w:pStyle w:val="Heading1"/>
      </w:pPr>
      <w:bookmarkStart w:id="12" w:name="O_352353"/>
      <w:bookmarkEnd w:id="12"/>
      <w:r w:rsidRPr="007708B4">
        <w:t>Unit Sector(s)</w:t>
      </w:r>
    </w:p>
    <w:p w:rsidR="00000000" w:rsidRPr="007708B4" w:rsidP="007708B4">
      <w:pPr>
        <w:pStyle w:val="BodyText"/>
      </w:pPr>
      <w:r w:rsidRPr="007708B4">
        <w:t>Leadlight and stained glass</w:t>
      </w:r>
    </w:p>
    <w:p w:rsidR="00000000" w:rsidRPr="007708B4" w:rsidP="007708B4">
      <w:pPr>
        <w:pStyle w:val="AllowPageBreak"/>
      </w:pPr>
    </w:p>
    <w:p w:rsidR="00000000" w:rsidRPr="007708B4" w:rsidP="007708B4">
      <w:pPr>
        <w:pStyle w:val="Heading1"/>
      </w:pPr>
      <w:bookmarkStart w:id="13" w:name="O_352354"/>
      <w:bookmarkEnd w:id="13"/>
      <w:r w:rsidRPr="007708B4">
        <w:t>Custom Content Section</w:t>
      </w:r>
    </w:p>
    <w:p w:rsidR="00000000" w:rsidRPr="007708B4" w:rsidP="007708B4">
      <w:pPr>
        <w:pStyle w:val="BodyText"/>
      </w:pPr>
      <w:r w:rsidRPr="007708B4">
        <w:t>Not applicable.</w:t>
      </w:r>
    </w:p>
    <w:p w:rsidR="00000000" w:rsidRPr="007708B4" w:rsidP="007708B4"/>
    <w:sectPr w:rsidSect="007708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8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3777" w:rsidP="00C237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8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777" w:rsidP="007708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23777" w:rsidP="007708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23777" w:rsidP="007708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8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3777" w:rsidP="00C237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8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777" w:rsidP="007708B4">
    <w:pPr>
      <w:pStyle w:val="Header"/>
      <w:framePr w:wrap="around"/>
    </w:pPr>
    <w:r>
      <w:fldChar w:fldCharType="begin"/>
    </w:r>
    <w:r>
      <w:instrText xml:space="preserve"> TITLE   \* MERGEFORMAT </w:instrText>
    </w:r>
    <w:r>
      <w:fldChar w:fldCharType="separate"/>
    </w:r>
    <w:r>
      <w:t>LMFSL5003B Conserve heritage leadlight and stained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23777" w:rsidP="007708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0E6E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98E0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142E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8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08B4"/>
    <w:pPr>
      <w:spacing w:before="360" w:after="60"/>
      <w:outlineLvl w:val="0"/>
    </w:pPr>
    <w:rPr>
      <w:sz w:val="32"/>
    </w:rPr>
  </w:style>
  <w:style w:type="paragraph" w:styleId="Heading2">
    <w:name w:val="heading 2"/>
    <w:basedOn w:val="HeadingBase"/>
    <w:next w:val="BodyText"/>
    <w:link w:val="Heading2Char"/>
    <w:qFormat/>
    <w:rsid w:val="007708B4"/>
    <w:pPr>
      <w:keepLines/>
      <w:spacing w:before="240" w:after="120"/>
      <w:outlineLvl w:val="1"/>
    </w:pPr>
    <w:rPr>
      <w:sz w:val="28"/>
      <w:szCs w:val="40"/>
    </w:rPr>
  </w:style>
  <w:style w:type="paragraph" w:styleId="Heading3">
    <w:name w:val="heading 3"/>
    <w:basedOn w:val="HeadingBase"/>
    <w:next w:val="BodyText"/>
    <w:link w:val="Heading3Char"/>
    <w:qFormat/>
    <w:rsid w:val="007708B4"/>
    <w:pPr>
      <w:spacing w:before="180" w:after="120"/>
      <w:outlineLvl w:val="2"/>
    </w:pPr>
    <w:rPr>
      <w:spacing w:val="-10"/>
      <w:kern w:val="32"/>
    </w:rPr>
  </w:style>
  <w:style w:type="paragraph" w:styleId="Heading4">
    <w:name w:val="heading 4"/>
    <w:basedOn w:val="HeadingBase"/>
    <w:next w:val="BodyText"/>
    <w:link w:val="Heading4Char"/>
    <w:qFormat/>
    <w:rsid w:val="007708B4"/>
    <w:pPr>
      <w:spacing w:before="160" w:after="120"/>
      <w:outlineLvl w:val="3"/>
    </w:pPr>
    <w:rPr>
      <w:sz w:val="22"/>
    </w:rPr>
  </w:style>
  <w:style w:type="paragraph" w:styleId="Heading5">
    <w:name w:val="heading 5"/>
    <w:basedOn w:val="HeadingBase"/>
    <w:next w:val="Normal"/>
    <w:link w:val="Heading5Char"/>
    <w:qFormat/>
    <w:rsid w:val="007708B4"/>
    <w:pPr>
      <w:spacing w:before="80"/>
      <w:outlineLvl w:val="4"/>
    </w:pPr>
    <w:rPr>
      <w:color w:val="918585"/>
      <w:sz w:val="20"/>
    </w:rPr>
  </w:style>
  <w:style w:type="paragraph" w:styleId="Heading6">
    <w:name w:val="heading 6"/>
    <w:basedOn w:val="HeadingBase"/>
    <w:next w:val="Normal"/>
    <w:link w:val="Heading6Char"/>
    <w:qFormat/>
    <w:rsid w:val="007708B4"/>
    <w:pPr>
      <w:spacing w:before="60"/>
      <w:outlineLvl w:val="5"/>
    </w:pPr>
    <w:rPr>
      <w:color w:val="918585"/>
      <w:sz w:val="20"/>
    </w:rPr>
  </w:style>
  <w:style w:type="paragraph" w:styleId="Heading7">
    <w:name w:val="heading 7"/>
    <w:basedOn w:val="Normal"/>
    <w:next w:val="Normal"/>
    <w:link w:val="Heading7Char"/>
    <w:qFormat/>
    <w:rsid w:val="007708B4"/>
    <w:pPr>
      <w:ind w:left="720"/>
      <w:outlineLvl w:val="6"/>
    </w:pPr>
    <w:rPr>
      <w:i/>
    </w:rPr>
  </w:style>
  <w:style w:type="paragraph" w:styleId="Heading8">
    <w:name w:val="heading 8"/>
    <w:basedOn w:val="Normal"/>
    <w:next w:val="Normal"/>
    <w:link w:val="Heading8Char"/>
    <w:qFormat/>
    <w:rsid w:val="007708B4"/>
    <w:pPr>
      <w:ind w:left="720"/>
      <w:outlineLvl w:val="7"/>
    </w:pPr>
    <w:rPr>
      <w:i/>
    </w:rPr>
  </w:style>
  <w:style w:type="paragraph" w:styleId="Heading9">
    <w:name w:val="heading 9"/>
    <w:basedOn w:val="Normal"/>
    <w:next w:val="Normal"/>
    <w:link w:val="Heading9Char"/>
    <w:qFormat/>
    <w:rsid w:val="007708B4"/>
    <w:pPr>
      <w:ind w:left="720"/>
      <w:outlineLvl w:val="8"/>
    </w:pPr>
    <w:rPr>
      <w:i/>
    </w:rPr>
  </w:style>
  <w:style w:type="character" w:default="1" w:styleId="DefaultParagraphFont">
    <w:name w:val="Default Paragraph Font"/>
    <w:uiPriority w:val="1"/>
    <w:unhideWhenUsed/>
    <w:rsid w:val="007708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8B4"/>
  </w:style>
  <w:style w:type="character" w:customStyle="1" w:styleId="Heading1Char">
    <w:name w:val="Heading 1 Char"/>
    <w:basedOn w:val="DefaultParagraphFont"/>
    <w:link w:val="Heading1"/>
    <w:rsid w:val="007708B4"/>
    <w:rPr>
      <w:rFonts w:ascii="Times New Roman" w:eastAsia="Times New Roman" w:hAnsi="Times New Roman" w:cs="Times New Roman"/>
      <w:b/>
      <w:sz w:val="32"/>
      <w:szCs w:val="20"/>
      <w:lang w:eastAsia="en-US"/>
    </w:rPr>
  </w:style>
  <w:style w:type="paragraph" w:styleId="BodyText">
    <w:name w:val="Body Text"/>
    <w:basedOn w:val="Normal"/>
    <w:link w:val="BodyTextChar"/>
    <w:rsid w:val="007708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08B4"/>
    <w:rPr>
      <w:rFonts w:ascii="Times New Roman" w:eastAsia="Times New Roman" w:hAnsi="Times New Roman" w:cs="Times New Roman"/>
      <w:sz w:val="24"/>
      <w:lang w:val="en-US" w:eastAsia="en-US"/>
    </w:rPr>
  </w:style>
  <w:style w:type="paragraph" w:styleId="Footer">
    <w:name w:val="footer"/>
    <w:basedOn w:val="Normal"/>
    <w:link w:val="FooterChar"/>
    <w:rsid w:val="007708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8B4"/>
    <w:rPr>
      <w:rFonts w:ascii="Times New Roman" w:eastAsia="Times New Roman" w:hAnsi="Times New Roman" w:cs="Times New Roman"/>
      <w:sz w:val="16"/>
      <w:lang w:val="en-US" w:eastAsia="en-US"/>
    </w:rPr>
  </w:style>
  <w:style w:type="paragraph" w:styleId="ListBullet">
    <w:name w:val="List Bullet"/>
    <w:basedOn w:val="List"/>
    <w:rsid w:val="007708B4"/>
    <w:pPr>
      <w:numPr>
        <w:numId w:val="13"/>
      </w:numPr>
      <w:tabs>
        <w:tab w:val="clear" w:pos="340"/>
      </w:tabs>
      <w:spacing w:before="40" w:after="40"/>
    </w:pPr>
  </w:style>
  <w:style w:type="character" w:customStyle="1" w:styleId="SpecialBold">
    <w:name w:val="Special Bold"/>
    <w:basedOn w:val="DefaultParagraphFont"/>
    <w:rsid w:val="007708B4"/>
    <w:rPr>
      <w:b/>
      <w:spacing w:val="0"/>
    </w:rPr>
  </w:style>
  <w:style w:type="paragraph" w:styleId="ListBullet2">
    <w:name w:val="List Bullet 2"/>
    <w:basedOn w:val="List2"/>
    <w:rsid w:val="007708B4"/>
    <w:pPr>
      <w:numPr>
        <w:numId w:val="14"/>
      </w:numPr>
      <w:tabs>
        <w:tab w:val="clear" w:pos="680"/>
      </w:tabs>
    </w:pPr>
  </w:style>
  <w:style w:type="paragraph" w:styleId="Header">
    <w:name w:val="header"/>
    <w:basedOn w:val="Normal"/>
    <w:link w:val="HeaderChar"/>
    <w:rsid w:val="007708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8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08B4"/>
    <w:pPr>
      <w:spacing w:before="240" w:after="120"/>
      <w:outlineLvl w:val="0"/>
    </w:pPr>
    <w:rPr>
      <w:rFonts w:ascii="Times New Roman" w:hAnsi="Times New Roman"/>
      <w:b/>
      <w:sz w:val="28"/>
    </w:rPr>
  </w:style>
  <w:style w:type="paragraph" w:customStyle="1" w:styleId="AllowPageBreak">
    <w:name w:val="AllowPageBreak"/>
    <w:rsid w:val="007708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708B4"/>
    <w:rPr>
      <w:b/>
      <w:i/>
      <w:u w:val="none"/>
    </w:rPr>
  </w:style>
  <w:style w:type="character" w:customStyle="1" w:styleId="Heading2Char">
    <w:name w:val="Heading 2 Char"/>
    <w:basedOn w:val="DefaultParagraphFont"/>
    <w:link w:val="Heading2"/>
    <w:rsid w:val="007708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8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08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08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8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8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08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08B4"/>
    <w:rPr>
      <w:rFonts w:ascii="Courier New" w:eastAsia="Times New Roman" w:hAnsi="Courier New" w:cs="Times New Roman"/>
      <w:i/>
      <w:szCs w:val="20"/>
      <w:lang w:val="en-US" w:eastAsia="en-US"/>
    </w:rPr>
  </w:style>
  <w:style w:type="paragraph" w:customStyle="1" w:styleId="HeadingBase">
    <w:name w:val="Heading Base"/>
    <w:rsid w:val="007708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8B4"/>
    <w:pPr>
      <w:tabs>
        <w:tab w:val="right" w:leader="dot" w:pos="9072"/>
      </w:tabs>
      <w:ind w:left="567"/>
    </w:pPr>
    <w:rPr>
      <w:szCs w:val="22"/>
    </w:rPr>
  </w:style>
  <w:style w:type="paragraph" w:customStyle="1" w:styleId="TOCBase">
    <w:name w:val="TOC Base"/>
    <w:rsid w:val="007708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8B4"/>
    <w:pPr>
      <w:tabs>
        <w:tab w:val="right" w:leader="dot" w:pos="9072"/>
      </w:tabs>
      <w:spacing w:before="40" w:after="40"/>
      <w:ind w:left="284"/>
    </w:pPr>
    <w:rPr>
      <w:rFonts w:ascii="Times New Roman" w:hAnsi="Times New Roman"/>
    </w:rPr>
  </w:style>
  <w:style w:type="paragraph" w:styleId="TOC1">
    <w:name w:val="toc 1"/>
    <w:basedOn w:val="TOCBase"/>
    <w:next w:val="Normal"/>
    <w:rsid w:val="007708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08B4"/>
    <w:pPr>
      <w:spacing w:before="5040"/>
      <w:jc w:val="center"/>
    </w:pPr>
    <w:rPr>
      <w:sz w:val="48"/>
      <w:szCs w:val="72"/>
      <w:lang w:val="en-US"/>
    </w:rPr>
  </w:style>
  <w:style w:type="character" w:customStyle="1" w:styleId="TitleChar">
    <w:name w:val="Title Char"/>
    <w:basedOn w:val="DefaultParagraphFont"/>
    <w:link w:val="Title"/>
    <w:rsid w:val="007708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8B4"/>
    <w:pPr>
      <w:tabs>
        <w:tab w:val="left" w:pos="3600"/>
        <w:tab w:val="left" w:pos="3958"/>
      </w:tabs>
    </w:pPr>
  </w:style>
  <w:style w:type="paragraph" w:styleId="List">
    <w:name w:val="List"/>
    <w:basedOn w:val="BodyText"/>
    <w:next w:val="BodyText"/>
    <w:rsid w:val="007708B4"/>
    <w:pPr>
      <w:tabs>
        <w:tab w:val="left" w:pos="340"/>
      </w:tabs>
      <w:spacing w:before="60" w:after="60"/>
      <w:ind w:left="340" w:hanging="340"/>
    </w:pPr>
  </w:style>
  <w:style w:type="paragraph" w:customStyle="1" w:styleId="Note">
    <w:name w:val="Note"/>
    <w:basedOn w:val="BodyText"/>
    <w:rsid w:val="007708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8B4"/>
    <w:pPr>
      <w:framePr w:wrap="auto" w:hAnchor="text" w:y="6049"/>
    </w:pPr>
    <w:rPr>
      <w:color w:val="000000"/>
      <w:sz w:val="40"/>
    </w:rPr>
  </w:style>
  <w:style w:type="paragraph" w:customStyle="1" w:styleId="TOCTitle">
    <w:name w:val="TOCTitle"/>
    <w:basedOn w:val="Heading1"/>
    <w:rsid w:val="007708B4"/>
    <w:pPr>
      <w:spacing w:after="240"/>
      <w:jc w:val="center"/>
      <w:outlineLvl w:val="9"/>
    </w:pPr>
    <w:rPr>
      <w:caps/>
    </w:rPr>
  </w:style>
  <w:style w:type="paragraph" w:customStyle="1" w:styleId="Version">
    <w:name w:val="Version"/>
    <w:rsid w:val="007708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08B4"/>
    <w:pPr>
      <w:keepNext w:val="0"/>
      <w:tabs>
        <w:tab w:val="right" w:pos="4176"/>
      </w:tabs>
      <w:ind w:left="198" w:hanging="198"/>
    </w:pPr>
    <w:rPr>
      <w:rFonts w:ascii="Garamond" w:hAnsi="Garamond"/>
    </w:rPr>
  </w:style>
  <w:style w:type="paragraph" w:styleId="IndexHeading">
    <w:name w:val="index heading"/>
    <w:basedOn w:val="Normal"/>
    <w:next w:val="Index1"/>
    <w:semiHidden/>
    <w:rsid w:val="007708B4"/>
    <w:pPr>
      <w:spacing w:before="120" w:after="120"/>
    </w:pPr>
    <w:rPr>
      <w:rFonts w:ascii="Arial" w:hAnsi="Arial"/>
      <w:b/>
      <w:color w:val="918585"/>
      <w:sz w:val="24"/>
    </w:rPr>
  </w:style>
  <w:style w:type="paragraph" w:customStyle="1" w:styleId="Chapter">
    <w:name w:val="Chapter"/>
    <w:basedOn w:val="Normal"/>
    <w:rsid w:val="007708B4"/>
    <w:pPr>
      <w:spacing w:before="240"/>
    </w:pPr>
    <w:rPr>
      <w:rFonts w:ascii="Times New Roman" w:hAnsi="Times New Roman"/>
      <w:smallCaps/>
      <w:spacing w:val="80"/>
      <w:sz w:val="28"/>
    </w:rPr>
  </w:style>
  <w:style w:type="paragraph" w:customStyle="1" w:styleId="InChapter">
    <w:name w:val="InChapter"/>
    <w:basedOn w:val="Heading3"/>
    <w:rsid w:val="007708B4"/>
    <w:pPr>
      <w:spacing w:after="240"/>
      <w:outlineLvl w:val="9"/>
    </w:pPr>
    <w:rPr>
      <w:noProof/>
    </w:rPr>
  </w:style>
  <w:style w:type="paragraph" w:styleId="Index2">
    <w:name w:val="index 2"/>
    <w:basedOn w:val="Normal"/>
    <w:next w:val="Normal"/>
    <w:semiHidden/>
    <w:rsid w:val="007708B4"/>
    <w:pPr>
      <w:tabs>
        <w:tab w:val="right" w:pos="4176"/>
      </w:tabs>
      <w:ind w:left="568" w:hanging="284"/>
    </w:pPr>
    <w:rPr>
      <w:rFonts w:ascii="Garamond" w:hAnsi="Garamond"/>
    </w:rPr>
  </w:style>
  <w:style w:type="paragraph" w:customStyle="1" w:styleId="Byline">
    <w:name w:val="Byline"/>
    <w:rsid w:val="007708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8B4"/>
    <w:pPr>
      <w:tabs>
        <w:tab w:val="clear" w:pos="3600"/>
        <w:tab w:val="clear" w:pos="3958"/>
      </w:tabs>
      <w:jc w:val="right"/>
    </w:pPr>
  </w:style>
  <w:style w:type="character" w:styleId="Emphasis">
    <w:name w:val="Emphasis"/>
    <w:basedOn w:val="DefaultParagraphFont"/>
    <w:qFormat/>
    <w:rsid w:val="007708B4"/>
    <w:rPr>
      <w:i/>
    </w:rPr>
  </w:style>
  <w:style w:type="paragraph" w:styleId="Caption">
    <w:name w:val="caption"/>
    <w:basedOn w:val="BodyText"/>
    <w:next w:val="Normal"/>
    <w:qFormat/>
    <w:rsid w:val="007708B4"/>
    <w:pPr>
      <w:framePr w:w="2268" w:hSpace="181" w:vSpace="181" w:wrap="around" w:vAnchor="text" w:hAnchor="page" w:x="1135" w:y="285" w:anchorLock="1"/>
    </w:pPr>
    <w:rPr>
      <w:i/>
    </w:rPr>
  </w:style>
  <w:style w:type="paragraph" w:customStyle="1" w:styleId="MiniTOCTitle">
    <w:name w:val="MiniTOCTitle"/>
    <w:basedOn w:val="Heading4"/>
    <w:rsid w:val="007708B4"/>
    <w:pPr>
      <w:spacing w:before="240"/>
      <w:outlineLvl w:val="9"/>
    </w:pPr>
    <w:rPr>
      <w:noProof/>
      <w:sz w:val="24"/>
    </w:rPr>
  </w:style>
  <w:style w:type="paragraph" w:customStyle="1" w:styleId="MiniTOCItem">
    <w:name w:val="MiniTOCItem"/>
    <w:basedOn w:val="ListBullet"/>
    <w:rsid w:val="007708B4"/>
    <w:pPr>
      <w:numPr>
        <w:numId w:val="0"/>
      </w:numPr>
      <w:tabs>
        <w:tab w:val="right" w:leader="dot" w:pos="6521"/>
      </w:tabs>
      <w:spacing w:before="0" w:after="0"/>
    </w:pPr>
  </w:style>
  <w:style w:type="paragraph" w:customStyle="1" w:styleId="TOFTitle">
    <w:name w:val="TOFTitle"/>
    <w:basedOn w:val="TOCTitle"/>
    <w:rsid w:val="007708B4"/>
  </w:style>
  <w:style w:type="paragraph" w:styleId="TableofFigures">
    <w:name w:val="table of figures"/>
    <w:basedOn w:val="Normal"/>
    <w:next w:val="Normal"/>
    <w:semiHidden/>
    <w:rsid w:val="007708B4"/>
    <w:pPr>
      <w:tabs>
        <w:tab w:val="right" w:leader="dot" w:pos="9072"/>
      </w:tabs>
      <w:ind w:left="970" w:hanging="403"/>
    </w:pPr>
    <w:rPr>
      <w:rFonts w:ascii="Times New Roman" w:hAnsi="Times New Roman"/>
      <w:b/>
    </w:rPr>
  </w:style>
  <w:style w:type="paragraph" w:styleId="ListNumber">
    <w:name w:val="List Number"/>
    <w:basedOn w:val="List"/>
    <w:rsid w:val="007708B4"/>
    <w:pPr>
      <w:numPr>
        <w:numId w:val="11"/>
      </w:numPr>
    </w:pPr>
  </w:style>
  <w:style w:type="character" w:customStyle="1" w:styleId="WingdingSymbols">
    <w:name w:val="Wingding Symbols"/>
    <w:rsid w:val="007708B4"/>
    <w:rPr>
      <w:rFonts w:ascii="Wingdings" w:hAnsi="Wingdings"/>
    </w:rPr>
  </w:style>
  <w:style w:type="paragraph" w:customStyle="1" w:styleId="TableHeading">
    <w:name w:val="Table Heading"/>
    <w:basedOn w:val="HeadingBase"/>
    <w:rsid w:val="007708B4"/>
    <w:pPr>
      <w:keepLines/>
      <w:pBdr>
        <w:bottom w:val="single" w:sz="6" w:space="1" w:color="918585"/>
      </w:pBdr>
      <w:spacing w:before="240"/>
    </w:pPr>
  </w:style>
  <w:style w:type="character" w:customStyle="1" w:styleId="HotSpot">
    <w:name w:val="HotSpot"/>
    <w:rsid w:val="007708B4"/>
    <w:rPr>
      <w:color w:val="0033CC"/>
      <w:u w:val="none"/>
    </w:rPr>
  </w:style>
  <w:style w:type="paragraph" w:customStyle="1" w:styleId="BodyTextRight">
    <w:name w:val="Body Text Right"/>
    <w:basedOn w:val="BodyText"/>
    <w:rsid w:val="007708B4"/>
    <w:pPr>
      <w:spacing w:before="0" w:after="0"/>
      <w:jc w:val="right"/>
    </w:pPr>
  </w:style>
  <w:style w:type="paragraph" w:styleId="Index3">
    <w:name w:val="index 3"/>
    <w:basedOn w:val="ListNumber2"/>
    <w:next w:val="Normal"/>
    <w:semiHidden/>
    <w:rsid w:val="007708B4"/>
    <w:pPr>
      <w:numPr>
        <w:numId w:val="0"/>
      </w:numPr>
      <w:tabs>
        <w:tab w:val="right" w:leader="dot" w:pos="4176"/>
      </w:tabs>
    </w:pPr>
  </w:style>
  <w:style w:type="paragraph" w:styleId="ListNumber2">
    <w:name w:val="List Number 2"/>
    <w:basedOn w:val="List2"/>
    <w:rsid w:val="007708B4"/>
    <w:pPr>
      <w:numPr>
        <w:numId w:val="10"/>
      </w:numPr>
      <w:tabs>
        <w:tab w:val="clear" w:pos="1060"/>
      </w:tabs>
    </w:pPr>
  </w:style>
  <w:style w:type="paragraph" w:customStyle="1" w:styleId="MarginNote">
    <w:name w:val="Margin Note"/>
    <w:basedOn w:val="BodyText"/>
    <w:rsid w:val="007708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8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8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08B4"/>
    <w:rPr>
      <w:sz w:val="32"/>
    </w:rPr>
  </w:style>
  <w:style w:type="paragraph" w:customStyle="1" w:styleId="HeadingProcedure">
    <w:name w:val="Heading Procedure"/>
    <w:basedOn w:val="HeadingBase"/>
    <w:next w:val="Normal"/>
    <w:rsid w:val="007708B4"/>
    <w:pPr>
      <w:tabs>
        <w:tab w:val="left" w:pos="0"/>
      </w:tabs>
      <w:spacing w:before="120" w:after="60"/>
    </w:pPr>
    <w:rPr>
      <w:i/>
      <w:color w:val="918585"/>
      <w:sz w:val="22"/>
    </w:rPr>
  </w:style>
  <w:style w:type="paragraph" w:customStyle="1" w:styleId="TableBodyText">
    <w:name w:val="Table Body Text"/>
    <w:basedOn w:val="BodyText"/>
    <w:rsid w:val="007708B4"/>
    <w:pPr>
      <w:spacing w:before="60" w:after="60"/>
    </w:pPr>
  </w:style>
  <w:style w:type="paragraph" w:styleId="ListContinue">
    <w:name w:val="List Continue"/>
    <w:basedOn w:val="List"/>
    <w:rsid w:val="007708B4"/>
    <w:pPr>
      <w:ind w:firstLine="0"/>
    </w:pPr>
  </w:style>
  <w:style w:type="paragraph" w:customStyle="1" w:styleId="ListNote">
    <w:name w:val="List Note"/>
    <w:basedOn w:val="List"/>
    <w:rsid w:val="007708B4"/>
    <w:pPr>
      <w:pBdr>
        <w:top w:val="single" w:sz="6" w:space="2" w:color="918585"/>
        <w:bottom w:val="single" w:sz="6" w:space="2" w:color="918585"/>
      </w:pBdr>
      <w:tabs>
        <w:tab w:val="left" w:pos="1021"/>
      </w:tabs>
      <w:ind w:firstLine="0"/>
    </w:pPr>
  </w:style>
  <w:style w:type="paragraph" w:customStyle="1" w:styleId="Warning">
    <w:name w:val="Warning"/>
    <w:basedOn w:val="BodyText"/>
    <w:rsid w:val="007708B4"/>
    <w:pPr>
      <w:shd w:val="clear" w:color="auto" w:fill="D9D9D9"/>
      <w:tabs>
        <w:tab w:val="left" w:pos="992"/>
      </w:tabs>
      <w:ind w:left="119" w:right="119"/>
    </w:pPr>
    <w:rPr>
      <w:sz w:val="20"/>
    </w:rPr>
  </w:style>
  <w:style w:type="paragraph" w:customStyle="1" w:styleId="MarginIcons">
    <w:name w:val="Margin Icons"/>
    <w:basedOn w:val="BodyText"/>
    <w:rsid w:val="007708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8B4"/>
    <w:rPr>
      <w:rFonts w:ascii="Courier New" w:hAnsi="Courier New"/>
    </w:rPr>
  </w:style>
  <w:style w:type="paragraph" w:customStyle="1" w:styleId="NoteBullet">
    <w:name w:val="Note Bullet"/>
    <w:basedOn w:val="Note"/>
    <w:rsid w:val="007708B4"/>
    <w:pPr>
      <w:tabs>
        <w:tab w:val="clear" w:pos="680"/>
      </w:tabs>
      <w:spacing w:before="60" w:after="60"/>
    </w:pPr>
  </w:style>
  <w:style w:type="paragraph" w:customStyle="1" w:styleId="SubHeading2">
    <w:name w:val="SubHeading2"/>
    <w:basedOn w:val="HeadingBase"/>
    <w:rsid w:val="007708B4"/>
    <w:pPr>
      <w:spacing w:before="240" w:after="60"/>
    </w:pPr>
    <w:rPr>
      <w:sz w:val="20"/>
    </w:rPr>
  </w:style>
  <w:style w:type="paragraph" w:customStyle="1" w:styleId="SubHeading1">
    <w:name w:val="SubHeading1"/>
    <w:basedOn w:val="HeadingBase"/>
    <w:rsid w:val="007708B4"/>
    <w:pPr>
      <w:spacing w:before="240" w:after="60"/>
    </w:pPr>
    <w:rPr>
      <w:color w:val="918585"/>
      <w:sz w:val="22"/>
    </w:rPr>
  </w:style>
  <w:style w:type="paragraph" w:customStyle="1" w:styleId="SideHeading">
    <w:name w:val="Side Heading"/>
    <w:basedOn w:val="HeadingBase"/>
    <w:rsid w:val="007708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8B4"/>
    <w:pPr>
      <w:numPr>
        <w:numId w:val="12"/>
      </w:numPr>
    </w:pPr>
  </w:style>
  <w:style w:type="paragraph" w:styleId="PlainText">
    <w:name w:val="Plain Text"/>
    <w:basedOn w:val="Normal"/>
    <w:link w:val="PlainTextChar"/>
    <w:rsid w:val="007708B4"/>
    <w:rPr>
      <w:sz w:val="20"/>
    </w:rPr>
  </w:style>
  <w:style w:type="character" w:customStyle="1" w:styleId="PlainTextChar">
    <w:name w:val="Plain Text Char"/>
    <w:basedOn w:val="DefaultParagraphFont"/>
    <w:link w:val="PlainText"/>
    <w:rsid w:val="007708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08B4"/>
    <w:rPr>
      <w:b/>
      <w:smallCaps/>
    </w:rPr>
  </w:style>
  <w:style w:type="paragraph" w:customStyle="1" w:styleId="TableListNumber">
    <w:name w:val="Table List Number"/>
    <w:basedOn w:val="ListNumber"/>
    <w:rsid w:val="007708B4"/>
    <w:pPr>
      <w:numPr>
        <w:numId w:val="0"/>
      </w:numPr>
    </w:pPr>
  </w:style>
  <w:style w:type="paragraph" w:styleId="TOC4">
    <w:name w:val="toc 4"/>
    <w:basedOn w:val="TOCBase"/>
    <w:next w:val="Normal"/>
    <w:semiHidden/>
    <w:rsid w:val="007708B4"/>
    <w:pPr>
      <w:tabs>
        <w:tab w:val="right" w:leader="dot" w:pos="9071"/>
      </w:tabs>
      <w:ind w:left="1701"/>
    </w:pPr>
  </w:style>
  <w:style w:type="paragraph" w:customStyle="1" w:styleId="ListAlpha">
    <w:name w:val="List Alpha"/>
    <w:basedOn w:val="List"/>
    <w:rsid w:val="007708B4"/>
    <w:pPr>
      <w:numPr>
        <w:numId w:val="9"/>
      </w:numPr>
    </w:pPr>
  </w:style>
  <w:style w:type="paragraph" w:customStyle="1" w:styleId="ListAlpha2">
    <w:name w:val="List Alpha 2"/>
    <w:basedOn w:val="List2"/>
    <w:rsid w:val="007708B4"/>
    <w:pPr>
      <w:numPr>
        <w:numId w:val="8"/>
      </w:numPr>
    </w:pPr>
  </w:style>
  <w:style w:type="paragraph" w:styleId="List2">
    <w:name w:val="List 2"/>
    <w:basedOn w:val="BodyText"/>
    <w:rsid w:val="007708B4"/>
    <w:pPr>
      <w:tabs>
        <w:tab w:val="left" w:pos="680"/>
      </w:tabs>
      <w:spacing w:before="60" w:after="60"/>
      <w:ind w:left="680" w:hanging="340"/>
    </w:pPr>
  </w:style>
  <w:style w:type="paragraph" w:styleId="List3">
    <w:name w:val="List 3"/>
    <w:basedOn w:val="BodyText"/>
    <w:rsid w:val="007708B4"/>
    <w:pPr>
      <w:tabs>
        <w:tab w:val="left" w:pos="1021"/>
      </w:tabs>
      <w:spacing w:before="60" w:after="60"/>
      <w:ind w:left="1020" w:hanging="340"/>
    </w:pPr>
  </w:style>
  <w:style w:type="paragraph" w:styleId="List4">
    <w:name w:val="List 4"/>
    <w:basedOn w:val="BodyText"/>
    <w:rsid w:val="007708B4"/>
    <w:pPr>
      <w:tabs>
        <w:tab w:val="left" w:pos="1361"/>
      </w:tabs>
      <w:spacing w:before="60" w:after="60"/>
      <w:ind w:left="1361" w:hanging="340"/>
    </w:pPr>
  </w:style>
  <w:style w:type="paragraph" w:styleId="List5">
    <w:name w:val="List 5"/>
    <w:basedOn w:val="BodyText"/>
    <w:rsid w:val="007708B4"/>
    <w:pPr>
      <w:tabs>
        <w:tab w:val="left" w:pos="1701"/>
      </w:tabs>
      <w:spacing w:before="60" w:after="60"/>
      <w:ind w:left="1701" w:hanging="340"/>
    </w:pPr>
  </w:style>
  <w:style w:type="paragraph" w:styleId="ListBullet3">
    <w:name w:val="List Bullet 3"/>
    <w:basedOn w:val="List3"/>
    <w:rsid w:val="007708B4"/>
    <w:pPr>
      <w:numPr>
        <w:numId w:val="15"/>
      </w:numPr>
      <w:tabs>
        <w:tab w:val="clear" w:pos="1021"/>
      </w:tabs>
      <w:ind w:left="1037" w:hanging="357"/>
    </w:pPr>
  </w:style>
  <w:style w:type="paragraph" w:styleId="ListBullet4">
    <w:name w:val="List Bullet 4"/>
    <w:basedOn w:val="List4"/>
    <w:rsid w:val="007708B4"/>
    <w:pPr>
      <w:numPr>
        <w:numId w:val="3"/>
      </w:numPr>
    </w:pPr>
  </w:style>
  <w:style w:type="paragraph" w:styleId="ListBullet5">
    <w:name w:val="List Bullet 5"/>
    <w:basedOn w:val="List5"/>
    <w:rsid w:val="007708B4"/>
    <w:pPr>
      <w:numPr>
        <w:numId w:val="4"/>
      </w:numPr>
    </w:pPr>
  </w:style>
  <w:style w:type="paragraph" w:styleId="ListContinue2">
    <w:name w:val="List Continue 2"/>
    <w:basedOn w:val="List2"/>
    <w:rsid w:val="007708B4"/>
    <w:pPr>
      <w:ind w:firstLine="0"/>
    </w:pPr>
  </w:style>
  <w:style w:type="paragraph" w:styleId="ListContinue3">
    <w:name w:val="List Continue 3"/>
    <w:basedOn w:val="List3"/>
    <w:rsid w:val="007708B4"/>
    <w:pPr>
      <w:ind w:left="1021" w:firstLine="0"/>
    </w:pPr>
  </w:style>
  <w:style w:type="paragraph" w:styleId="ListContinue4">
    <w:name w:val="List Continue 4"/>
    <w:basedOn w:val="List4"/>
    <w:rsid w:val="007708B4"/>
    <w:pPr>
      <w:ind w:firstLine="0"/>
    </w:pPr>
  </w:style>
  <w:style w:type="paragraph" w:styleId="ListContinue5">
    <w:name w:val="List Continue 5"/>
    <w:basedOn w:val="List5"/>
    <w:rsid w:val="007708B4"/>
    <w:pPr>
      <w:ind w:firstLine="0"/>
    </w:pPr>
  </w:style>
  <w:style w:type="paragraph" w:styleId="ListNumber3">
    <w:name w:val="List Number 3"/>
    <w:basedOn w:val="List3"/>
    <w:rsid w:val="007708B4"/>
    <w:pPr>
      <w:numPr>
        <w:numId w:val="5"/>
      </w:numPr>
    </w:pPr>
  </w:style>
  <w:style w:type="paragraph" w:styleId="ListNumber4">
    <w:name w:val="List Number 4"/>
    <w:basedOn w:val="List4"/>
    <w:rsid w:val="007708B4"/>
    <w:pPr>
      <w:numPr>
        <w:numId w:val="6"/>
      </w:numPr>
    </w:pPr>
  </w:style>
  <w:style w:type="paragraph" w:styleId="ListNumber5">
    <w:name w:val="List Number 5"/>
    <w:basedOn w:val="List5"/>
    <w:rsid w:val="007708B4"/>
    <w:pPr>
      <w:numPr>
        <w:numId w:val="7"/>
      </w:numPr>
    </w:pPr>
  </w:style>
  <w:style w:type="paragraph" w:styleId="BlockText">
    <w:name w:val="Block Text"/>
    <w:basedOn w:val="Normal"/>
    <w:rsid w:val="007708B4"/>
    <w:pPr>
      <w:spacing w:after="120"/>
      <w:ind w:left="1440" w:right="1440"/>
    </w:pPr>
  </w:style>
  <w:style w:type="character" w:customStyle="1" w:styleId="Subscript">
    <w:name w:val="Subscript"/>
    <w:basedOn w:val="DefaultParagraphFont"/>
    <w:rsid w:val="007708B4"/>
    <w:rPr>
      <w:sz w:val="16"/>
      <w:vertAlign w:val="subscript"/>
    </w:rPr>
  </w:style>
  <w:style w:type="character" w:customStyle="1" w:styleId="Superscript">
    <w:name w:val="Superscript"/>
    <w:basedOn w:val="DefaultParagraphFont"/>
    <w:rsid w:val="007708B4"/>
    <w:rPr>
      <w:sz w:val="16"/>
      <w:vertAlign w:val="superscript"/>
    </w:rPr>
  </w:style>
  <w:style w:type="character" w:customStyle="1" w:styleId="Symbols">
    <w:name w:val="Symbols"/>
    <w:basedOn w:val="DefaultParagraphFont"/>
    <w:rsid w:val="007708B4"/>
    <w:rPr>
      <w:rFonts w:ascii="Symbol" w:hAnsi="Symbol"/>
    </w:rPr>
  </w:style>
  <w:style w:type="character" w:customStyle="1" w:styleId="MenuOptions">
    <w:name w:val="Menu Options"/>
    <w:basedOn w:val="DefaultParagraphFont"/>
    <w:rsid w:val="007708B4"/>
    <w:rPr>
      <w:rFonts w:ascii="Arial Narrow" w:hAnsi="Arial Narrow"/>
      <w:smallCaps/>
    </w:rPr>
  </w:style>
  <w:style w:type="character" w:customStyle="1" w:styleId="Buttons">
    <w:name w:val="Buttons"/>
    <w:basedOn w:val="DefaultParagraphFont"/>
    <w:rsid w:val="007708B4"/>
    <w:rPr>
      <w:b/>
    </w:rPr>
  </w:style>
  <w:style w:type="character" w:customStyle="1" w:styleId="Underlined">
    <w:name w:val="Underlined"/>
    <w:basedOn w:val="DefaultParagraphFont"/>
    <w:rsid w:val="007708B4"/>
    <w:rPr>
      <w:u w:val="single"/>
    </w:rPr>
  </w:style>
  <w:style w:type="paragraph" w:customStyle="1" w:styleId="TableBodyTextRight">
    <w:name w:val="Table Body Text Right"/>
    <w:basedOn w:val="TableBodyText"/>
    <w:rsid w:val="007708B4"/>
    <w:pPr>
      <w:widowControl w:val="0"/>
      <w:autoSpaceDE w:val="0"/>
      <w:autoSpaceDN w:val="0"/>
      <w:adjustRightInd w:val="0"/>
      <w:jc w:val="right"/>
    </w:pPr>
    <w:rPr>
      <w:rFonts w:cs="Arial"/>
      <w:szCs w:val="18"/>
    </w:rPr>
  </w:style>
  <w:style w:type="paragraph" w:customStyle="1" w:styleId="CopyrightText">
    <w:name w:val="Copyright Text"/>
    <w:basedOn w:val="BodyText"/>
    <w:rsid w:val="007708B4"/>
    <w:rPr>
      <w:sz w:val="18"/>
    </w:rPr>
  </w:style>
  <w:style w:type="paragraph" w:customStyle="1" w:styleId="BodySmallRight">
    <w:name w:val="Body Small Right"/>
    <w:basedOn w:val="BodyTextRight"/>
    <w:rsid w:val="007708B4"/>
    <w:rPr>
      <w:sz w:val="18"/>
      <w:szCs w:val="18"/>
    </w:rPr>
  </w:style>
  <w:style w:type="paragraph" w:customStyle="1" w:styleId="MarginEdition">
    <w:name w:val="Margin Edition"/>
    <w:basedOn w:val="MarginNote"/>
    <w:rsid w:val="007708B4"/>
    <w:pPr>
      <w:spacing w:before="0" w:after="0"/>
    </w:pPr>
    <w:rPr>
      <w:rFonts w:ascii="Times New Roman" w:hAnsi="Times New Roman"/>
      <w:color w:val="999999"/>
    </w:rPr>
  </w:style>
  <w:style w:type="paragraph" w:customStyle="1" w:styleId="Spacer">
    <w:name w:val="Spacer"/>
    <w:basedOn w:val="Normal"/>
    <w:rsid w:val="007708B4"/>
    <w:rPr>
      <w:sz w:val="2"/>
      <w:szCs w:val="2"/>
    </w:rPr>
  </w:style>
  <w:style w:type="character" w:customStyle="1" w:styleId="Small">
    <w:name w:val="Small"/>
    <w:basedOn w:val="DefaultParagraphFont"/>
    <w:rsid w:val="007708B4"/>
    <w:rPr>
      <w:sz w:val="16"/>
    </w:rPr>
  </w:style>
  <w:style w:type="paragraph" w:customStyle="1" w:styleId="WideTable">
    <w:name w:val="Wide Table"/>
    <w:basedOn w:val="Normal"/>
    <w:rsid w:val="007708B4"/>
    <w:pPr>
      <w:ind w:left="-1418"/>
    </w:pPr>
    <w:rPr>
      <w:sz w:val="2"/>
      <w:szCs w:val="2"/>
    </w:rPr>
  </w:style>
  <w:style w:type="character" w:styleId="PageNumber">
    <w:name w:val="page number"/>
    <w:basedOn w:val="DefaultParagraphFont"/>
    <w:rsid w:val="007708B4"/>
  </w:style>
  <w:style w:type="paragraph" w:styleId="Quote">
    <w:name w:val="Quote"/>
    <w:basedOn w:val="Heading1"/>
    <w:link w:val="QuoteChar"/>
    <w:qFormat/>
    <w:rsid w:val="007708B4"/>
    <w:rPr>
      <w:b w:val="0"/>
      <w:sz w:val="72"/>
      <w:szCs w:val="72"/>
      <w:lang w:val="en-NZ"/>
    </w:rPr>
  </w:style>
  <w:style w:type="character" w:customStyle="1" w:styleId="QuoteChar">
    <w:name w:val="Quote Char"/>
    <w:basedOn w:val="DefaultParagraphFont"/>
    <w:link w:val="Quote"/>
    <w:rsid w:val="007708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8B4"/>
    <w:pPr>
      <w:pageBreakBefore/>
    </w:pPr>
  </w:style>
  <w:style w:type="paragraph" w:customStyle="1" w:styleId="Border">
    <w:name w:val="Border"/>
    <w:basedOn w:val="Normal"/>
    <w:qFormat/>
    <w:rsid w:val="007708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8B4"/>
    <w:rPr>
      <w:b/>
      <w:bCs/>
      <w:i/>
      <w:iCs/>
      <w:color w:val="auto"/>
    </w:rPr>
  </w:style>
  <w:style w:type="paragraph" w:styleId="IntenseQuote">
    <w:name w:val="Intense Quote"/>
    <w:basedOn w:val="Normal"/>
    <w:next w:val="Normal"/>
    <w:link w:val="IntenseQuoteChar"/>
    <w:uiPriority w:val="30"/>
    <w:qFormat/>
    <w:rsid w:val="007708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8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08B4"/>
    <w:rPr>
      <w:smallCaps/>
      <w:color w:val="auto"/>
      <w:u w:val="single"/>
    </w:rPr>
  </w:style>
  <w:style w:type="character" w:styleId="IntenseReference">
    <w:name w:val="Intense Reference"/>
    <w:basedOn w:val="DefaultParagraphFont"/>
    <w:uiPriority w:val="32"/>
    <w:qFormat/>
    <w:rsid w:val="007708B4"/>
    <w:rPr>
      <w:b/>
      <w:bCs/>
      <w:smallCaps/>
      <w:color w:val="auto"/>
      <w:spacing w:val="5"/>
      <w:u w:val="single"/>
    </w:rPr>
  </w:style>
  <w:style w:type="paragraph" w:customStyle="1" w:styleId="2ColumnHeading">
    <w:name w:val="2Column Heading"/>
    <w:basedOn w:val="BodyText"/>
    <w:qFormat/>
    <w:rsid w:val="007708B4"/>
    <w:pPr>
      <w:spacing w:after="60"/>
      <w:ind w:left="-2268"/>
    </w:pPr>
    <w:rPr>
      <w:b/>
    </w:rPr>
  </w:style>
  <w:style w:type="paragraph" w:customStyle="1" w:styleId="Heading1TOC">
    <w:name w:val="Heading1 TOC"/>
    <w:basedOn w:val="Normal"/>
    <w:qFormat/>
    <w:rsid w:val="007708B4"/>
    <w:pPr>
      <w:spacing w:before="240" w:after="120"/>
    </w:pPr>
    <w:rPr>
      <w:rFonts w:ascii="Times New Roman" w:hAnsi="Times New Roman"/>
      <w:b/>
      <w:sz w:val="32"/>
    </w:rPr>
  </w:style>
  <w:style w:type="paragraph" w:customStyle="1" w:styleId="Heading2TOC">
    <w:name w:val="Heading2 TOC"/>
    <w:basedOn w:val="Normal"/>
    <w:qFormat/>
    <w:rsid w:val="007708B4"/>
    <w:pPr>
      <w:spacing w:before="240" w:after="60"/>
    </w:pPr>
    <w:rPr>
      <w:rFonts w:ascii="Times New Roman" w:hAnsi="Times New Roman"/>
      <w:b/>
      <w:sz w:val="28"/>
    </w:rPr>
  </w:style>
  <w:style w:type="character" w:customStyle="1" w:styleId="Underline">
    <w:name w:val="Underline"/>
    <w:basedOn w:val="DefaultParagraphFont"/>
    <w:qFormat/>
    <w:rsid w:val="007708B4"/>
    <w:rPr>
      <w:u w:val="single"/>
    </w:rPr>
  </w:style>
  <w:style w:type="paragraph" w:styleId="BalloonText">
    <w:name w:val="Balloon Text"/>
    <w:basedOn w:val="Normal"/>
    <w:link w:val="BalloonTextChar"/>
    <w:rsid w:val="007708B4"/>
    <w:rPr>
      <w:rFonts w:ascii="Tahoma" w:hAnsi="Tahoma" w:cs="Tahoma"/>
      <w:sz w:val="16"/>
      <w:szCs w:val="16"/>
    </w:rPr>
  </w:style>
  <w:style w:type="character" w:customStyle="1" w:styleId="BalloonTextChar">
    <w:name w:val="Balloon Text Char"/>
    <w:basedOn w:val="DefaultParagraphFont"/>
    <w:link w:val="BalloonText"/>
    <w:rsid w:val="007708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08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08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1921</Words>
  <Characters>12140</Characters>
  <Application>Microsoft Office Word</Application>
  <DocSecurity>0</DocSecurity>
  <Lines>419</Lines>
  <Paragraphs>227</Paragraphs>
  <ScaleCrop>false</ScaleCrop>
  <Company>Author-it Software Corporation Ltd.</Company>
  <LinksUpToDate>false</LinksUpToDate>
  <CharactersWithSpaces>13999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LMFSL5003B Conserve heritage leadlight and stained glass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2012-05-26T17:47:00Z</dcterms:created>
  <dcterms:modified xsi:type="dcterms:W3CDTF">2012-05-26T17:47:00Z</dcterms:modified>
</cp:coreProperties>
</file>