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1C8D" w:rsidP="00221C8D">
      <w:pPr>
        <w:pStyle w:val="Title"/>
      </w:pPr>
      <w:r>
        <w:fldChar w:fldCharType="begin"/>
      </w:r>
      <w:r>
        <w:instrText xml:space="preserve"> TITLE   \* MERGEFORMAT </w:instrText>
      </w:r>
      <w:r>
        <w:fldChar w:fldCharType="separate"/>
      </w:r>
      <w:r>
        <w:t>LMFSL5001B Assess conservation requirements</w:t>
      </w:r>
      <w:r>
        <w:fldChar w:fldCharType="end"/>
      </w:r>
    </w:p>
    <w:p w:rsidR="00221C8D" w:rsidP="00221C8D">
      <w:pPr>
        <w:pStyle w:val="Version"/>
        <w:sectPr w:rsidSect="000E22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22D6" w:rsidP="000E22D6">
      <w:pPr>
        <w:pStyle w:val="SuperHeading"/>
      </w:pPr>
      <w:r w:rsidRPr="000E22D6">
        <w:t>LMFSL5001B Assess conservation requirements</w:t>
      </w:r>
    </w:p>
    <w:p w:rsidR="00000000" w:rsidRPr="000E22D6" w:rsidP="000E22D6">
      <w:pPr>
        <w:pStyle w:val="Heading1"/>
      </w:pPr>
      <w:bookmarkStart w:id="1" w:name="O_352252"/>
      <w:bookmarkEnd w:id="1"/>
      <w:r w:rsidRPr="000E22D6">
        <w:t>Modification History</w:t>
      </w:r>
    </w:p>
    <w:p w:rsidR="00221C8D" w:rsidP="000E22D6">
      <w:pPr>
        <w:pStyle w:val="BodyText"/>
      </w:pPr>
      <w:r w:rsidRPr="000E22D6">
        <w:t>Updated format, revised Evidence Guide. Outcome equivalent.</w:t>
      </w:r>
    </w:p>
    <w:p w:rsidR="00221C8D" w:rsidP="000E22D6">
      <w:pPr>
        <w:pStyle w:val="BodyText"/>
      </w:pPr>
    </w:p>
    <w:p w:rsidR="00000000" w:rsidRPr="000E22D6" w:rsidP="000E22D6">
      <w:pPr>
        <w:pStyle w:val="Heading1"/>
      </w:pPr>
      <w:bookmarkStart w:id="2" w:name="O_352253"/>
      <w:bookmarkEnd w:id="2"/>
      <w:r w:rsidRPr="000E22D6">
        <w:t>Unit Descriptor</w:t>
      </w:r>
    </w:p>
    <w:p w:rsidR="00000000" w:rsidRPr="000E22D6" w:rsidP="000E22D6">
      <w:pPr>
        <w:pStyle w:val="BodyText"/>
      </w:pPr>
      <w:r w:rsidRPr="000E22D6">
        <w:t xml:space="preserve">This unit of competency covers the skills and knowledge required </w:t>
      </w:r>
      <w:r w:rsidRPr="000E22D6">
        <w:t>to assess leadlight and stained glass panels in order to identify and document the conservation requirements of those panels.</w:t>
      </w:r>
    </w:p>
    <w:p w:rsidR="00000000" w:rsidRPr="000E22D6" w:rsidP="000E22D6">
      <w:pPr>
        <w:pStyle w:val="AllowPageBreak"/>
      </w:pPr>
    </w:p>
    <w:p w:rsidR="00000000" w:rsidRPr="000E22D6" w:rsidP="000E22D6">
      <w:pPr>
        <w:pStyle w:val="Heading1"/>
      </w:pPr>
      <w:bookmarkStart w:id="3" w:name="O_352254"/>
      <w:bookmarkEnd w:id="3"/>
      <w:r w:rsidRPr="000E22D6">
        <w:t>Application of the Unit</w:t>
      </w:r>
    </w:p>
    <w:p w:rsidR="00000000" w:rsidRPr="000E22D6" w:rsidP="000E22D6">
      <w:pPr>
        <w:pStyle w:val="BodyText"/>
      </w:pPr>
      <w:r w:rsidRPr="000E22D6">
        <w:t>This unit supports the attainment of skills and knowledge required for competent workplac</w:t>
      </w:r>
      <w:r w:rsidRPr="000E22D6">
        <w:t>e performance in leadlight and stained glass operations. The requirement to assess conservation requirements applies to an on-site environment and involves application of skills and knowledge at an artisan level. These skills and knowledge are to be used w</w:t>
      </w:r>
      <w:r w:rsidRPr="000E22D6">
        <w:t>ithin the scope of the individual’s job and authority.</w:t>
      </w:r>
    </w:p>
    <w:p w:rsidR="00000000" w:rsidRPr="000E22D6" w:rsidP="000E22D6">
      <w:pPr>
        <w:pStyle w:val="AllowPageBreak"/>
      </w:pPr>
    </w:p>
    <w:p w:rsidR="00000000" w:rsidRPr="000E22D6" w:rsidP="000E22D6">
      <w:pPr>
        <w:pStyle w:val="Heading1"/>
      </w:pPr>
      <w:bookmarkStart w:id="4" w:name="O_352255"/>
      <w:bookmarkEnd w:id="4"/>
      <w:r w:rsidRPr="000E22D6">
        <w:t>Licensing/Regulatory Information</w:t>
      </w:r>
    </w:p>
    <w:p w:rsidR="00000000" w:rsidRPr="000E22D6" w:rsidP="000E22D6">
      <w:pPr>
        <w:pStyle w:val="BodyText"/>
      </w:pPr>
      <w:r w:rsidRPr="000E22D6">
        <w:t>Not applicable.</w:t>
      </w:r>
    </w:p>
    <w:p w:rsidR="00000000" w:rsidRPr="000E22D6" w:rsidP="000E22D6">
      <w:pPr>
        <w:pStyle w:val="AllowPageBreak"/>
      </w:pPr>
    </w:p>
    <w:p w:rsidR="00000000" w:rsidRPr="000E22D6" w:rsidP="000E22D6">
      <w:pPr>
        <w:pStyle w:val="Heading1"/>
      </w:pPr>
      <w:bookmarkStart w:id="5" w:name="O_352256"/>
      <w:bookmarkEnd w:id="5"/>
      <w:r w:rsidRPr="000E22D6">
        <w:t>Pre-Requisites</w:t>
      </w:r>
    </w:p>
    <w:p w:rsidR="00000000" w:rsidRPr="000E22D6" w:rsidP="000E22D6">
      <w:pPr>
        <w:pStyle w:val="BodyText"/>
      </w:pPr>
      <w:r w:rsidRPr="000E22D6">
        <w:t>Not applicable.</w:t>
      </w:r>
    </w:p>
    <w:p w:rsidR="00000000" w:rsidRPr="000E22D6" w:rsidP="000E22D6">
      <w:pPr>
        <w:pStyle w:val="AllowPageBreak"/>
      </w:pPr>
    </w:p>
    <w:p w:rsidR="00000000" w:rsidRPr="000E22D6" w:rsidP="000E22D6">
      <w:pPr>
        <w:pStyle w:val="Heading1"/>
      </w:pPr>
      <w:bookmarkStart w:id="6" w:name="O_352257"/>
      <w:bookmarkEnd w:id="6"/>
      <w:r w:rsidRPr="000E22D6">
        <w:t>Employability Skills Information</w:t>
      </w:r>
    </w:p>
    <w:p w:rsidR="00000000" w:rsidRPr="000E22D6" w:rsidP="000E22D6">
      <w:pPr>
        <w:pStyle w:val="BodyText"/>
      </w:pPr>
      <w:r w:rsidRPr="000E22D6">
        <w:t>This unit contains employability skills.</w:t>
      </w:r>
    </w:p>
    <w:p w:rsidR="00000000" w:rsidRPr="000E22D6" w:rsidP="000E22D6">
      <w:pPr>
        <w:pStyle w:val="AllowPageBreak"/>
      </w:pPr>
    </w:p>
    <w:p w:rsidR="00000000" w:rsidRPr="000E22D6" w:rsidP="000E22D6">
      <w:pPr>
        <w:pStyle w:val="Heading1"/>
      </w:pPr>
      <w:bookmarkStart w:id="7" w:name="O_352258"/>
      <w:bookmarkEnd w:id="7"/>
      <w:r w:rsidRPr="000E22D6">
        <w:t>Elements and Performance Criteria Pre-Content</w:t>
      </w:r>
    </w:p>
    <w:tbl>
      <w:tblPr>
        <w:tblW w:w="0" w:type="auto"/>
        <w:tblLayout w:type="fixed"/>
        <w:tblCellMar>
          <w:left w:w="62" w:type="dxa"/>
          <w:right w:w="62" w:type="dxa"/>
        </w:tblCellMar>
        <w:tblLook w:val="0000"/>
      </w:tblPr>
      <w:tblGrid>
        <w:gridCol w:w="2640"/>
        <w:gridCol w:w="6380"/>
      </w:tblGrid>
      <w:tr w:rsidTr="000E22D6">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E22D6">
            <w:pPr>
              <w:pStyle w:val="BodyText"/>
              <w:rPr>
                <w:lang w:val="en-NZ"/>
              </w:rPr>
            </w:pPr>
            <w:r w:rsidRPr="000E22D6">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0E22D6" w:rsidP="000E22D6">
            <w:pPr>
              <w:pStyle w:val="BodyText"/>
            </w:pPr>
            <w:r w:rsidRPr="000E22D6">
              <w:t>Performance criteria describe the performance needed to demonstrate achievement of the element. Where bold italicised text is used, further information is detailed in the required skills and knowledge section and the range statement. Assessment of performa</w:t>
            </w:r>
            <w:r w:rsidRPr="000E22D6">
              <w:t>nce is to be consistent with the evidence guide.</w:t>
            </w:r>
          </w:p>
        </w:tc>
      </w:tr>
    </w:tbl>
    <w:p w:rsidR="00000000" w:rsidRPr="000E22D6" w:rsidP="000E22D6">
      <w:pPr>
        <w:pStyle w:val="BodyText"/>
      </w:pPr>
    </w:p>
    <w:p w:rsidR="00000000" w:rsidRPr="000E22D6" w:rsidP="000E22D6">
      <w:pPr>
        <w:pStyle w:val="AllowPageBreak"/>
      </w:pPr>
    </w:p>
    <w:p w:rsidR="00000000" w:rsidRPr="000E22D6" w:rsidP="000E22D6">
      <w:pPr>
        <w:pStyle w:val="Heading1"/>
      </w:pPr>
      <w:bookmarkStart w:id="8" w:name="O_352259"/>
      <w:bookmarkEnd w:id="8"/>
      <w:r w:rsidRPr="000E22D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E22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E22D6">
            <w:pPr>
              <w:pStyle w:val="BodyText"/>
              <w:rPr>
                <w:lang w:val="en-NZ"/>
              </w:rPr>
            </w:pPr>
            <w:r w:rsidRPr="000E22D6">
              <w:t>1</w:t>
            </w:r>
          </w:p>
        </w:tc>
        <w:tc>
          <w:tcPr>
            <w:tcW w:w="1962" w:type="dxa"/>
            <w:vMerge w:val="restart"/>
            <w:tcBorders>
              <w:top w:val="nil"/>
              <w:left w:val="nil"/>
              <w:bottom w:val="nil"/>
              <w:right w:val="nil"/>
            </w:tcBorders>
            <w:tcMar>
              <w:top w:w="0" w:type="dxa"/>
              <w:left w:w="62" w:type="dxa"/>
              <w:bottom w:w="0" w:type="dxa"/>
              <w:right w:w="62" w:type="dxa"/>
            </w:tcMar>
          </w:tcPr>
          <w:p w:rsidR="00000000" w:rsidP="000E22D6">
            <w:pPr>
              <w:pStyle w:val="BodyText"/>
              <w:rPr>
                <w:lang w:val="en-NZ"/>
              </w:rPr>
            </w:pPr>
            <w:r w:rsidRPr="000E22D6">
              <w:t>Identify assessment requirements</w:t>
            </w:r>
          </w:p>
        </w:tc>
        <w:tc>
          <w:tcPr>
            <w:tcW w:w="770" w:type="dxa"/>
            <w:tcBorders>
              <w:top w:val="nil"/>
              <w:left w:val="nil"/>
              <w:bottom w:val="nil"/>
              <w:right w:val="nil"/>
            </w:tcBorders>
            <w:tcMar>
              <w:top w:w="0" w:type="dxa"/>
              <w:left w:w="62" w:type="dxa"/>
              <w:bottom w:w="0" w:type="dxa"/>
              <w:right w:w="62" w:type="dxa"/>
            </w:tcMar>
          </w:tcPr>
          <w:p w:rsidR="00000000" w:rsidP="000E22D6">
            <w:pPr>
              <w:pStyle w:val="BodyText"/>
              <w:rPr>
                <w:lang w:val="en-NZ"/>
              </w:rPr>
            </w:pPr>
            <w:r w:rsidRPr="000E22D6">
              <w:t>1.1</w:t>
            </w:r>
          </w:p>
        </w:tc>
        <w:tc>
          <w:tcPr>
            <w:tcW w:w="5610" w:type="dxa"/>
            <w:tcBorders>
              <w:top w:val="nil"/>
              <w:left w:val="nil"/>
              <w:bottom w:val="nil"/>
              <w:right w:val="nil"/>
            </w:tcBorders>
            <w:tcMar>
              <w:top w:w="0" w:type="dxa"/>
              <w:left w:w="62" w:type="dxa"/>
              <w:bottom w:w="0" w:type="dxa"/>
              <w:right w:w="62" w:type="dxa"/>
            </w:tcMar>
          </w:tcPr>
          <w:p w:rsidR="00000000" w:rsidP="000E22D6">
            <w:pPr>
              <w:pStyle w:val="BodyText"/>
              <w:rPr>
                <w:lang w:val="en-NZ"/>
              </w:rPr>
            </w:pPr>
            <w:r w:rsidRPr="000E22D6">
              <w:t xml:space="preserve">Applicable </w:t>
            </w:r>
            <w:r w:rsidRPr="000E22D6">
              <w:rPr>
                <w:rStyle w:val="BoldandItalics"/>
              </w:rPr>
              <w:t>occupational health and safety (OHS)</w:t>
            </w:r>
            <w:r w:rsidRPr="000E22D6">
              <w:t xml:space="preserve">, </w:t>
            </w:r>
            <w:r w:rsidRPr="000E22D6">
              <w:rPr>
                <w:rStyle w:val="BoldandItalics"/>
              </w:rPr>
              <w:t>legislative</w:t>
            </w:r>
            <w:r w:rsidRPr="000E22D6">
              <w:t xml:space="preserve"> and </w:t>
            </w:r>
            <w:r w:rsidRPr="000E22D6">
              <w:rPr>
                <w:rStyle w:val="BoldandItalics"/>
              </w:rPr>
              <w:t>organisational requirements</w:t>
            </w:r>
            <w:r w:rsidRPr="000E22D6">
              <w:t xml:space="preserve"> relevant to leadlight </w:t>
            </w:r>
            <w:r w:rsidRPr="000E22D6">
              <w:t>and stained glass operations are verified and complied with</w:t>
            </w:r>
          </w:p>
        </w:tc>
      </w:tr>
      <w:tr w:rsidTr="000E22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22D6">
            <w:pPr>
              <w:pStyle w:val="BodyText"/>
              <w:rPr>
                <w:lang w:val="en-NZ"/>
              </w:rPr>
            </w:pPr>
            <w:r w:rsidRPr="000E22D6">
              <w:t>1.2</w:t>
            </w:r>
          </w:p>
        </w:tc>
        <w:tc>
          <w:tcPr>
            <w:tcW w:w="5610" w:type="dxa"/>
            <w:tcBorders>
              <w:top w:val="nil"/>
              <w:left w:val="nil"/>
              <w:bottom w:val="nil"/>
              <w:right w:val="nil"/>
            </w:tcBorders>
            <w:tcMar>
              <w:top w:w="0" w:type="dxa"/>
              <w:left w:w="62" w:type="dxa"/>
              <w:bottom w:w="0" w:type="dxa"/>
              <w:right w:w="62" w:type="dxa"/>
            </w:tcMar>
          </w:tcPr>
          <w:p w:rsidR="00000000" w:rsidP="000E22D6">
            <w:pPr>
              <w:pStyle w:val="BodyText"/>
              <w:rPr>
                <w:lang w:val="en-NZ"/>
              </w:rPr>
            </w:pPr>
            <w:r w:rsidRPr="000E22D6">
              <w:t xml:space="preserve">Purpose of the assessment is established, confirmed and clarified with </w:t>
            </w:r>
            <w:r w:rsidRPr="000E22D6">
              <w:rPr>
                <w:rStyle w:val="BoldandItalics"/>
              </w:rPr>
              <w:t>appropriate personnel</w:t>
            </w:r>
            <w:r w:rsidRPr="000E22D6">
              <w:t xml:space="preserve"> </w:t>
            </w:r>
          </w:p>
        </w:tc>
      </w:tr>
      <w:tr w:rsidTr="000E22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E22D6" w:rsidP="000E22D6">
            <w:pPr>
              <w:pStyle w:val="BodyText"/>
            </w:pPr>
            <w:r w:rsidRPr="000E22D6">
              <w:t>1.3</w:t>
            </w:r>
          </w:p>
        </w:tc>
        <w:tc>
          <w:tcPr>
            <w:tcW w:w="5610" w:type="dxa"/>
            <w:tcBorders>
              <w:top w:val="nil"/>
              <w:left w:val="nil"/>
              <w:bottom w:val="nil"/>
              <w:right w:val="nil"/>
            </w:tcBorders>
            <w:tcMar>
              <w:top w:w="0" w:type="dxa"/>
              <w:left w:w="62" w:type="dxa"/>
              <w:bottom w:w="0" w:type="dxa"/>
              <w:right w:w="62" w:type="dxa"/>
            </w:tcMar>
          </w:tcPr>
          <w:p w:rsidR="00000000" w:rsidRPr="000E22D6" w:rsidP="000E22D6">
            <w:pPr>
              <w:pStyle w:val="BodyText"/>
            </w:pPr>
            <w:r w:rsidRPr="000E22D6">
              <w:rPr>
                <w:rStyle w:val="BoldandItalics"/>
              </w:rPr>
              <w:t>Assessment outcomes</w:t>
            </w:r>
            <w:r w:rsidRPr="000E22D6">
              <w:t xml:space="preserve"> are identified and confirmed </w:t>
            </w:r>
          </w:p>
        </w:tc>
      </w:tr>
    </w:tbl>
    <w:p w:rsidR="00000000" w:rsidRPr="000E22D6" w:rsidP="000E22D6">
      <w:pPr>
        <w:pStyle w:val="BodyText"/>
      </w:pPr>
    </w:p>
    <w:tbl>
      <w:tblPr>
        <w:tblW w:w="0" w:type="auto"/>
        <w:tblLayout w:type="fixed"/>
        <w:tblCellMar>
          <w:left w:w="62" w:type="dxa"/>
          <w:right w:w="62" w:type="dxa"/>
        </w:tblCellMar>
        <w:tblLook w:val="0000"/>
      </w:tblPr>
      <w:tblGrid>
        <w:gridCol w:w="678"/>
        <w:gridCol w:w="1962"/>
        <w:gridCol w:w="770"/>
        <w:gridCol w:w="5610"/>
      </w:tblGrid>
      <w:tr w:rsidTr="000E22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E22D6">
            <w:pPr>
              <w:pStyle w:val="BodyText"/>
              <w:rPr>
                <w:lang w:val="en-NZ"/>
              </w:rPr>
            </w:pPr>
            <w:r w:rsidRPr="000E22D6">
              <w:t>2</w:t>
            </w:r>
          </w:p>
        </w:tc>
        <w:tc>
          <w:tcPr>
            <w:tcW w:w="1962" w:type="dxa"/>
            <w:vMerge w:val="restart"/>
            <w:tcBorders>
              <w:top w:val="nil"/>
              <w:left w:val="nil"/>
              <w:bottom w:val="nil"/>
              <w:right w:val="nil"/>
            </w:tcBorders>
            <w:tcMar>
              <w:top w:w="0" w:type="dxa"/>
              <w:left w:w="62" w:type="dxa"/>
              <w:bottom w:w="0" w:type="dxa"/>
              <w:right w:w="62" w:type="dxa"/>
            </w:tcMar>
          </w:tcPr>
          <w:p w:rsidR="00000000" w:rsidP="000E22D6">
            <w:pPr>
              <w:pStyle w:val="BodyText"/>
              <w:rPr>
                <w:lang w:val="en-NZ"/>
              </w:rPr>
            </w:pPr>
            <w:r w:rsidRPr="000E22D6">
              <w:t>Plan assessment processes</w:t>
            </w:r>
          </w:p>
        </w:tc>
        <w:tc>
          <w:tcPr>
            <w:tcW w:w="770" w:type="dxa"/>
            <w:tcBorders>
              <w:top w:val="nil"/>
              <w:left w:val="nil"/>
              <w:bottom w:val="nil"/>
              <w:right w:val="nil"/>
            </w:tcBorders>
            <w:tcMar>
              <w:top w:w="0" w:type="dxa"/>
              <w:left w:w="62" w:type="dxa"/>
              <w:bottom w:w="0" w:type="dxa"/>
              <w:right w:w="62" w:type="dxa"/>
            </w:tcMar>
          </w:tcPr>
          <w:p w:rsidR="00000000" w:rsidP="000E22D6">
            <w:pPr>
              <w:pStyle w:val="BodyText"/>
              <w:rPr>
                <w:lang w:val="en-NZ"/>
              </w:rPr>
            </w:pPr>
            <w:r w:rsidRPr="000E22D6">
              <w:t>2.1</w:t>
            </w:r>
          </w:p>
        </w:tc>
        <w:tc>
          <w:tcPr>
            <w:tcW w:w="5610" w:type="dxa"/>
            <w:tcBorders>
              <w:top w:val="nil"/>
              <w:left w:val="nil"/>
              <w:bottom w:val="nil"/>
              <w:right w:val="nil"/>
            </w:tcBorders>
            <w:tcMar>
              <w:top w:w="0" w:type="dxa"/>
              <w:left w:w="62" w:type="dxa"/>
              <w:bottom w:w="0" w:type="dxa"/>
              <w:right w:w="62" w:type="dxa"/>
            </w:tcMar>
          </w:tcPr>
          <w:p w:rsidR="00000000" w:rsidP="000E22D6">
            <w:pPr>
              <w:pStyle w:val="BodyText"/>
              <w:rPr>
                <w:lang w:val="en-NZ"/>
              </w:rPr>
            </w:pPr>
            <w:r w:rsidRPr="000E22D6">
              <w:t>Location of the leadlight and stained glass panels to be assessed is identified and observed</w:t>
            </w:r>
          </w:p>
        </w:tc>
      </w:tr>
      <w:tr w:rsidTr="000E22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22D6">
            <w:pPr>
              <w:pStyle w:val="BodyText"/>
              <w:rPr>
                <w:lang w:val="en-NZ"/>
              </w:rPr>
            </w:pPr>
            <w:r w:rsidRPr="000E22D6">
              <w:t>2.2</w:t>
            </w:r>
          </w:p>
        </w:tc>
        <w:tc>
          <w:tcPr>
            <w:tcW w:w="5610" w:type="dxa"/>
            <w:tcBorders>
              <w:top w:val="nil"/>
              <w:left w:val="nil"/>
              <w:bottom w:val="nil"/>
              <w:right w:val="nil"/>
            </w:tcBorders>
            <w:tcMar>
              <w:top w:w="0" w:type="dxa"/>
              <w:left w:w="62" w:type="dxa"/>
              <w:bottom w:w="0" w:type="dxa"/>
              <w:right w:w="62" w:type="dxa"/>
            </w:tcMar>
          </w:tcPr>
          <w:p w:rsidR="00000000" w:rsidP="000E22D6">
            <w:pPr>
              <w:pStyle w:val="BodyText"/>
              <w:rPr>
                <w:lang w:val="en-NZ"/>
              </w:rPr>
            </w:pPr>
            <w:r w:rsidRPr="000E22D6">
              <w:t xml:space="preserve">Assessment sequence is identified and a work plan is developed </w:t>
            </w:r>
          </w:p>
        </w:tc>
      </w:tr>
      <w:tr w:rsidTr="000E22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E22D6" w:rsidP="000E22D6">
            <w:pPr>
              <w:pStyle w:val="BodyText"/>
            </w:pPr>
            <w:r w:rsidRPr="000E22D6">
              <w:t>2.3</w:t>
            </w:r>
          </w:p>
        </w:tc>
        <w:tc>
          <w:tcPr>
            <w:tcW w:w="5610" w:type="dxa"/>
            <w:tcBorders>
              <w:top w:val="nil"/>
              <w:left w:val="nil"/>
              <w:bottom w:val="nil"/>
              <w:right w:val="nil"/>
            </w:tcBorders>
            <w:tcMar>
              <w:top w:w="0" w:type="dxa"/>
              <w:left w:w="62" w:type="dxa"/>
              <w:bottom w:w="0" w:type="dxa"/>
              <w:right w:w="62" w:type="dxa"/>
            </w:tcMar>
          </w:tcPr>
          <w:p w:rsidR="00000000" w:rsidP="000E22D6">
            <w:pPr>
              <w:pStyle w:val="BodyText"/>
              <w:rPr>
                <w:lang w:val="en-NZ"/>
              </w:rPr>
            </w:pPr>
            <w:r w:rsidRPr="000E22D6">
              <w:rPr>
                <w:rStyle w:val="BoldandItalics"/>
              </w:rPr>
              <w:t>Tools and equipment</w:t>
            </w:r>
            <w:r w:rsidRPr="000E22D6">
              <w:t xml:space="preserve"> required for the assessment are identified</w:t>
            </w:r>
          </w:p>
        </w:tc>
      </w:tr>
      <w:tr w:rsidTr="000E22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22D6">
            <w:pPr>
              <w:pStyle w:val="BodyText"/>
              <w:rPr>
                <w:lang w:val="en-NZ"/>
              </w:rPr>
            </w:pPr>
            <w:r w:rsidRPr="000E22D6">
              <w:t>2.4</w:t>
            </w:r>
          </w:p>
        </w:tc>
        <w:tc>
          <w:tcPr>
            <w:tcW w:w="5610" w:type="dxa"/>
            <w:tcBorders>
              <w:top w:val="nil"/>
              <w:left w:val="nil"/>
              <w:bottom w:val="nil"/>
              <w:right w:val="nil"/>
            </w:tcBorders>
            <w:tcMar>
              <w:top w:w="0" w:type="dxa"/>
              <w:left w:w="62" w:type="dxa"/>
              <w:bottom w:w="0" w:type="dxa"/>
              <w:right w:w="62" w:type="dxa"/>
            </w:tcMar>
          </w:tcPr>
          <w:p w:rsidR="00000000" w:rsidRPr="000E22D6" w:rsidP="000E22D6">
            <w:pPr>
              <w:pStyle w:val="BodyText"/>
            </w:pPr>
            <w:r w:rsidRPr="000E22D6">
              <w:t>Approval of assessment plan is obtained as required by agreed procedures</w:t>
            </w:r>
          </w:p>
        </w:tc>
      </w:tr>
    </w:tbl>
    <w:p w:rsidR="00000000" w:rsidRPr="000E22D6" w:rsidP="000E22D6">
      <w:pPr>
        <w:pStyle w:val="BodyText"/>
      </w:pPr>
    </w:p>
    <w:tbl>
      <w:tblPr>
        <w:tblW w:w="0" w:type="auto"/>
        <w:tblLayout w:type="fixed"/>
        <w:tblCellMar>
          <w:left w:w="62" w:type="dxa"/>
          <w:right w:w="62" w:type="dxa"/>
        </w:tblCellMar>
        <w:tblLook w:val="0000"/>
      </w:tblPr>
      <w:tblGrid>
        <w:gridCol w:w="678"/>
        <w:gridCol w:w="1962"/>
        <w:gridCol w:w="770"/>
        <w:gridCol w:w="5610"/>
      </w:tblGrid>
      <w:tr w:rsidTr="000E22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E22D6">
            <w:pPr>
              <w:pStyle w:val="BodyText"/>
              <w:rPr>
                <w:lang w:val="en-NZ"/>
              </w:rPr>
            </w:pPr>
            <w:r w:rsidRPr="000E22D6">
              <w:t>3</w:t>
            </w:r>
          </w:p>
        </w:tc>
        <w:tc>
          <w:tcPr>
            <w:tcW w:w="1962" w:type="dxa"/>
            <w:vMerge w:val="restart"/>
            <w:tcBorders>
              <w:top w:val="nil"/>
              <w:left w:val="nil"/>
              <w:bottom w:val="nil"/>
              <w:right w:val="nil"/>
            </w:tcBorders>
            <w:tcMar>
              <w:top w:w="0" w:type="dxa"/>
              <w:left w:w="62" w:type="dxa"/>
              <w:bottom w:w="0" w:type="dxa"/>
              <w:right w:w="62" w:type="dxa"/>
            </w:tcMar>
          </w:tcPr>
          <w:p w:rsidR="00000000" w:rsidP="000E22D6">
            <w:pPr>
              <w:pStyle w:val="BodyText"/>
              <w:rPr>
                <w:lang w:val="en-NZ"/>
              </w:rPr>
            </w:pPr>
            <w:r w:rsidRPr="000E22D6">
              <w:t>Prepare for the assessment</w:t>
            </w:r>
          </w:p>
        </w:tc>
        <w:tc>
          <w:tcPr>
            <w:tcW w:w="770" w:type="dxa"/>
            <w:tcBorders>
              <w:top w:val="nil"/>
              <w:left w:val="nil"/>
              <w:bottom w:val="nil"/>
              <w:right w:val="nil"/>
            </w:tcBorders>
            <w:tcMar>
              <w:top w:w="0" w:type="dxa"/>
              <w:left w:w="62" w:type="dxa"/>
              <w:bottom w:w="0" w:type="dxa"/>
              <w:right w:w="62" w:type="dxa"/>
            </w:tcMar>
          </w:tcPr>
          <w:p w:rsidR="00000000" w:rsidP="000E22D6">
            <w:pPr>
              <w:pStyle w:val="BodyText"/>
              <w:rPr>
                <w:lang w:val="en-NZ"/>
              </w:rPr>
            </w:pPr>
            <w:r w:rsidRPr="000E22D6">
              <w:t>3.1</w:t>
            </w:r>
          </w:p>
        </w:tc>
        <w:tc>
          <w:tcPr>
            <w:tcW w:w="5610" w:type="dxa"/>
            <w:tcBorders>
              <w:top w:val="nil"/>
              <w:left w:val="nil"/>
              <w:bottom w:val="nil"/>
              <w:right w:val="nil"/>
            </w:tcBorders>
            <w:tcMar>
              <w:top w:w="0" w:type="dxa"/>
              <w:left w:w="62" w:type="dxa"/>
              <w:bottom w:w="0" w:type="dxa"/>
              <w:right w:w="62" w:type="dxa"/>
            </w:tcMar>
          </w:tcPr>
          <w:p w:rsidR="00000000" w:rsidP="000E22D6">
            <w:pPr>
              <w:pStyle w:val="BodyText"/>
              <w:rPr>
                <w:lang w:val="en-NZ"/>
              </w:rPr>
            </w:pPr>
            <w:r w:rsidRPr="000E22D6">
              <w:t xml:space="preserve">Tools and equipment are assembled, positioned and checked prior to use to ensure they are appropriate for the assessment, serviceable and in </w:t>
            </w:r>
            <w:r w:rsidRPr="000E22D6">
              <w:t>a safe condition</w:t>
            </w:r>
          </w:p>
        </w:tc>
      </w:tr>
      <w:tr w:rsidTr="000E22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E22D6" w:rsidP="000E22D6">
            <w:pPr>
              <w:pStyle w:val="BodyText"/>
            </w:pPr>
            <w:r w:rsidRPr="000E22D6">
              <w:t>3.2</w:t>
            </w:r>
          </w:p>
        </w:tc>
        <w:tc>
          <w:tcPr>
            <w:tcW w:w="5610" w:type="dxa"/>
            <w:tcBorders>
              <w:top w:val="nil"/>
              <w:left w:val="nil"/>
              <w:bottom w:val="nil"/>
              <w:right w:val="nil"/>
            </w:tcBorders>
            <w:tcMar>
              <w:top w:w="0" w:type="dxa"/>
              <w:left w:w="62" w:type="dxa"/>
              <w:bottom w:w="0" w:type="dxa"/>
              <w:right w:w="62" w:type="dxa"/>
            </w:tcMar>
          </w:tcPr>
          <w:p w:rsidR="00000000" w:rsidP="000E22D6">
            <w:pPr>
              <w:pStyle w:val="BodyText"/>
              <w:rPr>
                <w:lang w:val="en-NZ"/>
              </w:rPr>
            </w:pPr>
            <w:r w:rsidRPr="000E22D6">
              <w:rPr>
                <w:rStyle w:val="BoldandItalics"/>
              </w:rPr>
              <w:t xml:space="preserve">Plans and other documents </w:t>
            </w:r>
            <w:r w:rsidRPr="000E22D6">
              <w:t>are assembled and positioned to allow for confirmation of the panel structure and placement</w:t>
            </w:r>
          </w:p>
        </w:tc>
      </w:tr>
      <w:tr w:rsidTr="000E22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22D6">
            <w:pPr>
              <w:pStyle w:val="BodyText"/>
              <w:rPr>
                <w:lang w:val="en-NZ"/>
              </w:rPr>
            </w:pPr>
            <w:r w:rsidRPr="000E22D6">
              <w:t>3.3</w:t>
            </w:r>
          </w:p>
        </w:tc>
        <w:tc>
          <w:tcPr>
            <w:tcW w:w="5610" w:type="dxa"/>
            <w:tcBorders>
              <w:top w:val="nil"/>
              <w:left w:val="nil"/>
              <w:bottom w:val="nil"/>
              <w:right w:val="nil"/>
            </w:tcBorders>
            <w:tcMar>
              <w:top w:w="0" w:type="dxa"/>
              <w:left w:w="62" w:type="dxa"/>
              <w:bottom w:w="0" w:type="dxa"/>
              <w:right w:w="62" w:type="dxa"/>
            </w:tcMar>
          </w:tcPr>
          <w:p w:rsidR="00000000" w:rsidRPr="000E22D6" w:rsidP="000E22D6">
            <w:pPr>
              <w:pStyle w:val="BodyText"/>
            </w:pPr>
            <w:r w:rsidRPr="000E22D6">
              <w:t>Photographs are taken of the panel for documentation of condition and for later reference</w:t>
            </w:r>
          </w:p>
        </w:tc>
      </w:tr>
    </w:tbl>
    <w:p w:rsidR="00000000" w:rsidRPr="000E22D6" w:rsidP="000E22D6">
      <w:pPr>
        <w:pStyle w:val="BodyText"/>
      </w:pPr>
    </w:p>
    <w:tbl>
      <w:tblPr>
        <w:tblW w:w="0" w:type="auto"/>
        <w:tblLayout w:type="fixed"/>
        <w:tblCellMar>
          <w:left w:w="62" w:type="dxa"/>
          <w:right w:w="62" w:type="dxa"/>
        </w:tblCellMar>
        <w:tblLook w:val="0000"/>
      </w:tblPr>
      <w:tblGrid>
        <w:gridCol w:w="678"/>
        <w:gridCol w:w="1962"/>
        <w:gridCol w:w="770"/>
        <w:gridCol w:w="5610"/>
      </w:tblGrid>
      <w:tr w:rsidTr="000E22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E22D6">
            <w:pPr>
              <w:pStyle w:val="BodyText"/>
              <w:rPr>
                <w:lang w:val="en-NZ"/>
              </w:rPr>
            </w:pPr>
            <w:r w:rsidRPr="000E22D6">
              <w:t>4</w:t>
            </w:r>
          </w:p>
        </w:tc>
        <w:tc>
          <w:tcPr>
            <w:tcW w:w="1962" w:type="dxa"/>
            <w:vMerge w:val="restart"/>
            <w:tcBorders>
              <w:top w:val="nil"/>
              <w:left w:val="nil"/>
              <w:bottom w:val="nil"/>
              <w:right w:val="nil"/>
            </w:tcBorders>
            <w:tcMar>
              <w:top w:w="0" w:type="dxa"/>
              <w:left w:w="62" w:type="dxa"/>
              <w:bottom w:w="0" w:type="dxa"/>
              <w:right w:w="62" w:type="dxa"/>
            </w:tcMar>
          </w:tcPr>
          <w:p w:rsidR="00000000" w:rsidP="000E22D6">
            <w:pPr>
              <w:pStyle w:val="BodyText"/>
              <w:rPr>
                <w:lang w:val="en-NZ"/>
              </w:rPr>
            </w:pPr>
            <w:r w:rsidRPr="000E22D6">
              <w:t>Assess the panel</w:t>
            </w:r>
          </w:p>
        </w:tc>
        <w:tc>
          <w:tcPr>
            <w:tcW w:w="770" w:type="dxa"/>
            <w:tcBorders>
              <w:top w:val="nil"/>
              <w:left w:val="nil"/>
              <w:bottom w:val="nil"/>
              <w:right w:val="nil"/>
            </w:tcBorders>
            <w:tcMar>
              <w:top w:w="0" w:type="dxa"/>
              <w:left w:w="62" w:type="dxa"/>
              <w:bottom w:w="0" w:type="dxa"/>
              <w:right w:w="62" w:type="dxa"/>
            </w:tcMar>
          </w:tcPr>
          <w:p w:rsidR="00000000" w:rsidRPr="000E22D6" w:rsidP="000E22D6">
            <w:pPr>
              <w:pStyle w:val="BodyText"/>
            </w:pPr>
            <w:r w:rsidRPr="000E22D6">
              <w:t>4.1</w:t>
            </w:r>
          </w:p>
        </w:tc>
        <w:tc>
          <w:tcPr>
            <w:tcW w:w="5610" w:type="dxa"/>
            <w:tcBorders>
              <w:top w:val="nil"/>
              <w:left w:val="nil"/>
              <w:bottom w:val="nil"/>
              <w:right w:val="nil"/>
            </w:tcBorders>
            <w:tcMar>
              <w:top w:w="0" w:type="dxa"/>
              <w:left w:w="62" w:type="dxa"/>
              <w:bottom w:w="0" w:type="dxa"/>
              <w:right w:w="62" w:type="dxa"/>
            </w:tcMar>
          </w:tcPr>
          <w:p w:rsidR="00000000" w:rsidP="000E22D6">
            <w:pPr>
              <w:pStyle w:val="BodyText"/>
              <w:rPr>
                <w:lang w:val="en-NZ"/>
              </w:rPr>
            </w:pPr>
            <w:r w:rsidRPr="000E22D6">
              <w:rPr>
                <w:rStyle w:val="BoldandItalics"/>
              </w:rPr>
              <w:t xml:space="preserve">Glass faults </w:t>
            </w:r>
            <w:r w:rsidRPr="000E22D6">
              <w:t>are identified and noted</w:t>
            </w:r>
          </w:p>
        </w:tc>
      </w:tr>
      <w:tr w:rsidTr="000E22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E22D6" w:rsidP="000E22D6">
            <w:pPr>
              <w:pStyle w:val="BodyText"/>
            </w:pPr>
            <w:r w:rsidRPr="000E22D6">
              <w:t>4.2</w:t>
            </w:r>
          </w:p>
        </w:tc>
        <w:tc>
          <w:tcPr>
            <w:tcW w:w="5610" w:type="dxa"/>
            <w:tcBorders>
              <w:top w:val="nil"/>
              <w:left w:val="nil"/>
              <w:bottom w:val="nil"/>
              <w:right w:val="nil"/>
            </w:tcBorders>
            <w:tcMar>
              <w:top w:w="0" w:type="dxa"/>
              <w:left w:w="62" w:type="dxa"/>
              <w:bottom w:w="0" w:type="dxa"/>
              <w:right w:w="62" w:type="dxa"/>
            </w:tcMar>
          </w:tcPr>
          <w:p w:rsidR="00000000" w:rsidP="000E22D6">
            <w:pPr>
              <w:pStyle w:val="BodyText"/>
              <w:rPr>
                <w:lang w:val="en-NZ"/>
              </w:rPr>
            </w:pPr>
            <w:r w:rsidRPr="000E22D6">
              <w:rPr>
                <w:rStyle w:val="BoldandItalics"/>
              </w:rPr>
              <w:t>Structural faults</w:t>
            </w:r>
            <w:r w:rsidRPr="000E22D6">
              <w:t xml:space="preserve"> or problems are identified and noted</w:t>
            </w:r>
          </w:p>
        </w:tc>
      </w:tr>
      <w:tr w:rsidTr="000E22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E22D6" w:rsidP="000E22D6">
            <w:pPr>
              <w:pStyle w:val="BodyText"/>
            </w:pPr>
            <w:r w:rsidRPr="000E22D6">
              <w:t>4.3</w:t>
            </w:r>
          </w:p>
        </w:tc>
        <w:tc>
          <w:tcPr>
            <w:tcW w:w="5610" w:type="dxa"/>
            <w:tcBorders>
              <w:top w:val="nil"/>
              <w:left w:val="nil"/>
              <w:bottom w:val="nil"/>
              <w:right w:val="nil"/>
            </w:tcBorders>
            <w:tcMar>
              <w:top w:w="0" w:type="dxa"/>
              <w:left w:w="62" w:type="dxa"/>
              <w:bottom w:w="0" w:type="dxa"/>
              <w:right w:w="62" w:type="dxa"/>
            </w:tcMar>
          </w:tcPr>
          <w:p w:rsidR="00000000" w:rsidP="000E22D6">
            <w:pPr>
              <w:pStyle w:val="BodyText"/>
              <w:rPr>
                <w:lang w:val="en-NZ"/>
              </w:rPr>
            </w:pPr>
            <w:r w:rsidRPr="000E22D6">
              <w:rPr>
                <w:rStyle w:val="BoldandItalics"/>
              </w:rPr>
              <w:t>Environmental effects</w:t>
            </w:r>
            <w:r w:rsidRPr="000E22D6">
              <w:t xml:space="preserve"> are identified and noted </w:t>
            </w:r>
          </w:p>
        </w:tc>
      </w:tr>
      <w:tr w:rsidTr="000E22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E22D6" w:rsidP="000E22D6">
            <w:pPr>
              <w:pStyle w:val="BodyText"/>
            </w:pPr>
            <w:r w:rsidRPr="000E22D6">
              <w:t>4.4</w:t>
            </w:r>
          </w:p>
        </w:tc>
        <w:tc>
          <w:tcPr>
            <w:tcW w:w="5610" w:type="dxa"/>
            <w:tcBorders>
              <w:top w:val="nil"/>
              <w:left w:val="nil"/>
              <w:bottom w:val="nil"/>
              <w:right w:val="nil"/>
            </w:tcBorders>
            <w:tcMar>
              <w:top w:w="0" w:type="dxa"/>
              <w:left w:w="62" w:type="dxa"/>
              <w:bottom w:w="0" w:type="dxa"/>
              <w:right w:w="62" w:type="dxa"/>
            </w:tcMar>
          </w:tcPr>
          <w:p w:rsidR="00000000" w:rsidRPr="000E22D6" w:rsidP="000E22D6">
            <w:pPr>
              <w:pStyle w:val="BodyText"/>
            </w:pPr>
            <w:r w:rsidRPr="000E22D6">
              <w:rPr>
                <w:rStyle w:val="BoldandItalics"/>
              </w:rPr>
              <w:t>Other problems</w:t>
            </w:r>
            <w:r w:rsidRPr="000E22D6">
              <w:t xml:space="preserve"> are identified and noted </w:t>
            </w:r>
          </w:p>
        </w:tc>
      </w:tr>
    </w:tbl>
    <w:p w:rsidR="00000000" w:rsidRPr="000E22D6" w:rsidP="000E22D6">
      <w:pPr>
        <w:pStyle w:val="BodyText"/>
      </w:pPr>
    </w:p>
    <w:tbl>
      <w:tblPr>
        <w:tblW w:w="0" w:type="auto"/>
        <w:tblLayout w:type="fixed"/>
        <w:tblCellMar>
          <w:left w:w="62" w:type="dxa"/>
          <w:right w:w="62" w:type="dxa"/>
        </w:tblCellMar>
        <w:tblLook w:val="0000"/>
      </w:tblPr>
      <w:tblGrid>
        <w:gridCol w:w="678"/>
        <w:gridCol w:w="1962"/>
        <w:gridCol w:w="770"/>
        <w:gridCol w:w="5610"/>
      </w:tblGrid>
      <w:tr w:rsidTr="000E22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E22D6">
            <w:pPr>
              <w:pStyle w:val="BodyText"/>
              <w:rPr>
                <w:lang w:val="en-NZ"/>
              </w:rPr>
            </w:pPr>
            <w:r w:rsidRPr="000E22D6">
              <w:t>5</w:t>
            </w:r>
          </w:p>
        </w:tc>
        <w:tc>
          <w:tcPr>
            <w:tcW w:w="1962" w:type="dxa"/>
            <w:vMerge w:val="restart"/>
            <w:tcBorders>
              <w:top w:val="nil"/>
              <w:left w:val="nil"/>
              <w:bottom w:val="nil"/>
              <w:right w:val="nil"/>
            </w:tcBorders>
            <w:tcMar>
              <w:top w:w="0" w:type="dxa"/>
              <w:left w:w="62" w:type="dxa"/>
              <w:bottom w:w="0" w:type="dxa"/>
              <w:right w:w="62" w:type="dxa"/>
            </w:tcMar>
          </w:tcPr>
          <w:p w:rsidR="00000000" w:rsidP="000E22D6">
            <w:pPr>
              <w:pStyle w:val="BodyText"/>
              <w:rPr>
                <w:lang w:val="en-NZ"/>
              </w:rPr>
            </w:pPr>
            <w:r w:rsidRPr="000E22D6">
              <w:t>Finalise and report on the assessment</w:t>
            </w:r>
          </w:p>
        </w:tc>
        <w:tc>
          <w:tcPr>
            <w:tcW w:w="770" w:type="dxa"/>
            <w:tcBorders>
              <w:top w:val="nil"/>
              <w:left w:val="nil"/>
              <w:bottom w:val="nil"/>
              <w:right w:val="nil"/>
            </w:tcBorders>
            <w:tcMar>
              <w:top w:w="0" w:type="dxa"/>
              <w:left w:w="62" w:type="dxa"/>
              <w:bottom w:w="0" w:type="dxa"/>
              <w:right w:w="62" w:type="dxa"/>
            </w:tcMar>
          </w:tcPr>
          <w:p w:rsidR="00000000" w:rsidP="000E22D6">
            <w:pPr>
              <w:pStyle w:val="BodyText"/>
              <w:rPr>
                <w:lang w:val="en-NZ"/>
              </w:rPr>
            </w:pPr>
            <w:r w:rsidRPr="000E22D6">
              <w:t>5.1</w:t>
            </w:r>
          </w:p>
        </w:tc>
        <w:tc>
          <w:tcPr>
            <w:tcW w:w="5610" w:type="dxa"/>
            <w:tcBorders>
              <w:top w:val="nil"/>
              <w:left w:val="nil"/>
              <w:bottom w:val="nil"/>
              <w:right w:val="nil"/>
            </w:tcBorders>
            <w:tcMar>
              <w:top w:w="0" w:type="dxa"/>
              <w:left w:w="62" w:type="dxa"/>
              <w:bottom w:w="0" w:type="dxa"/>
              <w:right w:w="62" w:type="dxa"/>
            </w:tcMar>
          </w:tcPr>
          <w:p w:rsidR="00000000" w:rsidP="000E22D6">
            <w:pPr>
              <w:pStyle w:val="BodyText"/>
              <w:rPr>
                <w:lang w:val="en-NZ"/>
              </w:rPr>
            </w:pPr>
            <w:r w:rsidRPr="000E22D6">
              <w:t xml:space="preserve">Tools and equipment are removed, cleaned and stored appropriately </w:t>
            </w:r>
          </w:p>
        </w:tc>
      </w:tr>
      <w:tr w:rsidTr="000E22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22D6">
            <w:pPr>
              <w:pStyle w:val="BodyText"/>
              <w:rPr>
                <w:lang w:val="en-NZ"/>
              </w:rPr>
            </w:pPr>
            <w:r w:rsidRPr="000E22D6">
              <w:t>5.2</w:t>
            </w:r>
          </w:p>
        </w:tc>
        <w:tc>
          <w:tcPr>
            <w:tcW w:w="5610" w:type="dxa"/>
            <w:tcBorders>
              <w:top w:val="nil"/>
              <w:left w:val="nil"/>
              <w:bottom w:val="nil"/>
              <w:right w:val="nil"/>
            </w:tcBorders>
            <w:tcMar>
              <w:top w:w="0" w:type="dxa"/>
              <w:left w:w="62" w:type="dxa"/>
              <w:bottom w:w="0" w:type="dxa"/>
              <w:right w:w="62" w:type="dxa"/>
            </w:tcMar>
          </w:tcPr>
          <w:p w:rsidR="00000000" w:rsidP="000E22D6">
            <w:pPr>
              <w:pStyle w:val="BodyText"/>
              <w:rPr>
                <w:lang w:val="en-NZ"/>
              </w:rPr>
            </w:pPr>
            <w:r w:rsidRPr="000E22D6">
              <w:t>Assessment area is cleaned and rubbish disposed of, as appropriate</w:t>
            </w:r>
          </w:p>
        </w:tc>
      </w:tr>
      <w:tr w:rsidTr="000E22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E22D6" w:rsidP="000E22D6">
            <w:pPr>
              <w:pStyle w:val="BodyText"/>
            </w:pPr>
            <w:r w:rsidRPr="000E22D6">
              <w:t>5.3</w:t>
            </w:r>
          </w:p>
        </w:tc>
        <w:tc>
          <w:tcPr>
            <w:tcW w:w="5610" w:type="dxa"/>
            <w:tcBorders>
              <w:top w:val="nil"/>
              <w:left w:val="nil"/>
              <w:bottom w:val="nil"/>
              <w:right w:val="nil"/>
            </w:tcBorders>
            <w:tcMar>
              <w:top w:w="0" w:type="dxa"/>
              <w:left w:w="62" w:type="dxa"/>
              <w:bottom w:w="0" w:type="dxa"/>
              <w:right w:w="62" w:type="dxa"/>
            </w:tcMar>
          </w:tcPr>
          <w:p w:rsidR="00000000" w:rsidP="000E22D6">
            <w:pPr>
              <w:pStyle w:val="BodyText"/>
              <w:rPr>
                <w:lang w:val="en-NZ"/>
              </w:rPr>
            </w:pPr>
            <w:r w:rsidRPr="000E22D6">
              <w:rPr>
                <w:rStyle w:val="BoldandItalics"/>
              </w:rPr>
              <w:t>Conservation requirements</w:t>
            </w:r>
            <w:r w:rsidRPr="000E22D6">
              <w:t xml:space="preserve"> resulting from the assessment are determined and confirmed with appropriate personnel</w:t>
            </w:r>
          </w:p>
        </w:tc>
      </w:tr>
      <w:tr w:rsidTr="000E22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E22D6" w:rsidP="000E22D6">
            <w:pPr>
              <w:pStyle w:val="BodyText"/>
            </w:pPr>
            <w:r w:rsidRPr="000E22D6">
              <w:t>5.4</w:t>
            </w:r>
          </w:p>
        </w:tc>
        <w:tc>
          <w:tcPr>
            <w:tcW w:w="5610" w:type="dxa"/>
            <w:tcBorders>
              <w:top w:val="nil"/>
              <w:left w:val="nil"/>
              <w:bottom w:val="nil"/>
              <w:right w:val="nil"/>
            </w:tcBorders>
            <w:tcMar>
              <w:top w:w="0" w:type="dxa"/>
              <w:left w:w="62" w:type="dxa"/>
              <w:bottom w:w="0" w:type="dxa"/>
              <w:right w:w="62" w:type="dxa"/>
            </w:tcMar>
          </w:tcPr>
          <w:p w:rsidR="00000000" w:rsidRPr="000E22D6" w:rsidP="000E22D6">
            <w:pPr>
              <w:pStyle w:val="BodyText"/>
            </w:pPr>
            <w:r w:rsidRPr="000E22D6">
              <w:rPr>
                <w:rStyle w:val="BoldandItalics"/>
              </w:rPr>
              <w:t xml:space="preserve">Condition report </w:t>
            </w:r>
            <w:r w:rsidRPr="000E22D6">
              <w:t>is</w:t>
            </w:r>
            <w:r w:rsidRPr="000E22D6">
              <w:rPr>
                <w:rStyle w:val="SpecialBold"/>
              </w:rPr>
              <w:t xml:space="preserve"> </w:t>
            </w:r>
            <w:r w:rsidRPr="000E22D6">
              <w:t xml:space="preserve">prepared and provided, as required </w:t>
            </w:r>
          </w:p>
        </w:tc>
      </w:tr>
    </w:tbl>
    <w:p w:rsidR="00221C8D" w:rsidP="000E22D6">
      <w:pPr>
        <w:pStyle w:val="BodyText"/>
      </w:pPr>
    </w:p>
    <w:p w:rsidR="00221C8D" w:rsidP="000E22D6">
      <w:pPr>
        <w:pStyle w:val="BodyText"/>
      </w:pPr>
    </w:p>
    <w:p w:rsidR="00000000" w:rsidRPr="000E22D6" w:rsidP="000E22D6">
      <w:pPr>
        <w:pStyle w:val="Heading1"/>
      </w:pPr>
      <w:bookmarkStart w:id="9" w:name="O_352260"/>
      <w:bookmarkEnd w:id="9"/>
      <w:r w:rsidRPr="000E22D6">
        <w:t>Required Skills and Knowledge</w:t>
      </w:r>
    </w:p>
    <w:tbl>
      <w:tblPr>
        <w:tblW w:w="9462" w:type="dxa"/>
        <w:tblLayout w:type="fixed"/>
        <w:tblCellMar>
          <w:left w:w="62" w:type="dxa"/>
          <w:right w:w="62" w:type="dxa"/>
        </w:tblCellMar>
        <w:tblLook w:val="0000"/>
      </w:tblPr>
      <w:tblGrid>
        <w:gridCol w:w="9462"/>
      </w:tblGrid>
      <w:tr w:rsidTr="000E22D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E22D6">
            <w:pPr>
              <w:pStyle w:val="BodyText"/>
              <w:rPr>
                <w:lang w:val="en-NZ"/>
              </w:rPr>
            </w:pPr>
            <w:r w:rsidRPr="000E22D6">
              <w:t>This section describes the skills and knowledge required</w:t>
            </w:r>
            <w:r w:rsidRPr="000E22D6">
              <w:t xml:space="preserve"> for this unit.</w:t>
            </w:r>
          </w:p>
        </w:tc>
      </w:tr>
      <w:tr w:rsidTr="000E22D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E22D6">
            <w:pPr>
              <w:pStyle w:val="BodyText"/>
              <w:rPr>
                <w:lang w:val="en-NZ"/>
              </w:rPr>
            </w:pPr>
          </w:p>
        </w:tc>
      </w:tr>
      <w:tr w:rsidTr="000E22D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E22D6" w:rsidP="000E22D6">
            <w:pPr>
              <w:pStyle w:val="BodyText"/>
            </w:pPr>
            <w:r w:rsidRPr="000E22D6">
              <w:rPr>
                <w:rStyle w:val="SpecialBold"/>
              </w:rPr>
              <w:t>Required skills include:</w:t>
            </w:r>
          </w:p>
          <w:p w:rsidR="00000000" w:rsidRPr="000E22D6" w:rsidP="000E22D6">
            <w:pPr>
              <w:pStyle w:val="ListBullet"/>
            </w:pPr>
            <w:r w:rsidRPr="000E22D6">
              <w:t>collecting, organising and understanding materials, technology and information related to heritage leadlight and stained glass</w:t>
            </w:r>
          </w:p>
          <w:p w:rsidR="00000000" w:rsidRPr="000E22D6" w:rsidP="000E22D6">
            <w:pPr>
              <w:pStyle w:val="ListBullet"/>
            </w:pPr>
            <w:r w:rsidRPr="000E22D6">
              <w:t>using communication skills to the level required to confirm work requirements and specifications; communicate effectively regarding work requirements with supervisors, other workers and customers; report work outcomes and problems; and relate to people fro</w:t>
            </w:r>
            <w:r w:rsidRPr="000E22D6">
              <w:t>m a range of social, cultural and ethnic backgrounds, and of varying physical and mental abilities</w:t>
            </w:r>
          </w:p>
          <w:p w:rsidR="00000000" w:rsidRPr="000E22D6" w:rsidP="000E22D6">
            <w:pPr>
              <w:pStyle w:val="ListBullet"/>
            </w:pPr>
            <w:r w:rsidRPr="000E22D6">
              <w:t>using literacy skills to the level required to understand information related to work orders, including common industry terminology, plans and safety procedu</w:t>
            </w:r>
            <w:r w:rsidRPr="000E22D6">
              <w:t>res; prepare reports; and interpret technical information and specifications</w:t>
            </w:r>
          </w:p>
          <w:p w:rsidR="00000000" w:rsidRPr="000E22D6" w:rsidP="000E22D6">
            <w:pPr>
              <w:pStyle w:val="ListBullet"/>
            </w:pPr>
            <w:r w:rsidRPr="000E22D6">
              <w:t>maintaining quality records related to heritage leadlight and stained glass</w:t>
            </w:r>
          </w:p>
          <w:p w:rsidR="00000000" w:rsidRPr="000E22D6" w:rsidP="000E22D6">
            <w:pPr>
              <w:pStyle w:val="ListBullet"/>
            </w:pPr>
            <w:r w:rsidRPr="000E22D6">
              <w:t>working with others and in a team by recognising dependencies and using cooperative approaches to optim</w:t>
            </w:r>
            <w:r w:rsidRPr="000E22D6">
              <w:t>ise workflow and productivity</w:t>
            </w:r>
          </w:p>
          <w:p w:rsidR="00000000" w:rsidRPr="000E22D6" w:rsidP="000E22D6">
            <w:pPr>
              <w:pStyle w:val="ListBullet"/>
            </w:pPr>
            <w:r w:rsidRPr="000E22D6">
              <w:t>identifying, anticipating and responding to faults in heritage leadlight and stained glass</w:t>
            </w:r>
          </w:p>
          <w:p w:rsidR="00000000" w:rsidRPr="000E22D6" w:rsidP="000E22D6">
            <w:pPr>
              <w:pStyle w:val="ListBullet"/>
            </w:pPr>
            <w:r w:rsidRPr="000E22D6">
              <w:t>recognising and responding to circumstances outside instructions or personal competence</w:t>
            </w:r>
          </w:p>
          <w:p w:rsidR="00000000" w:rsidRPr="000E22D6" w:rsidP="000E22D6">
            <w:pPr>
              <w:pStyle w:val="ListBullet"/>
            </w:pPr>
            <w:r w:rsidRPr="000E22D6">
              <w:t>planning and organising activities, including t</w:t>
            </w:r>
            <w:r w:rsidRPr="000E22D6">
              <w:t>he preparation and layout of own worksite, and the obtaining and use of tools and materials to avoid any backtracking, work flow interruptions or wastage</w:t>
            </w:r>
          </w:p>
          <w:p w:rsidR="00000000" w:rsidRPr="000E22D6" w:rsidP="000E22D6">
            <w:pPr>
              <w:pStyle w:val="ListBullet"/>
            </w:pPr>
            <w:r w:rsidRPr="000E22D6">
              <w:t>using mathematical ideas and techniques to correctly complete measurements, calculate area and volume,</w:t>
            </w:r>
            <w:r w:rsidRPr="000E22D6">
              <w:t xml:space="preserve"> and estimate work and material requirements</w:t>
            </w:r>
          </w:p>
          <w:p w:rsidR="00000000" w:rsidRPr="000E22D6" w:rsidP="000E22D6">
            <w:pPr>
              <w:pStyle w:val="ListBullet"/>
            </w:pPr>
            <w:r w:rsidRPr="000E22D6">
              <w:t>clarifying and confirming work instructions</w:t>
            </w:r>
          </w:p>
          <w:p w:rsidR="00000000" w:rsidRPr="000E22D6" w:rsidP="000E22D6">
            <w:pPr>
              <w:pStyle w:val="ListBullet"/>
            </w:pPr>
            <w:r w:rsidRPr="000E22D6">
              <w:t>planning own work within the given task parameters</w:t>
            </w:r>
          </w:p>
          <w:p w:rsidR="00000000" w:rsidRPr="000E22D6" w:rsidP="000E22D6">
            <w:pPr>
              <w:pStyle w:val="ListBullet"/>
            </w:pPr>
            <w:r w:rsidRPr="000E22D6">
              <w:t>accepting responsibility for given tasks</w:t>
            </w:r>
          </w:p>
          <w:p w:rsidR="00000000" w:rsidRPr="000E22D6" w:rsidP="000E22D6">
            <w:pPr>
              <w:pStyle w:val="ListBullet"/>
            </w:pPr>
            <w:r w:rsidRPr="000E22D6">
              <w:t>setting, monitoring and satisfying personal work goals</w:t>
            </w:r>
          </w:p>
          <w:p w:rsidR="00000000" w:rsidRPr="000E22D6" w:rsidP="000E22D6">
            <w:pPr>
              <w:pStyle w:val="ListBullet"/>
            </w:pPr>
            <w:r w:rsidRPr="000E22D6">
              <w:t>maintaining current knowledge of tools and materials</w:t>
            </w:r>
          </w:p>
          <w:p w:rsidR="00000000" w:rsidRPr="000E22D6" w:rsidP="000E22D6">
            <w:pPr>
              <w:pStyle w:val="ListBullet"/>
            </w:pPr>
            <w:r w:rsidRPr="000E22D6">
              <w:t>maintaining current knowledge heritage leadlight and stained glass</w:t>
            </w:r>
          </w:p>
          <w:p w:rsidR="00000000" w:rsidRPr="000E22D6" w:rsidP="000E22D6">
            <w:pPr>
              <w:pStyle w:val="ListBullet"/>
            </w:pPr>
            <w:r w:rsidRPr="000E22D6">
              <w:t>seeking learning opportunities</w:t>
            </w:r>
          </w:p>
          <w:p w:rsidR="00000000" w:rsidP="000E22D6">
            <w:pPr>
              <w:pStyle w:val="ListBullet"/>
              <w:rPr>
                <w:lang w:val="en-NZ"/>
              </w:rPr>
            </w:pPr>
            <w:r w:rsidRPr="000E22D6">
              <w:t>using the workplace technology related to the selection of heritage leadlight and stained glass component</w:t>
            </w:r>
            <w:r w:rsidRPr="000E22D6">
              <w:t>s conservation, including computers, measuring devices and recording systems</w:t>
            </w:r>
          </w:p>
        </w:tc>
      </w:tr>
      <w:tr w:rsidTr="000E22D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E22D6">
            <w:pPr>
              <w:pStyle w:val="BodyText"/>
              <w:rPr>
                <w:lang w:val="en-NZ"/>
              </w:rPr>
            </w:pPr>
          </w:p>
        </w:tc>
      </w:tr>
      <w:tr w:rsidTr="000E22D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E22D6" w:rsidP="000E22D6">
            <w:pPr>
              <w:pStyle w:val="BodyText"/>
            </w:pPr>
            <w:r w:rsidRPr="000E22D6">
              <w:rPr>
                <w:rStyle w:val="SpecialBold"/>
              </w:rPr>
              <w:t>Required knowledge includes:</w:t>
            </w:r>
          </w:p>
          <w:p w:rsidR="00000000" w:rsidRPr="000E22D6" w:rsidP="000E22D6">
            <w:pPr>
              <w:pStyle w:val="ListBullet"/>
            </w:pPr>
            <w:r w:rsidRPr="000E22D6">
              <w:t>state or territory OHS legislation, regulations, standards and codes of practice relevant to the full range of processes for leadlight and stained</w:t>
            </w:r>
            <w:r w:rsidRPr="000E22D6">
              <w:t xml:space="preserve"> glass operations</w:t>
            </w:r>
          </w:p>
          <w:p w:rsidR="00000000" w:rsidRPr="000E22D6" w:rsidP="000E22D6">
            <w:pPr>
              <w:pStyle w:val="ListBullet"/>
            </w:pPr>
            <w:r w:rsidRPr="000E22D6">
              <w:t>leadlight and stained glass panels construction and repair terminology and techniques</w:t>
            </w:r>
          </w:p>
          <w:p w:rsidR="00000000" w:rsidRPr="000E22D6" w:rsidP="000E22D6">
            <w:pPr>
              <w:pStyle w:val="ListBullet"/>
            </w:pPr>
            <w:r w:rsidRPr="000E22D6">
              <w:t>the principles and guidelines of the Burra Charter, the Australia International Council on Monuments and Sites (ICOMOS) Charter for Places of Cultural S</w:t>
            </w:r>
            <w:r w:rsidRPr="000E22D6">
              <w:t>ignificance</w:t>
            </w:r>
          </w:p>
          <w:p w:rsidR="00000000" w:rsidRPr="000E22D6" w:rsidP="000E22D6">
            <w:pPr>
              <w:pStyle w:val="ListBullet"/>
            </w:pPr>
            <w:r w:rsidRPr="000E22D6">
              <w:t xml:space="preserve">organisational and site standards, requirements, policies and procedures for the assessment of leadlight and stained glass panels </w:t>
            </w:r>
          </w:p>
          <w:p w:rsidR="00000000" w:rsidRPr="000E22D6" w:rsidP="000E22D6">
            <w:pPr>
              <w:pStyle w:val="ListBullet"/>
            </w:pPr>
            <w:r w:rsidRPr="000E22D6">
              <w:t>types of glass and other materials, historically used in the leadlight and stained glass industry, their characte</w:t>
            </w:r>
            <w:r w:rsidRPr="000E22D6">
              <w:t>ristics, properties, uses and limitations</w:t>
            </w:r>
          </w:p>
          <w:p w:rsidR="00000000" w:rsidRPr="000E22D6" w:rsidP="000E22D6">
            <w:pPr>
              <w:pStyle w:val="ListBullet"/>
            </w:pPr>
            <w:r w:rsidRPr="000E22D6">
              <w:t>environmental effects on leadlight and stained glass panels</w:t>
            </w:r>
          </w:p>
          <w:p w:rsidR="00000000" w:rsidRPr="000E22D6" w:rsidP="000E22D6">
            <w:pPr>
              <w:pStyle w:val="ListBullet"/>
            </w:pPr>
            <w:r w:rsidRPr="000E22D6">
              <w:t xml:space="preserve">heritage requirements specific to leadlight and stained glass </w:t>
            </w:r>
          </w:p>
          <w:p w:rsidR="00000000" w:rsidRPr="000E22D6" w:rsidP="000E22D6">
            <w:pPr>
              <w:pStyle w:val="ListBullet"/>
            </w:pPr>
            <w:r w:rsidRPr="000E22D6">
              <w:t>established communication channels and protocols</w:t>
            </w:r>
          </w:p>
          <w:p w:rsidR="00000000" w:rsidRPr="000E22D6" w:rsidP="000E22D6">
            <w:pPr>
              <w:pStyle w:val="ListBullet"/>
            </w:pPr>
            <w:r w:rsidRPr="000E22D6">
              <w:t>problem identification and resolution in the heritage leadlight and stained glass environment</w:t>
            </w:r>
          </w:p>
          <w:p w:rsidR="00000000" w:rsidRPr="000E22D6" w:rsidP="000E22D6">
            <w:pPr>
              <w:pStyle w:val="ListBullet"/>
            </w:pPr>
            <w:r w:rsidRPr="000E22D6">
              <w:t>storage systems and labelling</w:t>
            </w:r>
          </w:p>
          <w:p w:rsidR="00000000" w:rsidRPr="000E22D6" w:rsidP="000E22D6">
            <w:pPr>
              <w:pStyle w:val="ListBullet"/>
            </w:pPr>
            <w:r w:rsidRPr="000E22D6">
              <w:t>procedures for the recording, reporting and maintenance of workplace records and information</w:t>
            </w:r>
          </w:p>
          <w:p w:rsidR="00000000" w:rsidRPr="000E22D6" w:rsidP="000E22D6">
            <w:pPr>
              <w:pStyle w:val="ListBullet"/>
            </w:pPr>
            <w:r w:rsidRPr="000E22D6">
              <w:t>appropriate mathematical procedures for</w:t>
            </w:r>
            <w:r w:rsidRPr="000E22D6">
              <w:t xml:space="preserve"> estimation and measurement</w:t>
            </w:r>
          </w:p>
        </w:tc>
      </w:tr>
    </w:tbl>
    <w:p w:rsidR="00000000" w:rsidRPr="000E22D6" w:rsidP="000E22D6">
      <w:pPr>
        <w:pStyle w:val="BodyText"/>
      </w:pPr>
    </w:p>
    <w:p w:rsidR="00000000" w:rsidRPr="000E22D6" w:rsidP="000E22D6">
      <w:pPr>
        <w:pStyle w:val="AllowPageBreak"/>
      </w:pPr>
    </w:p>
    <w:p w:rsidR="00000000" w:rsidRPr="000E22D6" w:rsidP="000E22D6">
      <w:pPr>
        <w:pStyle w:val="Heading1"/>
      </w:pPr>
      <w:bookmarkStart w:id="10" w:name="O_352261"/>
      <w:bookmarkEnd w:id="10"/>
      <w:r w:rsidRPr="000E22D6">
        <w:t>Evidence Guide</w:t>
      </w:r>
    </w:p>
    <w:tbl>
      <w:tblPr>
        <w:tblW w:w="9462" w:type="dxa"/>
        <w:tblLayout w:type="fixed"/>
        <w:tblCellMar>
          <w:left w:w="62" w:type="dxa"/>
          <w:right w:w="62" w:type="dxa"/>
        </w:tblCellMar>
        <w:tblLook w:val="0000"/>
      </w:tblPr>
      <w:tblGrid>
        <w:gridCol w:w="3800"/>
        <w:gridCol w:w="5662"/>
      </w:tblGrid>
      <w:tr w:rsidTr="000E22D6">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0E22D6">
            <w:pPr>
              <w:pStyle w:val="BodyText"/>
              <w:rPr>
                <w:lang w:val="en-NZ"/>
              </w:rPr>
            </w:pPr>
            <w:r w:rsidRPr="000E22D6">
              <w:t>The evidence guide provides advice on assessment and must be read in conjunction with the performance criteria, required skills and knowledge, range statement and the Assessment Guidelines for t</w:t>
            </w:r>
            <w:r w:rsidRPr="000E22D6">
              <w:t>he Training Package.</w:t>
            </w:r>
          </w:p>
        </w:tc>
      </w:tr>
      <w:tr w:rsidTr="000E22D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2D6">
            <w:pPr>
              <w:pStyle w:val="BodyText"/>
              <w:rPr>
                <w:lang w:val="en-NZ"/>
              </w:rPr>
            </w:pPr>
            <w:r w:rsidRPr="000E22D6">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2D6">
            <w:pPr>
              <w:pStyle w:val="BodyText"/>
              <w:rPr>
                <w:lang w:val="en-NZ"/>
              </w:rPr>
            </w:pPr>
            <w:r w:rsidRPr="000E22D6">
              <w:t>Assessment processes and techniques must be culturally appropriate and appropriate to the language, literacy and numeracy capacity of the candidate and the work being performed.</w:t>
            </w:r>
          </w:p>
        </w:tc>
      </w:tr>
      <w:tr w:rsidTr="000E22D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2D6">
            <w:pPr>
              <w:pStyle w:val="BodyText"/>
              <w:rPr>
                <w:lang w:val="en-NZ"/>
              </w:rPr>
            </w:pPr>
            <w:r w:rsidRPr="000E22D6">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2D6" w:rsidP="000E22D6">
            <w:pPr>
              <w:pStyle w:val="BodyText"/>
            </w:pPr>
            <w:r w:rsidRPr="000E22D6">
              <w:t>Assessors must be satisfied that the candidate can competently and consistently:</w:t>
            </w:r>
          </w:p>
          <w:p w:rsidR="00000000" w:rsidRPr="000E22D6" w:rsidP="000E22D6">
            <w:pPr>
              <w:pStyle w:val="ListBullet"/>
            </w:pPr>
            <w:r w:rsidRPr="000E22D6">
              <w:t>read and interpret work/job specifications</w:t>
            </w:r>
          </w:p>
          <w:p w:rsidR="00000000" w:rsidRPr="000E22D6" w:rsidP="000E22D6">
            <w:pPr>
              <w:pStyle w:val="ListBullet"/>
            </w:pPr>
            <w:r w:rsidRPr="000E22D6">
              <w:t>identify and interpret heritage legisl</w:t>
            </w:r>
            <w:r w:rsidRPr="000E22D6">
              <w:t>ation as it applies to leadlight and stained glass panels</w:t>
            </w:r>
          </w:p>
          <w:p w:rsidR="00000000" w:rsidRPr="000E22D6" w:rsidP="000E22D6">
            <w:pPr>
              <w:pStyle w:val="ListBullet"/>
            </w:pPr>
            <w:r w:rsidRPr="000E22D6">
              <w:t xml:space="preserve">identify historical leadlight and stained glass panel construction methods </w:t>
            </w:r>
          </w:p>
          <w:p w:rsidR="00000000" w:rsidRPr="000E22D6" w:rsidP="000E22D6">
            <w:pPr>
              <w:pStyle w:val="ListBullet"/>
            </w:pPr>
            <w:r w:rsidRPr="000E22D6">
              <w:t>identify framing, structural and construction techniques relevant to leadlight and stained glass panels</w:t>
            </w:r>
          </w:p>
          <w:p w:rsidR="00000000" w:rsidRPr="000E22D6" w:rsidP="000E22D6">
            <w:pPr>
              <w:pStyle w:val="ListBullet"/>
            </w:pPr>
            <w:r w:rsidRPr="000E22D6">
              <w:t>identify the outco</w:t>
            </w:r>
            <w:r w:rsidRPr="000E22D6">
              <w:t>mes of various environmental effects on leadlight and stained glass panels</w:t>
            </w:r>
          </w:p>
          <w:p w:rsidR="00000000" w:rsidRPr="000E22D6" w:rsidP="000E22D6">
            <w:pPr>
              <w:pStyle w:val="ListBullet"/>
            </w:pPr>
            <w:r w:rsidRPr="000E22D6">
              <w:t>identify faults and problems with leadlight and stained glass panels, and their remedial methods</w:t>
            </w:r>
          </w:p>
          <w:p w:rsidR="00000000" w:rsidRPr="000E22D6" w:rsidP="000E22D6">
            <w:pPr>
              <w:pStyle w:val="ListBullet"/>
            </w:pPr>
            <w:r w:rsidRPr="000E22D6">
              <w:t>inspect a minimum of two (2) separate and differing leadlight and stained glass installations and assess the conservation requirements</w:t>
            </w:r>
          </w:p>
          <w:p w:rsidR="00000000" w:rsidRPr="000E22D6" w:rsidP="000E22D6">
            <w:pPr>
              <w:pStyle w:val="ListBullet"/>
            </w:pPr>
            <w:r w:rsidRPr="000E22D6">
              <w:t xml:space="preserve">comply with legislation, regulations, standards, codes of practice and established safe practices and procedures for the </w:t>
            </w:r>
            <w:r w:rsidRPr="000E22D6">
              <w:t xml:space="preserve">assessment of conservation requirements of leadlight and stained glass panels  </w:t>
            </w:r>
          </w:p>
          <w:p w:rsidR="00000000" w:rsidP="000E22D6">
            <w:pPr>
              <w:pStyle w:val="ListBullet"/>
              <w:rPr>
                <w:lang w:val="en-NZ"/>
              </w:rPr>
            </w:pPr>
            <w:r w:rsidRPr="000E22D6">
              <w:t>communicate effectively and work safely with others in the work area.</w:t>
            </w:r>
          </w:p>
        </w:tc>
      </w:tr>
      <w:tr w:rsidTr="000E22D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2D6">
            <w:pPr>
              <w:pStyle w:val="BodyText"/>
              <w:rPr>
                <w:lang w:val="en-NZ"/>
              </w:rPr>
            </w:pPr>
            <w:r w:rsidRPr="000E22D6">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2D6" w:rsidP="000E22D6">
            <w:pPr>
              <w:pStyle w:val="BodyText"/>
            </w:pPr>
            <w:r w:rsidRPr="000E22D6">
              <w:t xml:space="preserve">The application of competency is to be assessed in the </w:t>
            </w:r>
            <w:r w:rsidRPr="000E22D6">
              <w:t>workplace or realistically simulated workplace.</w:t>
            </w:r>
          </w:p>
          <w:p w:rsidR="00000000" w:rsidRPr="000E22D6" w:rsidP="000E22D6">
            <w:pPr>
              <w:pStyle w:val="BodyText"/>
            </w:pPr>
            <w:r w:rsidRPr="000E22D6">
              <w:t>Assessment is to occur under standard and authorised work practices, safety requirements and environmental constraints.</w:t>
            </w:r>
          </w:p>
          <w:p w:rsidR="00000000" w:rsidRPr="000E22D6" w:rsidP="000E22D6">
            <w:pPr>
              <w:pStyle w:val="BodyText"/>
            </w:pPr>
            <w:r w:rsidRPr="000E22D6">
              <w:t xml:space="preserve">Assessment of essential underpinning knowledge, other than confirmatory questions, will </w:t>
            </w:r>
            <w:r w:rsidRPr="000E22D6">
              <w:t>usually be conducted in an off-site context.</w:t>
            </w:r>
          </w:p>
          <w:p w:rsidR="00000000" w:rsidRPr="000E22D6" w:rsidP="000E22D6">
            <w:pPr>
              <w:pStyle w:val="BodyText"/>
            </w:pPr>
            <w:r w:rsidRPr="000E22D6">
              <w:t>Assessment is to comply with relevant regulatory and Australian Standard requirements.</w:t>
            </w:r>
          </w:p>
          <w:p w:rsidR="00000000" w:rsidRPr="000E22D6" w:rsidP="000E22D6">
            <w:pPr>
              <w:pStyle w:val="BodyText"/>
            </w:pPr>
            <w:r w:rsidRPr="000E22D6">
              <w:t>The following resources should be made available:</w:t>
            </w:r>
          </w:p>
          <w:p w:rsidR="00000000" w:rsidRPr="000E22D6" w:rsidP="000E22D6">
            <w:pPr>
              <w:pStyle w:val="ListBullet"/>
            </w:pPr>
            <w:r w:rsidRPr="000E22D6">
              <w:t>workplace location or simulated workplace</w:t>
            </w:r>
          </w:p>
          <w:p w:rsidR="00000000" w:rsidRPr="000E22D6" w:rsidP="000E22D6">
            <w:pPr>
              <w:pStyle w:val="ListBullet"/>
            </w:pPr>
            <w:r w:rsidRPr="000E22D6">
              <w:t>materials and equipment relevan</w:t>
            </w:r>
            <w:r w:rsidRPr="000E22D6">
              <w:t>t to the assessment of leadlight and stained glass panels to meet conservation requirements</w:t>
            </w:r>
          </w:p>
          <w:p w:rsidR="00000000" w:rsidP="000E22D6">
            <w:pPr>
              <w:pStyle w:val="ListBullet"/>
              <w:rPr>
                <w:lang w:val="en-NZ"/>
              </w:rPr>
            </w:pPr>
            <w:r w:rsidRPr="000E22D6">
              <w:t>specifications and work instructions.</w:t>
            </w:r>
          </w:p>
        </w:tc>
      </w:tr>
      <w:tr w:rsidTr="000E22D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2D6">
            <w:pPr>
              <w:pStyle w:val="BodyText"/>
              <w:rPr>
                <w:lang w:val="en-NZ"/>
              </w:rPr>
            </w:pPr>
            <w:r w:rsidRPr="000E22D6">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2D6" w:rsidP="000E22D6">
            <w:pPr>
              <w:pStyle w:val="BodyText"/>
            </w:pPr>
            <w:r w:rsidRPr="000E22D6">
              <w:t>Assessment must satisfy the endorsed Assessment Guidelines of the LMF02 Furnishing Industry Training Package.</w:t>
            </w:r>
          </w:p>
          <w:p w:rsidR="00000000" w:rsidRPr="000E22D6" w:rsidP="000E22D6">
            <w:pPr>
              <w:pStyle w:val="BodyText"/>
            </w:pPr>
            <w:r w:rsidRPr="000E22D6">
              <w:t>Assessment methods must confirm consistency and accuracy of performance (over time and in a range of workplace relevant contexts) together with ap</w:t>
            </w:r>
            <w:r w:rsidRPr="000E22D6">
              <w:t>plication of underpinning knowledge.</w:t>
            </w:r>
          </w:p>
          <w:p w:rsidR="00000000" w:rsidRPr="000E22D6" w:rsidP="000E22D6">
            <w:pPr>
              <w:pStyle w:val="BodyText"/>
            </w:pPr>
            <w:r w:rsidRPr="000E22D6">
              <w:t>Assessment methods must be by direct observation of tasks and include questioning on underpinning knowledge to ensure its correct interpretation and application.</w:t>
            </w:r>
          </w:p>
          <w:p w:rsidR="00000000" w:rsidRPr="000E22D6" w:rsidP="000E22D6">
            <w:pPr>
              <w:pStyle w:val="BodyText"/>
            </w:pPr>
            <w:r w:rsidRPr="000E22D6">
              <w:t>Assessment may be applied under project-related condition</w:t>
            </w:r>
            <w:r w:rsidRPr="000E22D6">
              <w:t>s (real or simulated) and require evidence of process.</w:t>
            </w:r>
          </w:p>
          <w:p w:rsidR="00000000" w:rsidRPr="000E22D6" w:rsidP="000E22D6">
            <w:pPr>
              <w:pStyle w:val="BodyText"/>
            </w:pPr>
            <w:r w:rsidRPr="000E22D6">
              <w:t>Assessment must confirm a reasonable inference that competency is able not only to be satisfied under the particular circumstance, but is able to be transferred to other circumstances.</w:t>
            </w:r>
          </w:p>
          <w:p w:rsidR="00000000" w:rsidP="000E22D6">
            <w:pPr>
              <w:pStyle w:val="BodyText"/>
              <w:rPr>
                <w:lang w:val="en-NZ"/>
              </w:rPr>
            </w:pPr>
            <w:r w:rsidRPr="000E22D6">
              <w:t>Assessment may b</w:t>
            </w:r>
            <w:r w:rsidRPr="000E22D6">
              <w:t>e in conjunction with assessment of other units of competency.</w:t>
            </w:r>
          </w:p>
        </w:tc>
      </w:tr>
      <w:tr w:rsidTr="000E22D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2D6">
            <w:pPr>
              <w:pStyle w:val="BodyText"/>
              <w:rPr>
                <w:lang w:val="en-NZ"/>
              </w:rPr>
            </w:pPr>
            <w:r w:rsidRPr="000E22D6">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2D6" w:rsidP="000E22D6">
            <w:pPr>
              <w:pStyle w:val="BodyText"/>
            </w:pPr>
          </w:p>
        </w:tc>
      </w:tr>
    </w:tbl>
    <w:p w:rsidR="00221C8D" w:rsidP="000E22D6">
      <w:pPr>
        <w:pStyle w:val="BodyText"/>
      </w:pPr>
    </w:p>
    <w:p w:rsidR="00221C8D" w:rsidP="000E22D6">
      <w:pPr>
        <w:pStyle w:val="BodyText"/>
      </w:pPr>
    </w:p>
    <w:p w:rsidR="00000000" w:rsidRPr="000E22D6" w:rsidP="000E22D6">
      <w:pPr>
        <w:pStyle w:val="Heading1"/>
      </w:pPr>
      <w:bookmarkStart w:id="11" w:name="O_352262"/>
      <w:bookmarkEnd w:id="11"/>
      <w:r w:rsidRPr="000E22D6">
        <w:t>Range Statement</w:t>
      </w:r>
    </w:p>
    <w:tbl>
      <w:tblPr>
        <w:tblW w:w="9462" w:type="dxa"/>
        <w:tblLayout w:type="fixed"/>
        <w:tblCellMar>
          <w:left w:w="62" w:type="dxa"/>
          <w:right w:w="62" w:type="dxa"/>
        </w:tblCellMar>
        <w:tblLook w:val="0000"/>
      </w:tblPr>
      <w:tblGrid>
        <w:gridCol w:w="3800"/>
        <w:gridCol w:w="5662"/>
      </w:tblGrid>
      <w:tr w:rsidTr="000E22D6">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0E22D6">
            <w:pPr>
              <w:pStyle w:val="BodyText"/>
              <w:rPr>
                <w:lang w:val="en-NZ"/>
              </w:rPr>
            </w:pPr>
            <w:r w:rsidRPr="000E22D6">
              <w:t>The range statement relates to the unit of competency as a whole. It allows for different work environments and situati</w:t>
            </w:r>
            <w:r w:rsidRPr="000E22D6">
              <w:t>ons that may affect performance. Bold italicised wording, if used in the performance criteria, is detailed below. Essential operating conditions that may be present with training and assessment (depending on the work situation, needs of the candidate, acce</w:t>
            </w:r>
            <w:r w:rsidRPr="000E22D6">
              <w:t>ssibility of the item, and local industry and regional contexts) may also be included.</w:t>
            </w:r>
          </w:p>
        </w:tc>
      </w:tr>
      <w:tr w:rsidTr="000E22D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2D6">
            <w:pPr>
              <w:pStyle w:val="BodyText"/>
              <w:rPr>
                <w:lang w:val="en-NZ"/>
              </w:rPr>
            </w:pPr>
            <w:r w:rsidRPr="000E22D6">
              <w:rPr>
                <w:rStyle w:val="BoldandItalics"/>
              </w:rPr>
              <w:t>OHS requirements</w:t>
            </w:r>
            <w:r w:rsidRPr="000E22D6">
              <w:rPr>
                <w:rStyle w:val="SpecialBold"/>
              </w:rPr>
              <w:t xml:space="preserve"> </w:t>
            </w:r>
            <w:r w:rsidRPr="000E22D6">
              <w:t>are to be in accordance with:</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2D6" w:rsidP="000E22D6">
            <w:pPr>
              <w:pStyle w:val="ListBullet"/>
            </w:pPr>
            <w:r w:rsidRPr="000E22D6">
              <w:t xml:space="preserve">Commonwealth, state or territory legislation and regulations, organisational safety </w:t>
            </w:r>
            <w:r w:rsidRPr="000E22D6">
              <w:t>policies and procedures. Requirements may include, but are not limited to:</w:t>
            </w:r>
          </w:p>
          <w:p w:rsidR="00000000" w:rsidRPr="000E22D6" w:rsidP="000E22D6">
            <w:pPr>
              <w:pStyle w:val="ListBullet2"/>
            </w:pPr>
            <w:r w:rsidRPr="000E22D6">
              <w:t>the use of personal protective equipment and clothing</w:t>
            </w:r>
          </w:p>
          <w:p w:rsidR="00000000" w:rsidRPr="000E22D6" w:rsidP="000E22D6">
            <w:pPr>
              <w:pStyle w:val="ListBullet2"/>
            </w:pPr>
            <w:r w:rsidRPr="000E22D6">
              <w:t>fire fighting equipment</w:t>
            </w:r>
          </w:p>
          <w:p w:rsidR="00000000" w:rsidRPr="000E22D6" w:rsidP="000E22D6">
            <w:pPr>
              <w:pStyle w:val="ListBullet2"/>
            </w:pPr>
            <w:r w:rsidRPr="000E22D6">
              <w:t>first aid equipment</w:t>
            </w:r>
          </w:p>
          <w:p w:rsidR="00000000" w:rsidRPr="000E22D6" w:rsidP="000E22D6">
            <w:pPr>
              <w:pStyle w:val="ListBullet2"/>
            </w:pPr>
            <w:r w:rsidRPr="000E22D6">
              <w:t>hazard and risk control and elimination of hazardous materials and substances</w:t>
            </w:r>
          </w:p>
          <w:p w:rsidR="00000000" w:rsidP="000E22D6">
            <w:pPr>
              <w:pStyle w:val="ListBullet2"/>
              <w:rPr>
                <w:lang w:val="en-NZ"/>
              </w:rPr>
            </w:pPr>
            <w:r w:rsidRPr="000E22D6">
              <w:t>manual handling, including lifting and carrying</w:t>
            </w:r>
          </w:p>
        </w:tc>
      </w:tr>
      <w:tr w:rsidTr="000E22D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2D6">
            <w:pPr>
              <w:pStyle w:val="BodyText"/>
              <w:rPr>
                <w:lang w:val="en-NZ"/>
              </w:rPr>
            </w:pPr>
            <w:r w:rsidRPr="000E22D6">
              <w:rPr>
                <w:rStyle w:val="BoldandItalics"/>
              </w:rPr>
              <w:t>Legislative requirements</w:t>
            </w:r>
            <w:r w:rsidRPr="000E22D6">
              <w:rPr>
                <w:rStyle w:val="SpecialBold"/>
              </w:rPr>
              <w:t xml:space="preserve"> </w:t>
            </w:r>
            <w:r w:rsidRPr="000E22D6">
              <w:t>are to be in accordance with:</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2D6" w:rsidP="000E22D6">
            <w:pPr>
              <w:pStyle w:val="ListBullet"/>
            </w:pPr>
            <w:r w:rsidRPr="000E22D6">
              <w:t>applicable legislation from all levels of government that affect organisational operation. Requirements may include, but are not limited to:</w:t>
            </w:r>
          </w:p>
          <w:p w:rsidR="00000000" w:rsidRPr="000E22D6" w:rsidP="000E22D6">
            <w:pPr>
              <w:pStyle w:val="ListBullet2"/>
            </w:pPr>
            <w:r w:rsidRPr="000E22D6">
              <w:t>award and</w:t>
            </w:r>
            <w:r w:rsidRPr="000E22D6">
              <w:t xml:space="preserve"> enterprise agreements</w:t>
            </w:r>
          </w:p>
          <w:p w:rsidR="00000000" w:rsidRPr="000E22D6" w:rsidP="000E22D6">
            <w:pPr>
              <w:pStyle w:val="ListBullet2"/>
            </w:pPr>
            <w:r w:rsidRPr="000E22D6">
              <w:t>industrial relations</w:t>
            </w:r>
          </w:p>
          <w:p w:rsidR="00000000" w:rsidRPr="000E22D6" w:rsidP="000E22D6">
            <w:pPr>
              <w:pStyle w:val="ListBullet2"/>
            </w:pPr>
            <w:r w:rsidRPr="000E22D6">
              <w:t>Australian Standards</w:t>
            </w:r>
          </w:p>
          <w:p w:rsidR="00000000" w:rsidRPr="000E22D6" w:rsidP="000E22D6">
            <w:pPr>
              <w:pStyle w:val="ListBullet2"/>
            </w:pPr>
            <w:r w:rsidRPr="000E22D6">
              <w:t>confidentiality and privacy</w:t>
            </w:r>
          </w:p>
          <w:p w:rsidR="00000000" w:rsidRPr="000E22D6" w:rsidP="000E22D6">
            <w:pPr>
              <w:pStyle w:val="ListBullet2"/>
            </w:pPr>
            <w:r w:rsidRPr="000E22D6">
              <w:t xml:space="preserve">OHS requirements </w:t>
            </w:r>
          </w:p>
          <w:p w:rsidR="00000000" w:rsidRPr="000E22D6" w:rsidP="000E22D6">
            <w:pPr>
              <w:pStyle w:val="ListBullet2"/>
            </w:pPr>
            <w:r w:rsidRPr="000E22D6">
              <w:t>the environment</w:t>
            </w:r>
          </w:p>
          <w:p w:rsidR="00000000" w:rsidRPr="000E22D6" w:rsidP="000E22D6">
            <w:pPr>
              <w:pStyle w:val="ListBullet2"/>
            </w:pPr>
            <w:r w:rsidRPr="000E22D6">
              <w:t>equal opportunity</w:t>
            </w:r>
          </w:p>
          <w:p w:rsidR="00000000" w:rsidRPr="000E22D6" w:rsidP="000E22D6">
            <w:pPr>
              <w:pStyle w:val="ListBullet2"/>
            </w:pPr>
            <w:r w:rsidRPr="000E22D6">
              <w:t>anti-discrimination</w:t>
            </w:r>
          </w:p>
          <w:p w:rsidR="00000000" w:rsidRPr="000E22D6" w:rsidP="000E22D6">
            <w:pPr>
              <w:pStyle w:val="ListBullet2"/>
            </w:pPr>
            <w:r w:rsidRPr="000E22D6">
              <w:t>relevant industry codes of practice</w:t>
            </w:r>
          </w:p>
          <w:p w:rsidR="00000000" w:rsidP="000E22D6">
            <w:pPr>
              <w:pStyle w:val="ListBullet2"/>
              <w:rPr>
                <w:lang w:val="en-NZ"/>
              </w:rPr>
            </w:pPr>
            <w:r w:rsidRPr="000E22D6">
              <w:t>duty of care and heritage</w:t>
            </w:r>
          </w:p>
        </w:tc>
      </w:tr>
      <w:tr w:rsidTr="000E22D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2D6">
            <w:pPr>
              <w:pStyle w:val="BodyText"/>
              <w:rPr>
                <w:lang w:val="en-NZ"/>
              </w:rPr>
            </w:pPr>
            <w:r w:rsidRPr="000E22D6">
              <w:rPr>
                <w:rStyle w:val="BoldandItalics"/>
              </w:rPr>
              <w:t>Organisational requirements</w:t>
            </w:r>
            <w:r w:rsidRPr="000E22D6">
              <w:rPr>
                <w:rStyle w:val="SpecialBold"/>
              </w:rPr>
              <w:t xml:space="preserve"> </w:t>
            </w:r>
            <w:r w:rsidRPr="000E22D6">
              <w:t>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2D6" w:rsidP="000E22D6">
            <w:pPr>
              <w:pStyle w:val="ListBullet"/>
            </w:pPr>
            <w:r w:rsidRPr="000E22D6">
              <w:t>legal, organisational and site guidelines, policies and procedures relating to own role and responsibility</w:t>
            </w:r>
          </w:p>
          <w:p w:rsidR="00000000" w:rsidRPr="000E22D6" w:rsidP="000E22D6">
            <w:pPr>
              <w:pStyle w:val="ListBullet"/>
            </w:pPr>
            <w:r w:rsidRPr="000E22D6">
              <w:t>quality assurance</w:t>
            </w:r>
          </w:p>
          <w:p w:rsidR="00000000" w:rsidRPr="000E22D6" w:rsidP="000E22D6">
            <w:pPr>
              <w:pStyle w:val="ListBullet"/>
            </w:pPr>
            <w:r w:rsidRPr="000E22D6">
              <w:t>procedural manuals</w:t>
            </w:r>
          </w:p>
          <w:p w:rsidR="00000000" w:rsidRPr="000E22D6" w:rsidP="000E22D6">
            <w:pPr>
              <w:pStyle w:val="ListBullet"/>
            </w:pPr>
            <w:r w:rsidRPr="000E22D6">
              <w:t>quality and continuous improvement processes and standards,</w:t>
            </w:r>
          </w:p>
          <w:p w:rsidR="00000000" w:rsidRPr="000E22D6" w:rsidP="000E22D6">
            <w:pPr>
              <w:pStyle w:val="ListBullet"/>
            </w:pPr>
            <w:r w:rsidRPr="000E22D6">
              <w:t>OHS procedures</w:t>
            </w:r>
          </w:p>
          <w:p w:rsidR="00000000" w:rsidRPr="000E22D6" w:rsidP="000E22D6">
            <w:pPr>
              <w:pStyle w:val="ListBullet"/>
            </w:pPr>
            <w:r w:rsidRPr="000E22D6">
              <w:t>emergency and evacuation</w:t>
            </w:r>
          </w:p>
          <w:p w:rsidR="00000000" w:rsidRPr="000E22D6" w:rsidP="000E22D6">
            <w:pPr>
              <w:pStyle w:val="ListBullet"/>
            </w:pPr>
            <w:r w:rsidRPr="000E22D6">
              <w:t>ethical standards</w:t>
            </w:r>
          </w:p>
          <w:p w:rsidR="00000000" w:rsidRPr="000E22D6" w:rsidP="000E22D6">
            <w:pPr>
              <w:pStyle w:val="ListBullet"/>
            </w:pPr>
            <w:r w:rsidRPr="000E22D6">
              <w:t>recording and reporting</w:t>
            </w:r>
          </w:p>
          <w:p w:rsidR="00000000" w:rsidRPr="000E22D6" w:rsidP="000E22D6">
            <w:pPr>
              <w:pStyle w:val="ListBullet"/>
            </w:pPr>
            <w:r w:rsidRPr="000E22D6">
              <w:t>access and equity principles and practices</w:t>
            </w:r>
          </w:p>
          <w:p w:rsidR="00000000" w:rsidRPr="000E22D6" w:rsidP="000E22D6">
            <w:pPr>
              <w:pStyle w:val="ListBullet"/>
            </w:pPr>
            <w:r w:rsidRPr="000E22D6">
              <w:t>equipment use, maintenance and storage</w:t>
            </w:r>
          </w:p>
          <w:p w:rsidR="00000000" w:rsidP="000E22D6">
            <w:pPr>
              <w:pStyle w:val="ListBullet"/>
              <w:rPr>
                <w:lang w:val="en-NZ"/>
              </w:rPr>
            </w:pPr>
            <w:r w:rsidRPr="000E22D6">
              <w:t>environmental management (waste disposal, recycling and reuse guidelines)</w:t>
            </w:r>
          </w:p>
        </w:tc>
      </w:tr>
      <w:tr w:rsidTr="000E22D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2D6">
            <w:pPr>
              <w:pStyle w:val="BodyText"/>
              <w:rPr>
                <w:lang w:val="en-NZ"/>
              </w:rPr>
            </w:pPr>
            <w:r w:rsidRPr="000E22D6">
              <w:rPr>
                <w:rStyle w:val="BoldandItalics"/>
              </w:rPr>
              <w:t>Appropriate personnel</w:t>
            </w:r>
            <w:r w:rsidRPr="000E22D6">
              <w:rPr>
                <w:rStyle w:val="SpecialBold"/>
              </w:rPr>
              <w:t xml:space="preserve"> </w:t>
            </w:r>
            <w:r w:rsidRPr="000E22D6">
              <w:t>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2D6" w:rsidP="000E22D6">
            <w:pPr>
              <w:pStyle w:val="ListBullet"/>
            </w:pPr>
            <w:r w:rsidRPr="000E22D6">
              <w:t>clients</w:t>
            </w:r>
          </w:p>
          <w:p w:rsidR="00000000" w:rsidRPr="000E22D6" w:rsidP="000E22D6">
            <w:pPr>
              <w:pStyle w:val="ListBullet"/>
            </w:pPr>
            <w:r w:rsidRPr="000E22D6">
              <w:t xml:space="preserve">architects </w:t>
            </w:r>
          </w:p>
          <w:p w:rsidR="00000000" w:rsidRPr="000E22D6" w:rsidP="000E22D6">
            <w:pPr>
              <w:pStyle w:val="ListBullet"/>
            </w:pPr>
            <w:r w:rsidRPr="000E22D6">
              <w:t xml:space="preserve">engineers </w:t>
            </w:r>
          </w:p>
          <w:p w:rsidR="00000000" w:rsidRPr="000E22D6" w:rsidP="000E22D6">
            <w:pPr>
              <w:pStyle w:val="ListBullet"/>
            </w:pPr>
            <w:r w:rsidRPr="000E22D6">
              <w:t xml:space="preserve">construction supervisors </w:t>
            </w:r>
          </w:p>
          <w:p w:rsidR="00000000" w:rsidRPr="000E22D6" w:rsidP="000E22D6">
            <w:pPr>
              <w:pStyle w:val="ListBullet"/>
            </w:pPr>
            <w:r w:rsidRPr="000E22D6">
              <w:t xml:space="preserve">members of heritage committees </w:t>
            </w:r>
          </w:p>
          <w:p w:rsidR="00000000" w:rsidRPr="000E22D6" w:rsidP="000E22D6">
            <w:pPr>
              <w:pStyle w:val="ListBullet"/>
            </w:pPr>
            <w:r w:rsidRPr="000E22D6">
              <w:t xml:space="preserve">government agencies </w:t>
            </w:r>
          </w:p>
          <w:p w:rsidR="00000000" w:rsidP="000E22D6">
            <w:pPr>
              <w:pStyle w:val="ListBullet"/>
              <w:rPr>
                <w:lang w:val="en-NZ"/>
              </w:rPr>
            </w:pPr>
            <w:r w:rsidRPr="000E22D6">
              <w:t xml:space="preserve">other specialist artisans, such as stonemasons, where appropriate </w:t>
            </w:r>
          </w:p>
        </w:tc>
      </w:tr>
      <w:tr w:rsidTr="000E22D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2D6">
            <w:pPr>
              <w:pStyle w:val="BodyText"/>
              <w:rPr>
                <w:lang w:val="en-NZ"/>
              </w:rPr>
            </w:pPr>
            <w:r w:rsidRPr="000E22D6">
              <w:rPr>
                <w:rStyle w:val="BoldandItalics"/>
              </w:rPr>
              <w:t>Assessment outcomes</w:t>
            </w:r>
            <w:r w:rsidRPr="000E22D6">
              <w:rPr>
                <w:rStyle w:val="SpecialBold"/>
              </w:rPr>
              <w:t xml:space="preserve"> </w:t>
            </w:r>
            <w:r w:rsidRPr="000E22D6">
              <w:t>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2D6" w:rsidP="000E22D6">
            <w:pPr>
              <w:pStyle w:val="ListBullet"/>
            </w:pPr>
            <w:r w:rsidRPr="000E22D6">
              <w:t xml:space="preserve">the requirement to conserve the leadlight or stained glass panels </w:t>
            </w:r>
          </w:p>
          <w:p w:rsidR="00000000" w:rsidRPr="000E22D6" w:rsidP="000E22D6">
            <w:pPr>
              <w:pStyle w:val="ListBullet"/>
            </w:pPr>
            <w:r w:rsidRPr="000E22D6">
              <w:t xml:space="preserve">the cost of conservation </w:t>
            </w:r>
          </w:p>
          <w:p w:rsidR="00000000" w:rsidP="000E22D6">
            <w:pPr>
              <w:pStyle w:val="ListBullet"/>
              <w:rPr>
                <w:lang w:val="en-NZ"/>
              </w:rPr>
            </w:pPr>
            <w:r w:rsidRPr="000E22D6">
              <w:t xml:space="preserve">recommendations on future tasks </w:t>
            </w:r>
          </w:p>
        </w:tc>
      </w:tr>
      <w:tr w:rsidTr="000E22D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2D6">
            <w:pPr>
              <w:pStyle w:val="BodyText"/>
              <w:rPr>
                <w:lang w:val="en-NZ"/>
              </w:rPr>
            </w:pPr>
            <w:r w:rsidRPr="000E22D6">
              <w:rPr>
                <w:rStyle w:val="BoldandItalics"/>
              </w:rPr>
              <w:t>Tools and equipment</w:t>
            </w:r>
            <w:r w:rsidRPr="000E22D6">
              <w:rPr>
                <w:rStyle w:val="SpecialBold"/>
              </w:rPr>
              <w:t xml:space="preserve"> </w:t>
            </w:r>
            <w:r w:rsidRPr="000E22D6">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2D6" w:rsidP="000E22D6">
            <w:pPr>
              <w:pStyle w:val="ListBullet"/>
            </w:pPr>
            <w:r w:rsidRPr="000E22D6">
              <w:t xml:space="preserve">work benches </w:t>
            </w:r>
          </w:p>
          <w:p w:rsidR="00000000" w:rsidRPr="000E22D6" w:rsidP="000E22D6">
            <w:pPr>
              <w:pStyle w:val="ListBullet"/>
            </w:pPr>
            <w:r w:rsidRPr="000E22D6">
              <w:t xml:space="preserve">ladders and scaffolding </w:t>
            </w:r>
          </w:p>
          <w:p w:rsidR="00000000" w:rsidRPr="000E22D6" w:rsidP="000E22D6">
            <w:pPr>
              <w:pStyle w:val="ListBullet"/>
            </w:pPr>
            <w:r w:rsidRPr="000E22D6">
              <w:t xml:space="preserve">cameras </w:t>
            </w:r>
          </w:p>
          <w:p w:rsidR="00000000" w:rsidRPr="000E22D6" w:rsidP="000E22D6">
            <w:pPr>
              <w:pStyle w:val="ListBullet"/>
            </w:pPr>
            <w:r w:rsidRPr="000E22D6">
              <w:t>magnifyin</w:t>
            </w:r>
            <w:r w:rsidRPr="000E22D6">
              <w:t>g glasses</w:t>
            </w:r>
          </w:p>
          <w:p w:rsidR="00000000" w:rsidRPr="000E22D6" w:rsidP="000E22D6">
            <w:pPr>
              <w:pStyle w:val="ListBullet"/>
            </w:pPr>
            <w:r w:rsidRPr="000E22D6">
              <w:t xml:space="preserve">lights </w:t>
            </w:r>
          </w:p>
          <w:p w:rsidR="00000000" w:rsidP="000E22D6">
            <w:pPr>
              <w:pStyle w:val="ListBullet"/>
              <w:rPr>
                <w:lang w:val="en-NZ"/>
              </w:rPr>
            </w:pPr>
            <w:r w:rsidRPr="000E22D6">
              <w:t>general hand tools</w:t>
            </w:r>
          </w:p>
        </w:tc>
      </w:tr>
      <w:tr w:rsidTr="000E22D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2D6">
            <w:pPr>
              <w:pStyle w:val="BodyText"/>
              <w:rPr>
                <w:lang w:val="en-NZ"/>
              </w:rPr>
            </w:pPr>
            <w:r w:rsidRPr="000E22D6">
              <w:rPr>
                <w:rStyle w:val="BoldandItalics"/>
              </w:rPr>
              <w:t>Plans and other documents</w:t>
            </w:r>
            <w:r w:rsidRPr="000E22D6">
              <w:rPr>
                <w:rStyle w:val="SpecialBold"/>
              </w:rPr>
              <w:t xml:space="preserve"> </w:t>
            </w:r>
            <w:r w:rsidRPr="000E22D6">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2D6" w:rsidP="000E22D6">
            <w:pPr>
              <w:pStyle w:val="ListBullet"/>
            </w:pPr>
            <w:r w:rsidRPr="000E22D6">
              <w:t>original architectural plans</w:t>
            </w:r>
          </w:p>
          <w:p w:rsidR="00000000" w:rsidRPr="000E22D6" w:rsidP="000E22D6">
            <w:pPr>
              <w:pStyle w:val="ListBullet"/>
            </w:pPr>
            <w:r w:rsidRPr="000E22D6">
              <w:t>original drawings, cartoons and cut lines for glass panel</w:t>
            </w:r>
          </w:p>
          <w:p w:rsidR="00000000" w:rsidRPr="000E22D6" w:rsidP="000E22D6">
            <w:pPr>
              <w:pStyle w:val="ListBullet"/>
            </w:pPr>
            <w:r w:rsidRPr="000E22D6">
              <w:t xml:space="preserve">historical documentation and photographs </w:t>
            </w:r>
          </w:p>
          <w:p w:rsidR="00000000" w:rsidRPr="000E22D6" w:rsidP="000E22D6">
            <w:pPr>
              <w:pStyle w:val="ListBullet"/>
            </w:pPr>
            <w:r w:rsidRPr="000E22D6">
              <w:t xml:space="preserve">charcoal rubbings </w:t>
            </w:r>
          </w:p>
          <w:p w:rsidR="00000000" w:rsidP="000E22D6">
            <w:pPr>
              <w:pStyle w:val="ListBullet"/>
              <w:rPr>
                <w:lang w:val="en-NZ"/>
              </w:rPr>
            </w:pPr>
            <w:r w:rsidRPr="000E22D6">
              <w:t>sketches</w:t>
            </w:r>
          </w:p>
        </w:tc>
      </w:tr>
      <w:tr w:rsidTr="000E22D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2D6">
            <w:pPr>
              <w:pStyle w:val="BodyText"/>
              <w:rPr>
                <w:lang w:val="en-NZ"/>
              </w:rPr>
            </w:pPr>
            <w:r w:rsidRPr="000E22D6">
              <w:rPr>
                <w:rStyle w:val="BoldandItalics"/>
              </w:rPr>
              <w:t>Glass faults</w:t>
            </w:r>
            <w:r w:rsidRPr="000E22D6">
              <w:t xml:space="preserve"> 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2D6" w:rsidP="000E22D6">
            <w:pPr>
              <w:pStyle w:val="ListBullet"/>
            </w:pPr>
            <w:r w:rsidRPr="000E22D6">
              <w:t xml:space="preserve">cracking </w:t>
            </w:r>
          </w:p>
          <w:p w:rsidR="00000000" w:rsidRPr="000E22D6" w:rsidP="000E22D6">
            <w:pPr>
              <w:pStyle w:val="ListBullet"/>
            </w:pPr>
            <w:r w:rsidRPr="000E22D6">
              <w:t xml:space="preserve">crazing and missing sections </w:t>
            </w:r>
          </w:p>
          <w:p w:rsidR="00000000" w:rsidRPr="000E22D6" w:rsidP="000E22D6">
            <w:pPr>
              <w:pStyle w:val="ListBullet"/>
            </w:pPr>
            <w:r w:rsidRPr="000E22D6">
              <w:t xml:space="preserve">deterioration of glass paint </w:t>
            </w:r>
          </w:p>
          <w:p w:rsidR="00000000" w:rsidRPr="000E22D6" w:rsidP="000E22D6">
            <w:pPr>
              <w:pStyle w:val="ListBullet"/>
            </w:pPr>
            <w:r w:rsidRPr="000E22D6">
              <w:t xml:space="preserve">loose or flaking paint </w:t>
            </w:r>
          </w:p>
          <w:p w:rsidR="00000000" w:rsidP="000E22D6">
            <w:pPr>
              <w:pStyle w:val="ListBullet"/>
              <w:rPr>
                <w:lang w:val="en-NZ"/>
              </w:rPr>
            </w:pPr>
            <w:r w:rsidRPr="000E22D6">
              <w:t>corroding glass through water or chemical action</w:t>
            </w:r>
          </w:p>
        </w:tc>
      </w:tr>
      <w:tr w:rsidTr="000E22D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2D6">
            <w:pPr>
              <w:pStyle w:val="BodyText"/>
              <w:rPr>
                <w:lang w:val="en-NZ"/>
              </w:rPr>
            </w:pPr>
            <w:r w:rsidRPr="000E22D6">
              <w:rPr>
                <w:rStyle w:val="BoldandItalics"/>
              </w:rPr>
              <w:t>Structural faults</w:t>
            </w:r>
            <w:r w:rsidRPr="000E22D6">
              <w:rPr>
                <w:rStyle w:val="SpecialBold"/>
              </w:rPr>
              <w:t xml:space="preserve"> </w:t>
            </w:r>
            <w:r w:rsidRPr="000E22D6">
              <w:t>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2D6" w:rsidP="000E22D6">
            <w:pPr>
              <w:pStyle w:val="ListBullet"/>
            </w:pPr>
            <w:r w:rsidRPr="000E22D6">
              <w:t xml:space="preserve">oxidation and rusting supports </w:t>
            </w:r>
          </w:p>
          <w:p w:rsidR="00000000" w:rsidRPr="000E22D6" w:rsidP="000E22D6">
            <w:pPr>
              <w:pStyle w:val="ListBullet"/>
            </w:pPr>
            <w:r w:rsidRPr="000E22D6">
              <w:t xml:space="preserve">panel frame deterioration </w:t>
            </w:r>
          </w:p>
          <w:p w:rsidR="00000000" w:rsidRPr="000E22D6" w:rsidP="000E22D6">
            <w:pPr>
              <w:pStyle w:val="ListBullet"/>
            </w:pPr>
            <w:r w:rsidRPr="000E22D6">
              <w:t xml:space="preserve">buckled and bowing panels </w:t>
            </w:r>
          </w:p>
          <w:p w:rsidR="00000000" w:rsidRPr="000E22D6" w:rsidP="000E22D6">
            <w:pPr>
              <w:pStyle w:val="ListBullet"/>
            </w:pPr>
            <w:r w:rsidRPr="000E22D6">
              <w:t xml:space="preserve">cracked cames and defective putty </w:t>
            </w:r>
          </w:p>
          <w:p w:rsidR="00000000" w:rsidRPr="000E22D6" w:rsidP="000E22D6">
            <w:pPr>
              <w:pStyle w:val="ListBullet"/>
            </w:pPr>
            <w:r w:rsidRPr="000E22D6">
              <w:t xml:space="preserve">faulty frames or frame settings </w:t>
            </w:r>
          </w:p>
          <w:p w:rsidR="00000000" w:rsidP="000E22D6">
            <w:pPr>
              <w:pStyle w:val="ListBullet"/>
              <w:rPr>
                <w:lang w:val="en-NZ"/>
              </w:rPr>
            </w:pPr>
            <w:r w:rsidRPr="000E22D6">
              <w:t>broken tie wires and support bars</w:t>
            </w:r>
          </w:p>
        </w:tc>
      </w:tr>
      <w:tr w:rsidTr="000E22D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2D6">
            <w:pPr>
              <w:pStyle w:val="BodyText"/>
              <w:rPr>
                <w:lang w:val="en-NZ"/>
              </w:rPr>
            </w:pPr>
            <w:r w:rsidRPr="000E22D6">
              <w:rPr>
                <w:rStyle w:val="BoldandItalics"/>
              </w:rPr>
              <w:t>Environmental effects</w:t>
            </w:r>
            <w:r w:rsidRPr="000E22D6">
              <w:rPr>
                <w:rStyle w:val="SpecialBold"/>
              </w:rPr>
              <w:t xml:space="preserve"> </w:t>
            </w:r>
            <w:r w:rsidRPr="000E22D6">
              <w:t>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2D6" w:rsidP="000E22D6">
            <w:pPr>
              <w:pStyle w:val="ListBullet"/>
            </w:pPr>
            <w:r w:rsidRPr="000E22D6">
              <w:t xml:space="preserve">colour </w:t>
            </w:r>
            <w:r w:rsidRPr="000E22D6">
              <w:t xml:space="preserve">changes </w:t>
            </w:r>
          </w:p>
          <w:p w:rsidR="00000000" w:rsidRPr="000E22D6" w:rsidP="000E22D6">
            <w:pPr>
              <w:pStyle w:val="ListBullet"/>
            </w:pPr>
            <w:r w:rsidRPr="000E22D6">
              <w:t xml:space="preserve">surface etching </w:t>
            </w:r>
          </w:p>
          <w:p w:rsidR="00000000" w:rsidP="000E22D6">
            <w:pPr>
              <w:pStyle w:val="ListBullet"/>
              <w:rPr>
                <w:lang w:val="en-NZ"/>
              </w:rPr>
            </w:pPr>
            <w:r w:rsidRPr="000E22D6">
              <w:t>lead oxidation</w:t>
            </w:r>
          </w:p>
        </w:tc>
      </w:tr>
      <w:tr w:rsidTr="000E22D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2D6">
            <w:pPr>
              <w:pStyle w:val="BodyText"/>
              <w:rPr>
                <w:lang w:val="en-NZ"/>
              </w:rPr>
            </w:pPr>
            <w:r w:rsidRPr="000E22D6">
              <w:rPr>
                <w:rStyle w:val="BoldandItalics"/>
              </w:rPr>
              <w:t>Other problems</w:t>
            </w:r>
            <w:r w:rsidRPr="000E22D6">
              <w:rPr>
                <w:rStyle w:val="SpecialBold"/>
              </w:rPr>
              <w:t xml:space="preserve"> </w:t>
            </w:r>
            <w:r w:rsidRPr="000E22D6">
              <w:t>may include aspects such as: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2D6">
            <w:pPr>
              <w:pStyle w:val="ListBullet"/>
              <w:rPr>
                <w:lang w:val="en-NZ"/>
              </w:rPr>
            </w:pPr>
            <w:r w:rsidRPr="000E22D6">
              <w:t>building, wall and roof problems requiring specific remedial action, not directly related to the panel</w:t>
            </w:r>
          </w:p>
        </w:tc>
      </w:tr>
      <w:tr w:rsidTr="000E22D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2D6">
            <w:pPr>
              <w:pStyle w:val="BodyText"/>
              <w:rPr>
                <w:lang w:val="en-NZ"/>
              </w:rPr>
            </w:pPr>
            <w:r w:rsidRPr="000E22D6">
              <w:rPr>
                <w:rStyle w:val="BoldandItalics"/>
              </w:rPr>
              <w:t>Conservation requirements</w:t>
            </w:r>
            <w:r w:rsidRPr="000E22D6">
              <w:rPr>
                <w:rStyle w:val="SpecialBold"/>
              </w:rPr>
              <w:t xml:space="preserve"> </w:t>
            </w:r>
            <w:r w:rsidRPr="000E22D6">
              <w:t>are as defined in: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2D6" w:rsidP="000E22D6">
            <w:pPr>
              <w:pStyle w:val="ListBullet"/>
            </w:pPr>
            <w:r w:rsidRPr="000E22D6">
              <w:t>the Australia ICOMOS Burra Charter as meaning all of the processes of looking after a place needed to retain cultural significance. It includes maintenance and may include:</w:t>
            </w:r>
          </w:p>
          <w:p w:rsidR="00000000" w:rsidRPr="000E22D6" w:rsidP="000E22D6">
            <w:pPr>
              <w:pStyle w:val="ListBullet2"/>
            </w:pPr>
            <w:r w:rsidRPr="000E22D6">
              <w:t>preservation, restoration, reconstruction and adaptation dependent upon specific c</w:t>
            </w:r>
            <w:r w:rsidRPr="000E22D6">
              <w:t>ircumstances (It commonly involves a combination of more than one of these). It also requires that the stained glass conservator respects and understands the requirements of other specialist crafts and the role of other specialist artisans</w:t>
            </w:r>
          </w:p>
          <w:p w:rsidR="00000000" w:rsidRPr="000E22D6" w:rsidP="000E22D6">
            <w:pPr>
              <w:pStyle w:val="ListBullet"/>
            </w:pPr>
            <w:r w:rsidRPr="000E22D6">
              <w:t>preservation is</w:t>
            </w:r>
            <w:r w:rsidRPr="000E22D6">
              <w:t xml:space="preserve"> the process of maintaining the leadlight and stained glass panel in its existing state and of retarding deterioration</w:t>
            </w:r>
          </w:p>
          <w:p w:rsidR="00000000" w:rsidRPr="000E22D6" w:rsidP="000E22D6">
            <w:pPr>
              <w:pStyle w:val="ListBullet"/>
            </w:pPr>
            <w:r w:rsidRPr="000E22D6">
              <w:t>restoration means returning the leadlight and stained glass panel to a known earlier state by removing accretions or by reassembling existing components without the introduction of new material</w:t>
            </w:r>
          </w:p>
          <w:p w:rsidR="00000000" w:rsidP="000E22D6">
            <w:pPr>
              <w:pStyle w:val="ListBullet"/>
              <w:rPr>
                <w:lang w:val="en-NZ"/>
              </w:rPr>
            </w:pPr>
            <w:r w:rsidRPr="000E22D6">
              <w:t>reconstruction means returning the leadlight and stained glass</w:t>
            </w:r>
            <w:r w:rsidRPr="000E22D6">
              <w:t xml:space="preserve"> panel to a known earlier state and is distinguished by the introduction of new materials</w:t>
            </w:r>
          </w:p>
        </w:tc>
      </w:tr>
      <w:tr w:rsidTr="000E22D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2D6">
            <w:pPr>
              <w:pStyle w:val="BodyText"/>
              <w:rPr>
                <w:lang w:val="en-NZ"/>
              </w:rPr>
            </w:pPr>
            <w:r w:rsidRPr="000E22D6">
              <w:rPr>
                <w:rStyle w:val="BoldandItalics"/>
              </w:rPr>
              <w:t>Condition report</w:t>
            </w:r>
            <w:r w:rsidRPr="000E22D6">
              <w:rPr>
                <w:rStyle w:val="SpecialBold"/>
              </w:rPr>
              <w:t xml:space="preserve"> </w:t>
            </w:r>
            <w:r w:rsidRPr="000E22D6">
              <w:t>would be in a format required by: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2D6" w:rsidP="000E22D6">
            <w:pPr>
              <w:pStyle w:val="ListBullet"/>
            </w:pPr>
            <w:r w:rsidRPr="000E22D6">
              <w:t xml:space="preserve">the client and may include such aspects as: </w:t>
            </w:r>
          </w:p>
          <w:p w:rsidR="00000000" w:rsidRPr="000E22D6" w:rsidP="000E22D6">
            <w:pPr>
              <w:pStyle w:val="ListBullet2"/>
            </w:pPr>
            <w:r w:rsidRPr="000E22D6">
              <w:t xml:space="preserve">the extent of the problems </w:t>
            </w:r>
          </w:p>
          <w:p w:rsidR="00000000" w:rsidRPr="000E22D6" w:rsidP="000E22D6">
            <w:pPr>
              <w:pStyle w:val="ListBullet2"/>
            </w:pPr>
            <w:r w:rsidRPr="000E22D6">
              <w:t>recommended solutions, including method</w:t>
            </w:r>
            <w:r w:rsidRPr="000E22D6">
              <w:t>ologies</w:t>
            </w:r>
          </w:p>
          <w:p w:rsidR="00000000" w:rsidRPr="000E22D6" w:rsidP="000E22D6">
            <w:pPr>
              <w:pStyle w:val="ListBullet2"/>
            </w:pPr>
            <w:r w:rsidRPr="000E22D6">
              <w:t>photographic evidence of current condition and location</w:t>
            </w:r>
          </w:p>
          <w:p w:rsidR="00000000" w:rsidRPr="000E22D6" w:rsidP="000E22D6">
            <w:pPr>
              <w:pStyle w:val="ListBullet2"/>
            </w:pPr>
            <w:r w:rsidRPr="000E22D6">
              <w:t xml:space="preserve">legislative requirements related to heritage leadlight and stained glass and their affects on the recommendations and probable costings </w:t>
            </w:r>
          </w:p>
        </w:tc>
      </w:tr>
    </w:tbl>
    <w:p w:rsidR="00221C8D" w:rsidP="000E22D6">
      <w:pPr>
        <w:pStyle w:val="ListBullet"/>
      </w:pPr>
    </w:p>
    <w:p w:rsidR="00221C8D" w:rsidP="000E22D6">
      <w:pPr>
        <w:pStyle w:val="ListBullet"/>
      </w:pPr>
    </w:p>
    <w:p w:rsidR="00000000" w:rsidRPr="000E22D6" w:rsidP="000E22D6">
      <w:pPr>
        <w:pStyle w:val="Heading1"/>
      </w:pPr>
      <w:bookmarkStart w:id="12" w:name="O_352263"/>
      <w:bookmarkEnd w:id="12"/>
      <w:r w:rsidRPr="000E22D6">
        <w:t>Unit Sector(s)</w:t>
      </w:r>
    </w:p>
    <w:p w:rsidR="00000000" w:rsidRPr="000E22D6" w:rsidP="000E22D6">
      <w:pPr>
        <w:pStyle w:val="BodyText"/>
      </w:pPr>
      <w:r w:rsidRPr="000E22D6">
        <w:t>Leadlight and stained glass</w:t>
      </w:r>
    </w:p>
    <w:p w:rsidR="00000000" w:rsidRPr="000E22D6" w:rsidP="000E22D6">
      <w:pPr>
        <w:pStyle w:val="AllowPageBreak"/>
      </w:pPr>
    </w:p>
    <w:p w:rsidR="00000000" w:rsidRPr="000E22D6" w:rsidP="000E22D6">
      <w:pPr>
        <w:pStyle w:val="Heading1"/>
      </w:pPr>
      <w:bookmarkStart w:id="13" w:name="O_352264"/>
      <w:bookmarkEnd w:id="13"/>
      <w:r w:rsidRPr="000E22D6">
        <w:t>Custom Content Section</w:t>
      </w:r>
    </w:p>
    <w:p w:rsidR="00000000" w:rsidRPr="000E22D6" w:rsidP="000E22D6">
      <w:pPr>
        <w:pStyle w:val="BodyText"/>
      </w:pPr>
      <w:r w:rsidRPr="000E22D6">
        <w:t>Not applicable.</w:t>
      </w:r>
    </w:p>
    <w:p w:rsidR="00000000" w:rsidRPr="000E22D6" w:rsidP="000E22D6"/>
    <w:sectPr w:rsidSect="000E22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2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1C8D" w:rsidP="00221C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2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C8D" w:rsidP="000E22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21C8D" w:rsidP="000E22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21C8D" w:rsidP="000E22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2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1C8D" w:rsidP="00221C8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2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C8D" w:rsidP="000E22D6">
    <w:pPr>
      <w:pStyle w:val="Header"/>
      <w:framePr w:wrap="around"/>
    </w:pPr>
    <w:r>
      <w:fldChar w:fldCharType="begin"/>
    </w:r>
    <w:r>
      <w:instrText xml:space="preserve"> TITLE   \* MERGEFORMAT </w:instrText>
    </w:r>
    <w:r>
      <w:fldChar w:fldCharType="separate"/>
    </w:r>
    <w:r>
      <w:t>LMFSL5001B Assess conservation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21C8D" w:rsidP="000E22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541E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1CD8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6431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2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22D6"/>
    <w:pPr>
      <w:spacing w:before="360" w:after="60"/>
      <w:outlineLvl w:val="0"/>
    </w:pPr>
    <w:rPr>
      <w:sz w:val="32"/>
    </w:rPr>
  </w:style>
  <w:style w:type="paragraph" w:styleId="Heading2">
    <w:name w:val="heading 2"/>
    <w:basedOn w:val="HeadingBase"/>
    <w:next w:val="BodyText"/>
    <w:link w:val="Heading2Char"/>
    <w:qFormat/>
    <w:rsid w:val="000E22D6"/>
    <w:pPr>
      <w:keepLines/>
      <w:spacing w:before="240" w:after="120"/>
      <w:outlineLvl w:val="1"/>
    </w:pPr>
    <w:rPr>
      <w:sz w:val="28"/>
      <w:szCs w:val="40"/>
    </w:rPr>
  </w:style>
  <w:style w:type="paragraph" w:styleId="Heading3">
    <w:name w:val="heading 3"/>
    <w:basedOn w:val="HeadingBase"/>
    <w:next w:val="BodyText"/>
    <w:link w:val="Heading3Char"/>
    <w:qFormat/>
    <w:rsid w:val="000E22D6"/>
    <w:pPr>
      <w:spacing w:before="180" w:after="120"/>
      <w:outlineLvl w:val="2"/>
    </w:pPr>
    <w:rPr>
      <w:spacing w:val="-10"/>
      <w:kern w:val="32"/>
    </w:rPr>
  </w:style>
  <w:style w:type="paragraph" w:styleId="Heading4">
    <w:name w:val="heading 4"/>
    <w:basedOn w:val="HeadingBase"/>
    <w:next w:val="BodyText"/>
    <w:link w:val="Heading4Char"/>
    <w:qFormat/>
    <w:rsid w:val="000E22D6"/>
    <w:pPr>
      <w:spacing w:before="160" w:after="120"/>
      <w:outlineLvl w:val="3"/>
    </w:pPr>
    <w:rPr>
      <w:sz w:val="22"/>
    </w:rPr>
  </w:style>
  <w:style w:type="paragraph" w:styleId="Heading5">
    <w:name w:val="heading 5"/>
    <w:basedOn w:val="HeadingBase"/>
    <w:next w:val="Normal"/>
    <w:link w:val="Heading5Char"/>
    <w:qFormat/>
    <w:rsid w:val="000E22D6"/>
    <w:pPr>
      <w:spacing w:before="80"/>
      <w:outlineLvl w:val="4"/>
    </w:pPr>
    <w:rPr>
      <w:color w:val="918585"/>
      <w:sz w:val="20"/>
    </w:rPr>
  </w:style>
  <w:style w:type="paragraph" w:styleId="Heading6">
    <w:name w:val="heading 6"/>
    <w:basedOn w:val="HeadingBase"/>
    <w:next w:val="Normal"/>
    <w:link w:val="Heading6Char"/>
    <w:qFormat/>
    <w:rsid w:val="000E22D6"/>
    <w:pPr>
      <w:spacing w:before="60"/>
      <w:outlineLvl w:val="5"/>
    </w:pPr>
    <w:rPr>
      <w:color w:val="918585"/>
      <w:sz w:val="20"/>
    </w:rPr>
  </w:style>
  <w:style w:type="paragraph" w:styleId="Heading7">
    <w:name w:val="heading 7"/>
    <w:basedOn w:val="Normal"/>
    <w:next w:val="Normal"/>
    <w:link w:val="Heading7Char"/>
    <w:qFormat/>
    <w:rsid w:val="000E22D6"/>
    <w:pPr>
      <w:ind w:left="720"/>
      <w:outlineLvl w:val="6"/>
    </w:pPr>
    <w:rPr>
      <w:i/>
    </w:rPr>
  </w:style>
  <w:style w:type="paragraph" w:styleId="Heading8">
    <w:name w:val="heading 8"/>
    <w:basedOn w:val="Normal"/>
    <w:next w:val="Normal"/>
    <w:link w:val="Heading8Char"/>
    <w:qFormat/>
    <w:rsid w:val="000E22D6"/>
    <w:pPr>
      <w:ind w:left="720"/>
      <w:outlineLvl w:val="7"/>
    </w:pPr>
    <w:rPr>
      <w:i/>
    </w:rPr>
  </w:style>
  <w:style w:type="paragraph" w:styleId="Heading9">
    <w:name w:val="heading 9"/>
    <w:basedOn w:val="Normal"/>
    <w:next w:val="Normal"/>
    <w:link w:val="Heading9Char"/>
    <w:qFormat/>
    <w:rsid w:val="000E22D6"/>
    <w:pPr>
      <w:ind w:left="720"/>
      <w:outlineLvl w:val="8"/>
    </w:pPr>
    <w:rPr>
      <w:i/>
    </w:rPr>
  </w:style>
  <w:style w:type="character" w:default="1" w:styleId="DefaultParagraphFont">
    <w:name w:val="Default Paragraph Font"/>
    <w:uiPriority w:val="1"/>
    <w:unhideWhenUsed/>
    <w:rsid w:val="000E22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22D6"/>
  </w:style>
  <w:style w:type="character" w:customStyle="1" w:styleId="Heading1Char">
    <w:name w:val="Heading 1 Char"/>
    <w:link w:val="Heading1"/>
    <w:rsid w:val="000E22D6"/>
    <w:rPr>
      <w:rFonts w:ascii="Times New Roman" w:eastAsia="Times New Roman" w:hAnsi="Times New Roman" w:cs="Times New Roman"/>
      <w:b/>
      <w:sz w:val="32"/>
      <w:szCs w:val="20"/>
      <w:lang w:eastAsia="en-US"/>
    </w:rPr>
  </w:style>
  <w:style w:type="paragraph" w:styleId="BodyText">
    <w:name w:val="Body Text"/>
    <w:basedOn w:val="Normal"/>
    <w:link w:val="BodyTextChar"/>
    <w:rsid w:val="000E22D6"/>
    <w:pPr>
      <w:spacing w:before="120" w:after="120"/>
      <w:contextualSpacing/>
    </w:pPr>
    <w:rPr>
      <w:rFonts w:ascii="Times New Roman" w:hAnsi="Times New Roman"/>
      <w:sz w:val="24"/>
      <w:szCs w:val="22"/>
    </w:rPr>
  </w:style>
  <w:style w:type="character" w:customStyle="1" w:styleId="BodyTextChar">
    <w:name w:val="Body Text Char"/>
    <w:link w:val="BodyText"/>
    <w:rsid w:val="000E22D6"/>
    <w:rPr>
      <w:rFonts w:ascii="Times New Roman" w:eastAsia="Times New Roman" w:hAnsi="Times New Roman" w:cs="Times New Roman"/>
      <w:sz w:val="24"/>
      <w:lang w:val="en-US" w:eastAsia="en-US"/>
    </w:rPr>
  </w:style>
  <w:style w:type="paragraph" w:styleId="Footer">
    <w:name w:val="footer"/>
    <w:basedOn w:val="Normal"/>
    <w:link w:val="FooterChar"/>
    <w:rsid w:val="000E22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E22D6"/>
    <w:rPr>
      <w:rFonts w:ascii="Times New Roman" w:eastAsia="Times New Roman" w:hAnsi="Times New Roman" w:cs="Times New Roman"/>
      <w:sz w:val="16"/>
      <w:lang w:val="en-US" w:eastAsia="en-US"/>
    </w:rPr>
  </w:style>
  <w:style w:type="paragraph" w:styleId="ListBullet">
    <w:name w:val="List Bullet"/>
    <w:basedOn w:val="List"/>
    <w:rsid w:val="000E22D6"/>
    <w:pPr>
      <w:numPr>
        <w:numId w:val="13"/>
      </w:numPr>
      <w:tabs>
        <w:tab w:val="clear" w:pos="340"/>
      </w:tabs>
      <w:spacing w:before="40" w:after="40"/>
    </w:pPr>
  </w:style>
  <w:style w:type="character" w:customStyle="1" w:styleId="SpecialBold">
    <w:name w:val="Special Bold"/>
    <w:rsid w:val="000E22D6"/>
    <w:rPr>
      <w:b/>
      <w:spacing w:val="0"/>
    </w:rPr>
  </w:style>
  <w:style w:type="paragraph" w:styleId="ListBullet2">
    <w:name w:val="List Bullet 2"/>
    <w:basedOn w:val="List2"/>
    <w:rsid w:val="000E22D6"/>
    <w:pPr>
      <w:numPr>
        <w:numId w:val="14"/>
      </w:numPr>
      <w:tabs>
        <w:tab w:val="clear" w:pos="680"/>
      </w:tabs>
    </w:pPr>
  </w:style>
  <w:style w:type="paragraph" w:styleId="Header">
    <w:name w:val="header"/>
    <w:basedOn w:val="Normal"/>
    <w:link w:val="HeaderChar"/>
    <w:rsid w:val="000E22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E22D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E22D6"/>
    <w:pPr>
      <w:spacing w:before="240" w:after="120"/>
      <w:outlineLvl w:val="0"/>
    </w:pPr>
    <w:rPr>
      <w:rFonts w:ascii="Times New Roman" w:hAnsi="Times New Roman"/>
      <w:b/>
      <w:sz w:val="28"/>
    </w:rPr>
  </w:style>
  <w:style w:type="paragraph" w:customStyle="1" w:styleId="AllowPageBreak">
    <w:name w:val="AllowPageBreak"/>
    <w:rsid w:val="000E22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E22D6"/>
    <w:rPr>
      <w:b/>
      <w:i/>
      <w:u w:val="none"/>
    </w:rPr>
  </w:style>
  <w:style w:type="character" w:customStyle="1" w:styleId="Heading2Char">
    <w:name w:val="Heading 2 Char"/>
    <w:link w:val="Heading2"/>
    <w:rsid w:val="000E22D6"/>
    <w:rPr>
      <w:rFonts w:ascii="Times New Roman" w:eastAsia="Times New Roman" w:hAnsi="Times New Roman" w:cs="Times New Roman"/>
      <w:b/>
      <w:sz w:val="28"/>
      <w:szCs w:val="40"/>
      <w:lang w:eastAsia="en-US"/>
    </w:rPr>
  </w:style>
  <w:style w:type="character" w:customStyle="1" w:styleId="Heading3Char">
    <w:name w:val="Heading 3 Char"/>
    <w:link w:val="Heading3"/>
    <w:rsid w:val="000E22D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E22D6"/>
    <w:rPr>
      <w:rFonts w:ascii="Times New Roman" w:eastAsia="Times New Roman" w:hAnsi="Times New Roman" w:cs="Times New Roman"/>
      <w:b/>
      <w:szCs w:val="20"/>
      <w:lang w:eastAsia="en-US"/>
    </w:rPr>
  </w:style>
  <w:style w:type="character" w:customStyle="1" w:styleId="Heading5Char">
    <w:name w:val="Heading 5 Char"/>
    <w:link w:val="Heading5"/>
    <w:rsid w:val="000E22D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E22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22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22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22D6"/>
    <w:rPr>
      <w:rFonts w:ascii="Courier New" w:eastAsia="Times New Roman" w:hAnsi="Courier New" w:cs="Times New Roman"/>
      <w:i/>
      <w:szCs w:val="20"/>
      <w:lang w:val="en-US" w:eastAsia="en-US"/>
    </w:rPr>
  </w:style>
  <w:style w:type="paragraph" w:customStyle="1" w:styleId="HeadingBase">
    <w:name w:val="Heading Base"/>
    <w:rsid w:val="000E22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22D6"/>
    <w:pPr>
      <w:tabs>
        <w:tab w:val="right" w:leader="dot" w:pos="9072"/>
      </w:tabs>
      <w:ind w:left="567"/>
    </w:pPr>
    <w:rPr>
      <w:szCs w:val="22"/>
    </w:rPr>
  </w:style>
  <w:style w:type="paragraph" w:customStyle="1" w:styleId="TOCBase">
    <w:name w:val="TOC Base"/>
    <w:rsid w:val="000E22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22D6"/>
    <w:pPr>
      <w:tabs>
        <w:tab w:val="right" w:leader="dot" w:pos="9072"/>
      </w:tabs>
      <w:spacing w:before="40" w:after="40"/>
      <w:ind w:left="284"/>
    </w:pPr>
    <w:rPr>
      <w:rFonts w:ascii="Times New Roman" w:hAnsi="Times New Roman"/>
    </w:rPr>
  </w:style>
  <w:style w:type="paragraph" w:styleId="TOC1">
    <w:name w:val="toc 1"/>
    <w:basedOn w:val="TOCBase"/>
    <w:next w:val="Normal"/>
    <w:rsid w:val="000E22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22D6"/>
    <w:pPr>
      <w:spacing w:before="5040"/>
      <w:jc w:val="center"/>
    </w:pPr>
    <w:rPr>
      <w:sz w:val="48"/>
      <w:szCs w:val="72"/>
      <w:lang w:val="en-US"/>
    </w:rPr>
  </w:style>
  <w:style w:type="character" w:customStyle="1" w:styleId="TitleChar">
    <w:name w:val="Title Char"/>
    <w:link w:val="Title"/>
    <w:rsid w:val="000E22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22D6"/>
    <w:pPr>
      <w:tabs>
        <w:tab w:val="left" w:pos="3600"/>
        <w:tab w:val="left" w:pos="3958"/>
      </w:tabs>
    </w:pPr>
  </w:style>
  <w:style w:type="paragraph" w:styleId="List">
    <w:name w:val="List"/>
    <w:basedOn w:val="BodyText"/>
    <w:next w:val="BodyText"/>
    <w:rsid w:val="000E22D6"/>
    <w:pPr>
      <w:tabs>
        <w:tab w:val="left" w:pos="340"/>
      </w:tabs>
      <w:spacing w:before="60" w:after="60"/>
      <w:ind w:left="340" w:hanging="340"/>
    </w:pPr>
  </w:style>
  <w:style w:type="paragraph" w:customStyle="1" w:styleId="Note">
    <w:name w:val="Note"/>
    <w:basedOn w:val="BodyText"/>
    <w:rsid w:val="000E22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22D6"/>
    <w:pPr>
      <w:framePr w:wrap="auto" w:hAnchor="text" w:y="6049"/>
    </w:pPr>
    <w:rPr>
      <w:color w:val="000000"/>
      <w:sz w:val="40"/>
    </w:rPr>
  </w:style>
  <w:style w:type="paragraph" w:customStyle="1" w:styleId="TOCTitle">
    <w:name w:val="TOCTitle"/>
    <w:basedOn w:val="Heading1"/>
    <w:rsid w:val="000E22D6"/>
    <w:pPr>
      <w:spacing w:after="240"/>
      <w:jc w:val="center"/>
      <w:outlineLvl w:val="9"/>
    </w:pPr>
    <w:rPr>
      <w:caps/>
    </w:rPr>
  </w:style>
  <w:style w:type="paragraph" w:customStyle="1" w:styleId="Version">
    <w:name w:val="Version"/>
    <w:rsid w:val="000E22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22D6"/>
    <w:pPr>
      <w:keepNext w:val="0"/>
      <w:tabs>
        <w:tab w:val="right" w:pos="4176"/>
      </w:tabs>
      <w:ind w:left="198" w:hanging="198"/>
    </w:pPr>
    <w:rPr>
      <w:rFonts w:ascii="Garamond" w:hAnsi="Garamond"/>
    </w:rPr>
  </w:style>
  <w:style w:type="paragraph" w:styleId="IndexHeading">
    <w:name w:val="index heading"/>
    <w:basedOn w:val="Normal"/>
    <w:next w:val="Index1"/>
    <w:semiHidden/>
    <w:rsid w:val="000E22D6"/>
    <w:pPr>
      <w:spacing w:before="120" w:after="120"/>
    </w:pPr>
    <w:rPr>
      <w:rFonts w:ascii="Arial" w:hAnsi="Arial"/>
      <w:b/>
      <w:color w:val="918585"/>
      <w:sz w:val="24"/>
    </w:rPr>
  </w:style>
  <w:style w:type="paragraph" w:customStyle="1" w:styleId="Chapter">
    <w:name w:val="Chapter"/>
    <w:basedOn w:val="Normal"/>
    <w:rsid w:val="000E22D6"/>
    <w:pPr>
      <w:spacing w:before="240"/>
    </w:pPr>
    <w:rPr>
      <w:rFonts w:ascii="Times New Roman" w:hAnsi="Times New Roman"/>
      <w:smallCaps/>
      <w:spacing w:val="80"/>
      <w:sz w:val="28"/>
    </w:rPr>
  </w:style>
  <w:style w:type="paragraph" w:customStyle="1" w:styleId="InChapter">
    <w:name w:val="InChapter"/>
    <w:basedOn w:val="Heading3"/>
    <w:rsid w:val="000E22D6"/>
    <w:pPr>
      <w:spacing w:after="240"/>
      <w:outlineLvl w:val="9"/>
    </w:pPr>
    <w:rPr>
      <w:noProof/>
    </w:rPr>
  </w:style>
  <w:style w:type="paragraph" w:styleId="Index2">
    <w:name w:val="index 2"/>
    <w:basedOn w:val="Normal"/>
    <w:next w:val="Normal"/>
    <w:semiHidden/>
    <w:rsid w:val="000E22D6"/>
    <w:pPr>
      <w:tabs>
        <w:tab w:val="right" w:pos="4176"/>
      </w:tabs>
      <w:ind w:left="568" w:hanging="284"/>
    </w:pPr>
    <w:rPr>
      <w:rFonts w:ascii="Garamond" w:hAnsi="Garamond"/>
    </w:rPr>
  </w:style>
  <w:style w:type="paragraph" w:customStyle="1" w:styleId="Byline">
    <w:name w:val="Byline"/>
    <w:rsid w:val="000E22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22D6"/>
    <w:pPr>
      <w:tabs>
        <w:tab w:val="clear" w:pos="3600"/>
        <w:tab w:val="clear" w:pos="3958"/>
      </w:tabs>
      <w:jc w:val="right"/>
    </w:pPr>
  </w:style>
  <w:style w:type="character" w:styleId="Emphasis">
    <w:name w:val="Emphasis"/>
    <w:qFormat/>
    <w:rsid w:val="000E22D6"/>
    <w:rPr>
      <w:i/>
    </w:rPr>
  </w:style>
  <w:style w:type="paragraph" w:styleId="Caption">
    <w:name w:val="caption"/>
    <w:basedOn w:val="BodyText"/>
    <w:next w:val="Normal"/>
    <w:qFormat/>
    <w:rsid w:val="000E22D6"/>
    <w:pPr>
      <w:framePr w:w="2268" w:hSpace="181" w:vSpace="181" w:wrap="around" w:vAnchor="text" w:hAnchor="page" w:x="1135" w:y="285" w:anchorLock="1"/>
    </w:pPr>
    <w:rPr>
      <w:i/>
    </w:rPr>
  </w:style>
  <w:style w:type="paragraph" w:customStyle="1" w:styleId="MiniTOCTitle">
    <w:name w:val="MiniTOCTitle"/>
    <w:basedOn w:val="Heading4"/>
    <w:rsid w:val="000E22D6"/>
    <w:pPr>
      <w:spacing w:before="240"/>
      <w:outlineLvl w:val="9"/>
    </w:pPr>
    <w:rPr>
      <w:noProof/>
      <w:sz w:val="24"/>
    </w:rPr>
  </w:style>
  <w:style w:type="paragraph" w:customStyle="1" w:styleId="MiniTOCItem">
    <w:name w:val="MiniTOCItem"/>
    <w:basedOn w:val="ListBullet"/>
    <w:rsid w:val="000E22D6"/>
    <w:pPr>
      <w:numPr>
        <w:numId w:val="0"/>
      </w:numPr>
      <w:tabs>
        <w:tab w:val="right" w:leader="dot" w:pos="6521"/>
      </w:tabs>
      <w:spacing w:before="0" w:after="0"/>
    </w:pPr>
  </w:style>
  <w:style w:type="paragraph" w:customStyle="1" w:styleId="TOFTitle">
    <w:name w:val="TOFTitle"/>
    <w:basedOn w:val="TOCTitle"/>
    <w:rsid w:val="000E22D6"/>
  </w:style>
  <w:style w:type="paragraph" w:styleId="TableofFigures">
    <w:name w:val="table of figures"/>
    <w:basedOn w:val="Normal"/>
    <w:next w:val="Normal"/>
    <w:semiHidden/>
    <w:rsid w:val="000E22D6"/>
    <w:pPr>
      <w:tabs>
        <w:tab w:val="right" w:leader="dot" w:pos="9072"/>
      </w:tabs>
      <w:ind w:left="970" w:hanging="403"/>
    </w:pPr>
    <w:rPr>
      <w:rFonts w:ascii="Times New Roman" w:hAnsi="Times New Roman"/>
      <w:b/>
    </w:rPr>
  </w:style>
  <w:style w:type="paragraph" w:styleId="ListNumber">
    <w:name w:val="List Number"/>
    <w:basedOn w:val="List"/>
    <w:rsid w:val="000E22D6"/>
    <w:pPr>
      <w:numPr>
        <w:numId w:val="11"/>
      </w:numPr>
    </w:pPr>
  </w:style>
  <w:style w:type="character" w:customStyle="1" w:styleId="WingdingSymbols">
    <w:name w:val="Wingding Symbols"/>
    <w:rsid w:val="000E22D6"/>
    <w:rPr>
      <w:rFonts w:ascii="Wingdings" w:hAnsi="Wingdings"/>
    </w:rPr>
  </w:style>
  <w:style w:type="paragraph" w:customStyle="1" w:styleId="TableHeading">
    <w:name w:val="Table Heading"/>
    <w:basedOn w:val="HeadingBase"/>
    <w:rsid w:val="000E22D6"/>
    <w:pPr>
      <w:keepLines/>
      <w:pBdr>
        <w:bottom w:val="single" w:sz="6" w:space="1" w:color="918585"/>
      </w:pBdr>
      <w:spacing w:before="240"/>
    </w:pPr>
  </w:style>
  <w:style w:type="character" w:customStyle="1" w:styleId="HotSpot">
    <w:name w:val="HotSpot"/>
    <w:rsid w:val="000E22D6"/>
    <w:rPr>
      <w:color w:val="0033CC"/>
      <w:u w:val="none"/>
    </w:rPr>
  </w:style>
  <w:style w:type="paragraph" w:customStyle="1" w:styleId="BodyTextRight">
    <w:name w:val="Body Text Right"/>
    <w:basedOn w:val="BodyText"/>
    <w:rsid w:val="000E22D6"/>
    <w:pPr>
      <w:spacing w:before="0" w:after="0"/>
      <w:jc w:val="right"/>
    </w:pPr>
  </w:style>
  <w:style w:type="paragraph" w:styleId="Index3">
    <w:name w:val="index 3"/>
    <w:basedOn w:val="ListNumber2"/>
    <w:next w:val="Normal"/>
    <w:semiHidden/>
    <w:rsid w:val="000E22D6"/>
    <w:pPr>
      <w:numPr>
        <w:numId w:val="0"/>
      </w:numPr>
      <w:tabs>
        <w:tab w:val="right" w:leader="dot" w:pos="4176"/>
      </w:tabs>
    </w:pPr>
  </w:style>
  <w:style w:type="paragraph" w:styleId="ListNumber2">
    <w:name w:val="List Number 2"/>
    <w:basedOn w:val="List2"/>
    <w:rsid w:val="000E22D6"/>
    <w:pPr>
      <w:numPr>
        <w:numId w:val="10"/>
      </w:numPr>
      <w:tabs>
        <w:tab w:val="clear" w:pos="1060"/>
      </w:tabs>
    </w:pPr>
  </w:style>
  <w:style w:type="paragraph" w:customStyle="1" w:styleId="MarginNote">
    <w:name w:val="Margin Note"/>
    <w:basedOn w:val="BodyText"/>
    <w:rsid w:val="000E22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22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E22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22D6"/>
    <w:rPr>
      <w:sz w:val="32"/>
    </w:rPr>
  </w:style>
  <w:style w:type="paragraph" w:customStyle="1" w:styleId="HeadingProcedure">
    <w:name w:val="Heading Procedure"/>
    <w:basedOn w:val="HeadingBase"/>
    <w:next w:val="Normal"/>
    <w:rsid w:val="000E22D6"/>
    <w:pPr>
      <w:tabs>
        <w:tab w:val="left" w:pos="0"/>
      </w:tabs>
      <w:spacing w:before="120" w:after="60"/>
    </w:pPr>
    <w:rPr>
      <w:i/>
      <w:color w:val="918585"/>
      <w:sz w:val="22"/>
    </w:rPr>
  </w:style>
  <w:style w:type="paragraph" w:customStyle="1" w:styleId="TableBodyText">
    <w:name w:val="Table Body Text"/>
    <w:basedOn w:val="BodyText"/>
    <w:rsid w:val="000E22D6"/>
    <w:pPr>
      <w:spacing w:before="60" w:after="60"/>
    </w:pPr>
  </w:style>
  <w:style w:type="paragraph" w:styleId="ListContinue">
    <w:name w:val="List Continue"/>
    <w:basedOn w:val="List"/>
    <w:rsid w:val="000E22D6"/>
    <w:pPr>
      <w:ind w:firstLine="0"/>
    </w:pPr>
  </w:style>
  <w:style w:type="paragraph" w:customStyle="1" w:styleId="ListNote">
    <w:name w:val="List Note"/>
    <w:basedOn w:val="List"/>
    <w:rsid w:val="000E22D6"/>
    <w:pPr>
      <w:pBdr>
        <w:top w:val="single" w:sz="6" w:space="2" w:color="918585"/>
        <w:bottom w:val="single" w:sz="6" w:space="2" w:color="918585"/>
      </w:pBdr>
      <w:tabs>
        <w:tab w:val="left" w:pos="1021"/>
      </w:tabs>
      <w:ind w:firstLine="0"/>
    </w:pPr>
  </w:style>
  <w:style w:type="paragraph" w:customStyle="1" w:styleId="Warning">
    <w:name w:val="Warning"/>
    <w:basedOn w:val="BodyText"/>
    <w:rsid w:val="000E22D6"/>
    <w:pPr>
      <w:shd w:val="clear" w:color="auto" w:fill="D9D9D9"/>
      <w:tabs>
        <w:tab w:val="left" w:pos="992"/>
      </w:tabs>
      <w:ind w:left="119" w:right="119"/>
    </w:pPr>
    <w:rPr>
      <w:sz w:val="20"/>
    </w:rPr>
  </w:style>
  <w:style w:type="paragraph" w:customStyle="1" w:styleId="MarginIcons">
    <w:name w:val="Margin Icons"/>
    <w:basedOn w:val="BodyText"/>
    <w:rsid w:val="000E22D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E22D6"/>
    <w:rPr>
      <w:rFonts w:ascii="Courier New" w:hAnsi="Courier New"/>
    </w:rPr>
  </w:style>
  <w:style w:type="paragraph" w:customStyle="1" w:styleId="NoteBullet">
    <w:name w:val="Note Bullet"/>
    <w:basedOn w:val="Note"/>
    <w:rsid w:val="000E22D6"/>
    <w:pPr>
      <w:tabs>
        <w:tab w:val="clear" w:pos="680"/>
      </w:tabs>
      <w:spacing w:before="60" w:after="60"/>
    </w:pPr>
  </w:style>
  <w:style w:type="paragraph" w:customStyle="1" w:styleId="SubHeading2">
    <w:name w:val="SubHeading2"/>
    <w:basedOn w:val="HeadingBase"/>
    <w:rsid w:val="000E22D6"/>
    <w:pPr>
      <w:spacing w:before="240" w:after="60"/>
    </w:pPr>
    <w:rPr>
      <w:sz w:val="20"/>
    </w:rPr>
  </w:style>
  <w:style w:type="paragraph" w:customStyle="1" w:styleId="SubHeading1">
    <w:name w:val="SubHeading1"/>
    <w:basedOn w:val="HeadingBase"/>
    <w:rsid w:val="000E22D6"/>
    <w:pPr>
      <w:spacing w:before="240" w:after="60"/>
    </w:pPr>
    <w:rPr>
      <w:color w:val="918585"/>
      <w:sz w:val="22"/>
    </w:rPr>
  </w:style>
  <w:style w:type="paragraph" w:customStyle="1" w:styleId="SideHeading">
    <w:name w:val="Side Heading"/>
    <w:basedOn w:val="HeadingBase"/>
    <w:rsid w:val="000E22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22D6"/>
    <w:pPr>
      <w:numPr>
        <w:numId w:val="12"/>
      </w:numPr>
    </w:pPr>
  </w:style>
  <w:style w:type="paragraph" w:styleId="PlainText">
    <w:name w:val="Plain Text"/>
    <w:basedOn w:val="Normal"/>
    <w:link w:val="PlainTextChar"/>
    <w:rsid w:val="000E22D6"/>
    <w:rPr>
      <w:sz w:val="20"/>
    </w:rPr>
  </w:style>
  <w:style w:type="character" w:customStyle="1" w:styleId="PlainTextChar">
    <w:name w:val="Plain Text Char"/>
    <w:basedOn w:val="DefaultParagraphFont"/>
    <w:link w:val="PlainText"/>
    <w:rsid w:val="000E22D6"/>
    <w:rPr>
      <w:rFonts w:ascii="Courier New" w:eastAsia="Times New Roman" w:hAnsi="Courier New" w:cs="Times New Roman"/>
      <w:sz w:val="20"/>
      <w:szCs w:val="20"/>
      <w:lang w:val="en-US" w:eastAsia="en-US"/>
    </w:rPr>
  </w:style>
  <w:style w:type="character" w:customStyle="1" w:styleId="MenuOption">
    <w:name w:val="Menu Option"/>
    <w:rsid w:val="000E22D6"/>
    <w:rPr>
      <w:b/>
      <w:smallCaps/>
    </w:rPr>
  </w:style>
  <w:style w:type="paragraph" w:customStyle="1" w:styleId="TableListNumber">
    <w:name w:val="Table List Number"/>
    <w:basedOn w:val="ListNumber"/>
    <w:rsid w:val="000E22D6"/>
    <w:pPr>
      <w:numPr>
        <w:numId w:val="0"/>
      </w:numPr>
    </w:pPr>
  </w:style>
  <w:style w:type="paragraph" w:styleId="TOC4">
    <w:name w:val="toc 4"/>
    <w:basedOn w:val="TOCBase"/>
    <w:next w:val="Normal"/>
    <w:semiHidden/>
    <w:rsid w:val="000E22D6"/>
    <w:pPr>
      <w:tabs>
        <w:tab w:val="right" w:leader="dot" w:pos="9071"/>
      </w:tabs>
      <w:ind w:left="1701"/>
    </w:pPr>
  </w:style>
  <w:style w:type="paragraph" w:customStyle="1" w:styleId="ListAlpha">
    <w:name w:val="List Alpha"/>
    <w:basedOn w:val="List"/>
    <w:rsid w:val="000E22D6"/>
    <w:pPr>
      <w:numPr>
        <w:numId w:val="9"/>
      </w:numPr>
    </w:pPr>
  </w:style>
  <w:style w:type="paragraph" w:customStyle="1" w:styleId="ListAlpha2">
    <w:name w:val="List Alpha 2"/>
    <w:basedOn w:val="List2"/>
    <w:rsid w:val="000E22D6"/>
    <w:pPr>
      <w:numPr>
        <w:numId w:val="8"/>
      </w:numPr>
    </w:pPr>
  </w:style>
  <w:style w:type="paragraph" w:styleId="List2">
    <w:name w:val="List 2"/>
    <w:basedOn w:val="BodyText"/>
    <w:rsid w:val="000E22D6"/>
    <w:pPr>
      <w:tabs>
        <w:tab w:val="left" w:pos="680"/>
      </w:tabs>
      <w:spacing w:before="60" w:after="60"/>
      <w:ind w:left="680" w:hanging="340"/>
    </w:pPr>
  </w:style>
  <w:style w:type="paragraph" w:styleId="List3">
    <w:name w:val="List 3"/>
    <w:basedOn w:val="BodyText"/>
    <w:rsid w:val="000E22D6"/>
    <w:pPr>
      <w:tabs>
        <w:tab w:val="left" w:pos="1021"/>
      </w:tabs>
      <w:spacing w:before="60" w:after="60"/>
      <w:ind w:left="1020" w:hanging="340"/>
    </w:pPr>
  </w:style>
  <w:style w:type="paragraph" w:styleId="List4">
    <w:name w:val="List 4"/>
    <w:basedOn w:val="BodyText"/>
    <w:rsid w:val="000E22D6"/>
    <w:pPr>
      <w:tabs>
        <w:tab w:val="left" w:pos="1361"/>
      </w:tabs>
      <w:spacing w:before="60" w:after="60"/>
      <w:ind w:left="1361" w:hanging="340"/>
    </w:pPr>
  </w:style>
  <w:style w:type="paragraph" w:styleId="List5">
    <w:name w:val="List 5"/>
    <w:basedOn w:val="BodyText"/>
    <w:rsid w:val="000E22D6"/>
    <w:pPr>
      <w:tabs>
        <w:tab w:val="left" w:pos="1701"/>
      </w:tabs>
      <w:spacing w:before="60" w:after="60"/>
      <w:ind w:left="1701" w:hanging="340"/>
    </w:pPr>
  </w:style>
  <w:style w:type="paragraph" w:styleId="ListBullet3">
    <w:name w:val="List Bullet 3"/>
    <w:basedOn w:val="List3"/>
    <w:rsid w:val="000E22D6"/>
    <w:pPr>
      <w:numPr>
        <w:numId w:val="15"/>
      </w:numPr>
      <w:tabs>
        <w:tab w:val="clear" w:pos="1021"/>
      </w:tabs>
      <w:ind w:left="1037" w:hanging="357"/>
    </w:pPr>
  </w:style>
  <w:style w:type="paragraph" w:styleId="ListBullet4">
    <w:name w:val="List Bullet 4"/>
    <w:basedOn w:val="List4"/>
    <w:rsid w:val="000E22D6"/>
    <w:pPr>
      <w:numPr>
        <w:numId w:val="3"/>
      </w:numPr>
    </w:pPr>
  </w:style>
  <w:style w:type="paragraph" w:styleId="ListBullet5">
    <w:name w:val="List Bullet 5"/>
    <w:basedOn w:val="List5"/>
    <w:rsid w:val="000E22D6"/>
    <w:pPr>
      <w:numPr>
        <w:numId w:val="4"/>
      </w:numPr>
    </w:pPr>
  </w:style>
  <w:style w:type="paragraph" w:styleId="ListContinue2">
    <w:name w:val="List Continue 2"/>
    <w:basedOn w:val="List2"/>
    <w:rsid w:val="000E22D6"/>
    <w:pPr>
      <w:ind w:firstLine="0"/>
    </w:pPr>
  </w:style>
  <w:style w:type="paragraph" w:styleId="ListContinue3">
    <w:name w:val="List Continue 3"/>
    <w:basedOn w:val="List3"/>
    <w:rsid w:val="000E22D6"/>
    <w:pPr>
      <w:ind w:left="1021" w:firstLine="0"/>
    </w:pPr>
  </w:style>
  <w:style w:type="paragraph" w:styleId="ListContinue4">
    <w:name w:val="List Continue 4"/>
    <w:basedOn w:val="List4"/>
    <w:rsid w:val="000E22D6"/>
    <w:pPr>
      <w:ind w:firstLine="0"/>
    </w:pPr>
  </w:style>
  <w:style w:type="paragraph" w:styleId="ListContinue5">
    <w:name w:val="List Continue 5"/>
    <w:basedOn w:val="List5"/>
    <w:rsid w:val="000E22D6"/>
    <w:pPr>
      <w:ind w:firstLine="0"/>
    </w:pPr>
  </w:style>
  <w:style w:type="paragraph" w:styleId="ListNumber3">
    <w:name w:val="List Number 3"/>
    <w:basedOn w:val="List3"/>
    <w:rsid w:val="000E22D6"/>
    <w:pPr>
      <w:numPr>
        <w:numId w:val="5"/>
      </w:numPr>
    </w:pPr>
  </w:style>
  <w:style w:type="paragraph" w:styleId="ListNumber4">
    <w:name w:val="List Number 4"/>
    <w:basedOn w:val="List4"/>
    <w:rsid w:val="000E22D6"/>
    <w:pPr>
      <w:numPr>
        <w:numId w:val="6"/>
      </w:numPr>
    </w:pPr>
  </w:style>
  <w:style w:type="paragraph" w:styleId="ListNumber5">
    <w:name w:val="List Number 5"/>
    <w:basedOn w:val="List5"/>
    <w:rsid w:val="000E22D6"/>
    <w:pPr>
      <w:numPr>
        <w:numId w:val="7"/>
      </w:numPr>
    </w:pPr>
  </w:style>
  <w:style w:type="paragraph" w:styleId="BlockText">
    <w:name w:val="Block Text"/>
    <w:basedOn w:val="Normal"/>
    <w:rsid w:val="000E22D6"/>
    <w:pPr>
      <w:spacing w:after="120"/>
      <w:ind w:left="1440" w:right="1440"/>
    </w:pPr>
  </w:style>
  <w:style w:type="character" w:customStyle="1" w:styleId="Subscript">
    <w:name w:val="Subscript"/>
    <w:rsid w:val="000E22D6"/>
    <w:rPr>
      <w:sz w:val="16"/>
      <w:vertAlign w:val="subscript"/>
    </w:rPr>
  </w:style>
  <w:style w:type="character" w:customStyle="1" w:styleId="Superscript">
    <w:name w:val="Superscript"/>
    <w:rsid w:val="000E22D6"/>
    <w:rPr>
      <w:sz w:val="16"/>
      <w:vertAlign w:val="superscript"/>
    </w:rPr>
  </w:style>
  <w:style w:type="character" w:customStyle="1" w:styleId="Symbols">
    <w:name w:val="Symbols"/>
    <w:rsid w:val="000E22D6"/>
    <w:rPr>
      <w:rFonts w:ascii="Symbol" w:hAnsi="Symbol"/>
    </w:rPr>
  </w:style>
  <w:style w:type="character" w:customStyle="1" w:styleId="MenuOptions">
    <w:name w:val="Menu Options"/>
    <w:rsid w:val="000E22D6"/>
    <w:rPr>
      <w:rFonts w:ascii="Arial Narrow" w:hAnsi="Arial Narrow"/>
      <w:smallCaps/>
    </w:rPr>
  </w:style>
  <w:style w:type="character" w:customStyle="1" w:styleId="Buttons">
    <w:name w:val="Buttons"/>
    <w:rsid w:val="000E22D6"/>
    <w:rPr>
      <w:b/>
    </w:rPr>
  </w:style>
  <w:style w:type="character" w:customStyle="1" w:styleId="Underlined">
    <w:name w:val="Underlined"/>
    <w:rsid w:val="000E22D6"/>
    <w:rPr>
      <w:u w:val="single"/>
    </w:rPr>
  </w:style>
  <w:style w:type="paragraph" w:customStyle="1" w:styleId="TableBodyTextRight">
    <w:name w:val="Table Body Text Right"/>
    <w:basedOn w:val="TableBodyText"/>
    <w:rsid w:val="000E22D6"/>
    <w:pPr>
      <w:widowControl w:val="0"/>
      <w:autoSpaceDE w:val="0"/>
      <w:autoSpaceDN w:val="0"/>
      <w:adjustRightInd w:val="0"/>
      <w:jc w:val="right"/>
    </w:pPr>
    <w:rPr>
      <w:rFonts w:cs="Arial"/>
      <w:szCs w:val="18"/>
    </w:rPr>
  </w:style>
  <w:style w:type="paragraph" w:customStyle="1" w:styleId="CopyrightText">
    <w:name w:val="Copyright Text"/>
    <w:basedOn w:val="BodyText"/>
    <w:rsid w:val="000E22D6"/>
    <w:rPr>
      <w:sz w:val="18"/>
    </w:rPr>
  </w:style>
  <w:style w:type="paragraph" w:customStyle="1" w:styleId="BodySmallRight">
    <w:name w:val="Body Small Right"/>
    <w:basedOn w:val="BodyTextRight"/>
    <w:rsid w:val="000E22D6"/>
    <w:rPr>
      <w:sz w:val="18"/>
      <w:szCs w:val="18"/>
    </w:rPr>
  </w:style>
  <w:style w:type="paragraph" w:customStyle="1" w:styleId="MarginEdition">
    <w:name w:val="Margin Edition"/>
    <w:basedOn w:val="MarginNote"/>
    <w:rsid w:val="000E22D6"/>
    <w:pPr>
      <w:spacing w:before="0" w:after="0"/>
    </w:pPr>
    <w:rPr>
      <w:rFonts w:ascii="Times New Roman" w:hAnsi="Times New Roman"/>
      <w:color w:val="999999"/>
    </w:rPr>
  </w:style>
  <w:style w:type="paragraph" w:customStyle="1" w:styleId="Spacer">
    <w:name w:val="Spacer"/>
    <w:basedOn w:val="Normal"/>
    <w:rsid w:val="000E22D6"/>
    <w:rPr>
      <w:sz w:val="2"/>
      <w:szCs w:val="2"/>
    </w:rPr>
  </w:style>
  <w:style w:type="character" w:customStyle="1" w:styleId="Small">
    <w:name w:val="Small"/>
    <w:rsid w:val="000E22D6"/>
    <w:rPr>
      <w:sz w:val="16"/>
    </w:rPr>
  </w:style>
  <w:style w:type="paragraph" w:customStyle="1" w:styleId="WideTable">
    <w:name w:val="Wide Table"/>
    <w:basedOn w:val="Normal"/>
    <w:rsid w:val="000E22D6"/>
    <w:pPr>
      <w:ind w:left="-1418"/>
    </w:pPr>
    <w:rPr>
      <w:sz w:val="2"/>
      <w:szCs w:val="2"/>
    </w:rPr>
  </w:style>
  <w:style w:type="character" w:styleId="PageNumber">
    <w:name w:val="page number"/>
    <w:rsid w:val="000E22D6"/>
  </w:style>
  <w:style w:type="paragraph" w:styleId="Quote">
    <w:name w:val="Quote"/>
    <w:basedOn w:val="Heading1"/>
    <w:link w:val="QuoteChar"/>
    <w:qFormat/>
    <w:rsid w:val="000E22D6"/>
    <w:rPr>
      <w:b w:val="0"/>
      <w:sz w:val="72"/>
      <w:szCs w:val="72"/>
      <w:lang w:val="en-NZ"/>
    </w:rPr>
  </w:style>
  <w:style w:type="character" w:customStyle="1" w:styleId="QuoteChar">
    <w:name w:val="Quote Char"/>
    <w:link w:val="Quote"/>
    <w:rsid w:val="000E22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22D6"/>
    <w:pPr>
      <w:pageBreakBefore/>
    </w:pPr>
  </w:style>
  <w:style w:type="paragraph" w:customStyle="1" w:styleId="Border">
    <w:name w:val="Border"/>
    <w:basedOn w:val="Normal"/>
    <w:qFormat/>
    <w:rsid w:val="000E22D6"/>
    <w:pPr>
      <w:pBdr>
        <w:top w:val="single" w:sz="18" w:space="1" w:color="auto"/>
      </w:pBdr>
    </w:pPr>
    <w:rPr>
      <w:rFonts w:ascii="Times New Roman" w:hAnsi="Times New Roman"/>
      <w:color w:val="FFFFFF"/>
      <w:sz w:val="2"/>
    </w:rPr>
  </w:style>
  <w:style w:type="character" w:styleId="IntenseEmphasis">
    <w:name w:val="Intense Emphasis"/>
    <w:uiPriority w:val="21"/>
    <w:qFormat/>
    <w:rsid w:val="000E22D6"/>
    <w:rPr>
      <w:b/>
      <w:bCs/>
      <w:i/>
      <w:iCs/>
      <w:color w:val="auto"/>
    </w:rPr>
  </w:style>
  <w:style w:type="paragraph" w:styleId="IntenseQuote">
    <w:name w:val="Intense Quote"/>
    <w:basedOn w:val="Normal"/>
    <w:next w:val="Normal"/>
    <w:link w:val="IntenseQuoteChar"/>
    <w:uiPriority w:val="30"/>
    <w:qFormat/>
    <w:rsid w:val="000E22D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E22D6"/>
    <w:rPr>
      <w:rFonts w:ascii="Courier New" w:eastAsia="Times New Roman" w:hAnsi="Courier New" w:cs="Times New Roman"/>
      <w:b/>
      <w:bCs/>
      <w:i/>
      <w:iCs/>
      <w:szCs w:val="20"/>
      <w:lang w:val="en-US" w:eastAsia="en-US"/>
    </w:rPr>
  </w:style>
  <w:style w:type="character" w:styleId="SubtleReference">
    <w:name w:val="Subtle Reference"/>
    <w:uiPriority w:val="31"/>
    <w:qFormat/>
    <w:rsid w:val="000E22D6"/>
    <w:rPr>
      <w:smallCaps/>
      <w:color w:val="auto"/>
      <w:u w:val="single"/>
    </w:rPr>
  </w:style>
  <w:style w:type="character" w:styleId="IntenseReference">
    <w:name w:val="Intense Reference"/>
    <w:uiPriority w:val="32"/>
    <w:qFormat/>
    <w:rsid w:val="000E22D6"/>
    <w:rPr>
      <w:b/>
      <w:bCs/>
      <w:smallCaps/>
      <w:color w:val="auto"/>
      <w:spacing w:val="5"/>
      <w:u w:val="single"/>
    </w:rPr>
  </w:style>
  <w:style w:type="paragraph" w:customStyle="1" w:styleId="2ColumnHeading">
    <w:name w:val="2Column Heading"/>
    <w:basedOn w:val="BodyText"/>
    <w:qFormat/>
    <w:rsid w:val="000E22D6"/>
    <w:pPr>
      <w:spacing w:after="60"/>
      <w:ind w:left="-2268"/>
    </w:pPr>
    <w:rPr>
      <w:b/>
    </w:rPr>
  </w:style>
  <w:style w:type="paragraph" w:customStyle="1" w:styleId="Heading1TOC">
    <w:name w:val="Heading1 TOC"/>
    <w:basedOn w:val="Normal"/>
    <w:qFormat/>
    <w:rsid w:val="000E22D6"/>
    <w:pPr>
      <w:spacing w:before="240" w:after="120"/>
    </w:pPr>
    <w:rPr>
      <w:rFonts w:ascii="Times New Roman" w:hAnsi="Times New Roman"/>
      <w:b/>
      <w:sz w:val="32"/>
    </w:rPr>
  </w:style>
  <w:style w:type="paragraph" w:customStyle="1" w:styleId="Heading2TOC">
    <w:name w:val="Heading2 TOC"/>
    <w:basedOn w:val="Normal"/>
    <w:qFormat/>
    <w:rsid w:val="000E22D6"/>
    <w:pPr>
      <w:spacing w:before="240" w:after="60"/>
    </w:pPr>
    <w:rPr>
      <w:rFonts w:ascii="Times New Roman" w:hAnsi="Times New Roman"/>
      <w:b/>
      <w:sz w:val="28"/>
    </w:rPr>
  </w:style>
  <w:style w:type="character" w:customStyle="1" w:styleId="Underline">
    <w:name w:val="Underline"/>
    <w:qFormat/>
    <w:rsid w:val="000E22D6"/>
    <w:rPr>
      <w:u w:val="single"/>
    </w:rPr>
  </w:style>
  <w:style w:type="paragraph" w:styleId="BalloonText">
    <w:name w:val="Balloon Text"/>
    <w:basedOn w:val="Normal"/>
    <w:link w:val="BalloonTextChar"/>
    <w:rsid w:val="000E22D6"/>
    <w:rPr>
      <w:rFonts w:ascii="Tahoma" w:hAnsi="Tahoma" w:cs="Tahoma"/>
      <w:sz w:val="16"/>
      <w:szCs w:val="16"/>
    </w:rPr>
  </w:style>
  <w:style w:type="character" w:customStyle="1" w:styleId="BalloonTextChar">
    <w:name w:val="Balloon Text Char"/>
    <w:link w:val="BalloonText"/>
    <w:rsid w:val="000E22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22D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E22D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1962</Words>
  <Characters>12401</Characters>
  <Application>Microsoft Office Word</Application>
  <DocSecurity>0</DocSecurity>
  <Lines>417</Lines>
  <Paragraphs>223</Paragraphs>
  <ScaleCrop>false</ScaleCrop>
  <Company>Author-it Software Corporation Ltd.</Company>
  <LinksUpToDate>false</LinksUpToDate>
  <CharactersWithSpaces>14298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LMFSL5001B Assess conservation requirements</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2012-05-26T17:47:00Z</dcterms:created>
  <dcterms:modified xsi:type="dcterms:W3CDTF">2012-05-26T17:47:00Z</dcterms:modified>
</cp:coreProperties>
</file>