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A60" w:rsidP="00664A60">
      <w:pPr>
        <w:pStyle w:val="Title"/>
      </w:pPr>
      <w:bookmarkStart w:id="0" w:name="_GoBack"/>
      <w:bookmarkEnd w:id="0"/>
      <w:r>
        <w:fldChar w:fldCharType="begin"/>
      </w:r>
      <w:r>
        <w:instrText xml:space="preserve"> TITLE   \* MERGEFORMAT </w:instrText>
      </w:r>
      <w:r>
        <w:fldChar w:fldCharType="separate"/>
      </w:r>
      <w:r>
        <w:t>LMFSL3001A Apply product and material knowledge to lead light and stained glass operations</w:t>
      </w:r>
      <w:r>
        <w:fldChar w:fldCharType="end"/>
      </w:r>
    </w:p>
    <w:p w:rsidR="00664A60" w:rsidP="00664A60">
      <w:pPr>
        <w:pStyle w:val="Version"/>
        <w:sectPr w:rsidSect="00214FA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4FAC" w:rsidP="00214FAC">
      <w:pPr>
        <w:pStyle w:val="SuperHeading"/>
      </w:pPr>
      <w:r w:rsidRPr="00214FAC">
        <w:t>LMFSL3001A Apply product and material knowledge to lead light and stained glass operations</w:t>
      </w:r>
    </w:p>
    <w:p w:rsidR="00000000" w:rsidRPr="00214FAC" w:rsidP="00214FAC">
      <w:pPr>
        <w:pStyle w:val="Heading1"/>
      </w:pPr>
      <w:bookmarkStart w:id="1" w:name="O_92079"/>
      <w:bookmarkEnd w:id="1"/>
      <w:r w:rsidRPr="00214FAC">
        <w:t>Modification History</w:t>
      </w:r>
    </w:p>
    <w:p w:rsidR="00000000" w:rsidRPr="00214FAC" w:rsidP="00214FAC">
      <w:pPr>
        <w:pStyle w:val="BodyText"/>
      </w:pPr>
      <w:r w:rsidRPr="00214FAC">
        <w:t>Not applicable.</w:t>
      </w:r>
    </w:p>
    <w:p w:rsidR="00000000" w:rsidRPr="00214FAC" w:rsidP="00214FAC">
      <w:pPr>
        <w:pStyle w:val="AllowPageBreak"/>
      </w:pPr>
    </w:p>
    <w:p w:rsidR="00000000" w:rsidRPr="00214FAC" w:rsidP="00214FAC">
      <w:pPr>
        <w:pStyle w:val="Heading1"/>
      </w:pPr>
      <w:bookmarkStart w:id="2" w:name="O_92080"/>
      <w:bookmarkEnd w:id="2"/>
      <w:r w:rsidRPr="00214FAC">
        <w:t>Unit Desc</w:t>
      </w:r>
      <w:r w:rsidRPr="00214FAC">
        <w:t>riptor</w:t>
      </w:r>
    </w:p>
    <w:tbl>
      <w:tblPr>
        <w:tblW w:w="0" w:type="auto"/>
        <w:tblLayout w:type="fixed"/>
        <w:tblCellMar>
          <w:left w:w="62" w:type="dxa"/>
          <w:right w:w="62" w:type="dxa"/>
        </w:tblCellMar>
        <w:tblLook w:val="0000"/>
      </w:tblPr>
      <w:tblGrid>
        <w:gridCol w:w="2665"/>
        <w:gridCol w:w="5857"/>
      </w:tblGrid>
      <w:tr w:rsidTr="00664A60">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r w:rsidRPr="00214FAC">
              <w:t>This unit covers the competency required to apply product and material knowledge to stained glass and leadlight operations by identifying types of glass and other materials used in the leadlight and stained glass industry, their char</w:t>
            </w:r>
            <w:r w:rsidRPr="00214FAC">
              <w:t>acteristics, properties, uses and limitations.</w:t>
            </w: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3" w:name="O_92081"/>
      <w:bookmarkEnd w:id="3"/>
      <w:r w:rsidRPr="00214FAC">
        <w:t>Application of the Unit</w:t>
      </w:r>
    </w:p>
    <w:tbl>
      <w:tblPr>
        <w:tblW w:w="0" w:type="auto"/>
        <w:tblLayout w:type="fixed"/>
        <w:tblCellMar>
          <w:left w:w="62" w:type="dxa"/>
          <w:right w:w="62" w:type="dxa"/>
        </w:tblCellMar>
        <w:tblLook w:val="0000"/>
      </w:tblPr>
      <w:tblGrid>
        <w:gridCol w:w="2754"/>
        <w:gridCol w:w="5768"/>
      </w:tblGrid>
      <w:tr w:rsidTr="00664A60">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r w:rsidRPr="00214FAC">
              <w:t>This unit supports the attainment of skills and knowledge required for competent workplace performance in leadlight and stained glass operations. The application of product and material knowledge to leadlight and stained glass operations applies to a works</w:t>
            </w:r>
            <w:r w:rsidRPr="00214FAC">
              <w:t>hop environment and involves application of skills and knowledge at a tradesperson level. These skills and knowledge are to be used within the scope of the individual's job and authority</w:t>
            </w: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4" w:name="O_92082"/>
      <w:bookmarkEnd w:id="4"/>
      <w:r w:rsidRPr="00214FAC">
        <w:t>Licensing/Regulatory Information</w:t>
      </w:r>
    </w:p>
    <w:p w:rsidR="00000000" w:rsidRPr="00214FAC" w:rsidP="00214FAC">
      <w:pPr>
        <w:pStyle w:val="BodyText"/>
      </w:pPr>
      <w:r w:rsidRPr="00214FAC">
        <w:t>Not applicable.</w:t>
      </w:r>
    </w:p>
    <w:p w:rsidR="00000000" w:rsidRPr="00214FAC" w:rsidP="00214FAC">
      <w:pPr>
        <w:pStyle w:val="AllowPageBreak"/>
      </w:pPr>
    </w:p>
    <w:p w:rsidR="00000000" w:rsidRPr="00214FAC" w:rsidP="00214FAC">
      <w:pPr>
        <w:pStyle w:val="Heading1"/>
      </w:pPr>
      <w:bookmarkStart w:id="5" w:name="O_92084"/>
      <w:bookmarkEnd w:id="5"/>
      <w:r w:rsidRPr="00214FAC">
        <w:t>Pre-Requisites</w:t>
      </w:r>
    </w:p>
    <w:tbl>
      <w:tblPr>
        <w:tblW w:w="0" w:type="auto"/>
        <w:tblLayout w:type="fixed"/>
        <w:tblCellMar>
          <w:left w:w="62" w:type="dxa"/>
          <w:right w:w="62" w:type="dxa"/>
        </w:tblCellMar>
        <w:tblLook w:val="0000"/>
      </w:tblPr>
      <w:tblGrid>
        <w:gridCol w:w="2771"/>
        <w:gridCol w:w="1313"/>
        <w:gridCol w:w="4438"/>
      </w:tblGrid>
      <w:tr w:rsidTr="00664A60">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t>Nil</w:t>
            </w:r>
          </w:p>
        </w:tc>
      </w:tr>
      <w:tr w:rsidTr="00664A6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p>
        </w:tc>
      </w:tr>
      <w:tr w:rsidTr="00664A60">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6" w:name="O_92083"/>
      <w:bookmarkEnd w:id="6"/>
      <w:r w:rsidRPr="00214FAC">
        <w:t>Employability Skills Information</w:t>
      </w:r>
    </w:p>
    <w:tbl>
      <w:tblPr>
        <w:tblW w:w="0" w:type="auto"/>
        <w:tblLayout w:type="fixed"/>
        <w:tblCellMar>
          <w:left w:w="62" w:type="dxa"/>
          <w:right w:w="62" w:type="dxa"/>
        </w:tblCellMar>
        <w:tblLook w:val="0000"/>
      </w:tblPr>
      <w:tblGrid>
        <w:gridCol w:w="2802"/>
        <w:gridCol w:w="5720"/>
      </w:tblGrid>
      <w:tr w:rsidTr="00664A6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r w:rsidRPr="00214FAC">
              <w:t>This unit contains employability skills.</w:t>
            </w: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7" w:name="O_92085"/>
      <w:bookmarkEnd w:id="7"/>
      <w:r w:rsidRPr="00214FAC">
        <w:t>Elements and Performance Criteria Pre-Content</w:t>
      </w:r>
    </w:p>
    <w:tbl>
      <w:tblPr>
        <w:tblW w:w="0" w:type="auto"/>
        <w:tblLayout w:type="fixed"/>
        <w:tblCellMar>
          <w:left w:w="62" w:type="dxa"/>
          <w:right w:w="62" w:type="dxa"/>
        </w:tblCellMar>
        <w:tblLook w:val="0000"/>
      </w:tblPr>
      <w:tblGrid>
        <w:gridCol w:w="2540"/>
        <w:gridCol w:w="5982"/>
      </w:tblGrid>
      <w:tr w:rsidTr="00664A6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r w:rsidRPr="00214FAC">
              <w:t>Performance criteria describe the performance needed to demonstrate achievement of the element. Where bold italicised text is used, further information is detailed in the required skills and</w:t>
            </w:r>
            <w:r w:rsidRPr="00214FAC">
              <w:t xml:space="preserve"> knowledge section and the range statement. Assessment of performance is to be consistent with the evidence guide.</w:t>
            </w: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8" w:name="O_92086"/>
      <w:bookmarkEnd w:id="8"/>
      <w:r w:rsidRPr="00214FAC">
        <w:t>Elements and Performance Criteria</w:t>
      </w:r>
    </w:p>
    <w:tbl>
      <w:tblPr>
        <w:tblW w:w="0" w:type="auto"/>
        <w:tblLayout w:type="fixed"/>
        <w:tblCellMar>
          <w:left w:w="62" w:type="dxa"/>
          <w:right w:w="62" w:type="dxa"/>
        </w:tblCellMar>
        <w:tblLook w:val="0000"/>
      </w:tblPr>
      <w:tblGrid>
        <w:gridCol w:w="2540"/>
        <w:gridCol w:w="5982"/>
      </w:tblGrid>
      <w:tr w:rsidTr="00664A60">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r w:rsidRPr="00214FAC">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PERFORMANCE CRITERIA</w:t>
            </w:r>
          </w:p>
        </w:tc>
      </w:tr>
      <w:tr w:rsidTr="00664A6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
              <w:rPr>
                <w:lang w:val="en-NZ"/>
              </w:rPr>
            </w:pPr>
            <w:r w:rsidRPr="00214FAC">
              <w:t>1.</w:t>
            </w:r>
            <w:r w:rsidRPr="00214FAC">
              <w:tab/>
              <w:t>Identify and respond to glass and material properties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List2"/>
            </w:pPr>
            <w:r w:rsidRPr="00214FAC">
              <w:t>1.1.</w:t>
            </w:r>
            <w:r w:rsidRPr="00214FAC">
              <w:tab/>
              <w:t xml:space="preserve">Applicable </w:t>
            </w:r>
            <w:r w:rsidRPr="00214FAC">
              <w:rPr>
                <w:rStyle w:val="BoldandItalics"/>
              </w:rPr>
              <w:t>OHS</w:t>
            </w:r>
            <w:r w:rsidRPr="00214FAC">
              <w:t xml:space="preserve">, </w:t>
            </w:r>
            <w:r w:rsidRPr="00214FAC">
              <w:rPr>
                <w:rStyle w:val="BoldandItalics"/>
              </w:rPr>
              <w:t>legislative</w:t>
            </w:r>
            <w:r w:rsidRPr="00214FAC">
              <w:t xml:space="preserve"> and </w:t>
            </w:r>
            <w:r w:rsidRPr="00214FAC">
              <w:rPr>
                <w:rStyle w:val="BoldandItalics"/>
              </w:rPr>
              <w:t>organisational</w:t>
            </w:r>
            <w:r w:rsidRPr="00214FAC">
              <w:t xml:space="preserve"> requirements relevant to lead light and stained glass operations are verified and complied with</w:t>
            </w:r>
          </w:p>
          <w:p w:rsidR="00000000" w:rsidRPr="00214FAC" w:rsidP="00214FAC">
            <w:pPr>
              <w:pStyle w:val="List2"/>
            </w:pPr>
            <w:r w:rsidRPr="00214FAC">
              <w:t>1.2.</w:t>
            </w:r>
            <w:r w:rsidRPr="00214FAC">
              <w:tab/>
              <w:t xml:space="preserve">The </w:t>
            </w:r>
            <w:r w:rsidRPr="00214FAC">
              <w:rPr>
                <w:rStyle w:val="BoldandItalics"/>
              </w:rPr>
              <w:t>types of glass</w:t>
            </w:r>
            <w:r w:rsidRPr="00214FAC">
              <w:t xml:space="preserve"> and inherent characteristics are analysed to select the optimum glass for the produc</w:t>
            </w:r>
            <w:r w:rsidRPr="00214FAC">
              <w:t>t</w:t>
            </w:r>
          </w:p>
          <w:p w:rsidR="00000000" w:rsidRPr="00214FAC" w:rsidP="00214FAC">
            <w:pPr>
              <w:pStyle w:val="List2"/>
            </w:pPr>
            <w:r w:rsidRPr="00214FAC">
              <w:t>1.3.</w:t>
            </w:r>
            <w:r w:rsidRPr="00214FAC">
              <w:tab/>
              <w:t>The characteristics and properties of lead light and stained glass are identified and considered</w:t>
            </w:r>
          </w:p>
          <w:p w:rsidR="00000000" w:rsidP="00214FAC">
            <w:pPr>
              <w:pStyle w:val="List2"/>
              <w:rPr>
                <w:lang w:val="en-NZ"/>
              </w:rPr>
            </w:pPr>
            <w:r w:rsidRPr="00214FAC">
              <w:t>1.4.</w:t>
            </w:r>
            <w:r w:rsidRPr="00214FAC">
              <w:tab/>
              <w:t xml:space="preserve">The properties and impacts of </w:t>
            </w:r>
            <w:r w:rsidRPr="00214FAC">
              <w:rPr>
                <w:rStyle w:val="BoldandItalics"/>
              </w:rPr>
              <w:t>metals</w:t>
            </w:r>
            <w:r w:rsidRPr="00214FAC">
              <w:t xml:space="preserve"> are identified and considered</w:t>
            </w:r>
          </w:p>
        </w:tc>
      </w:tr>
      <w:tr w:rsidTr="00664A6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
              <w:rPr>
                <w:lang w:val="en-NZ"/>
              </w:rPr>
            </w:pPr>
            <w:r w:rsidRPr="00214FAC">
              <w:t>2.</w:t>
            </w:r>
            <w:r w:rsidRPr="00214FAC">
              <w:tab/>
              <w:t>Apply visual evaluation techniques to glass products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List2"/>
            </w:pPr>
            <w:r w:rsidRPr="00214FAC">
              <w:t>2.1.</w:t>
            </w:r>
            <w:r w:rsidRPr="00214FAC">
              <w:tab/>
              <w:t>Correct visual pro</w:t>
            </w:r>
            <w:r w:rsidRPr="00214FAC">
              <w:t>cedures using natural and artificial light are followed</w:t>
            </w:r>
          </w:p>
          <w:p w:rsidR="00000000" w:rsidRPr="00214FAC" w:rsidP="00214FAC">
            <w:pPr>
              <w:pStyle w:val="List2"/>
            </w:pPr>
            <w:r w:rsidRPr="00214FAC">
              <w:t>2.2.</w:t>
            </w:r>
            <w:r w:rsidRPr="00214FAC">
              <w:tab/>
              <w:t>Characteristics of the glass styles are explained</w:t>
            </w:r>
          </w:p>
          <w:p w:rsidR="00000000" w:rsidRPr="00214FAC" w:rsidP="00214FAC">
            <w:pPr>
              <w:pStyle w:val="List2"/>
            </w:pPr>
            <w:r w:rsidRPr="00214FAC">
              <w:t>2.3.</w:t>
            </w:r>
            <w:r w:rsidRPr="00214FAC">
              <w:tab/>
              <w:t xml:space="preserve">Glass is identified according to style </w:t>
            </w:r>
          </w:p>
          <w:p w:rsidR="00000000" w:rsidP="00214FAC">
            <w:pPr>
              <w:pStyle w:val="List2"/>
              <w:rPr>
                <w:lang w:val="en-NZ"/>
              </w:rPr>
            </w:pPr>
            <w:r w:rsidRPr="00214FAC">
              <w:t>2.4.</w:t>
            </w:r>
            <w:r w:rsidRPr="00214FAC">
              <w:tab/>
              <w:t>The quality and style of the glass are evaluated ensuring conditions for evaluation are as favo</w:t>
            </w:r>
            <w:r w:rsidRPr="00214FAC">
              <w:t>urable as possible</w:t>
            </w:r>
          </w:p>
        </w:tc>
      </w:tr>
      <w:tr w:rsidTr="00664A6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
              <w:rPr>
                <w:lang w:val="en-NZ"/>
              </w:rPr>
            </w:pPr>
            <w:r w:rsidRPr="00214FAC">
              <w:t>3.</w:t>
            </w:r>
            <w:r w:rsidRPr="00214FAC">
              <w:tab/>
              <w:t>Identify basic faults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List2"/>
            </w:pPr>
            <w:r w:rsidRPr="00214FAC">
              <w:t>3.1.</w:t>
            </w:r>
            <w:r w:rsidRPr="00214FAC">
              <w:tab/>
              <w:t xml:space="preserve">Basic </w:t>
            </w:r>
            <w:r w:rsidRPr="00214FAC">
              <w:rPr>
                <w:rStyle w:val="BoldandItalics"/>
              </w:rPr>
              <w:t>glass faults</w:t>
            </w:r>
            <w:r w:rsidRPr="00214FAC">
              <w:t xml:space="preserve"> are recognised </w:t>
            </w:r>
          </w:p>
          <w:p w:rsidR="00000000" w:rsidP="00214FAC">
            <w:pPr>
              <w:pStyle w:val="List2"/>
              <w:rPr>
                <w:lang w:val="en-NZ"/>
              </w:rPr>
            </w:pPr>
            <w:r w:rsidRPr="00214FAC">
              <w:t>3.2.</w:t>
            </w:r>
            <w:r w:rsidRPr="00214FAC">
              <w:tab/>
            </w:r>
            <w:r w:rsidRPr="00214FAC">
              <w:rPr>
                <w:rStyle w:val="BoldandItalics"/>
              </w:rPr>
              <w:t>Other faults</w:t>
            </w:r>
            <w:r w:rsidRPr="00214FAC">
              <w:t xml:space="preserve"> are recognised</w:t>
            </w:r>
          </w:p>
        </w:tc>
      </w:tr>
      <w:tr w:rsidTr="00664A60">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
              <w:rPr>
                <w:lang w:val="en-NZ"/>
              </w:rPr>
            </w:pPr>
            <w:r w:rsidRPr="00214FAC">
              <w:t>4.</w:t>
            </w:r>
            <w:r w:rsidRPr="00214FAC">
              <w:tab/>
              <w:t xml:space="preserve">Respond to the impact of the glass properties </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List2"/>
            </w:pPr>
            <w:r w:rsidRPr="00214FAC">
              <w:t>4.1.</w:t>
            </w:r>
            <w:r w:rsidRPr="00214FAC">
              <w:tab/>
              <w:t>The cause and effects on the glass of age is considered and responded to</w:t>
            </w:r>
          </w:p>
          <w:p w:rsidR="00000000" w:rsidRPr="00214FAC" w:rsidP="00214FAC">
            <w:pPr>
              <w:pStyle w:val="List2"/>
            </w:pPr>
            <w:r w:rsidRPr="00214FAC">
              <w:t>4.2.</w:t>
            </w:r>
            <w:r w:rsidRPr="00214FAC">
              <w:tab/>
            </w:r>
            <w:r w:rsidRPr="00214FAC">
              <w:t>The cause and effects on the glass of structural insecurity is considered and responded to</w:t>
            </w:r>
          </w:p>
          <w:p w:rsidR="00000000" w:rsidRPr="00214FAC" w:rsidP="00214FAC">
            <w:pPr>
              <w:pStyle w:val="List2"/>
            </w:pPr>
            <w:r w:rsidRPr="00214FAC">
              <w:t>4.3.</w:t>
            </w:r>
            <w:r w:rsidRPr="00214FAC">
              <w:tab/>
              <w:t>The cause and effect of weather extremes are considered and responded to</w:t>
            </w:r>
          </w:p>
          <w:p w:rsidR="00000000" w:rsidRPr="00214FAC" w:rsidP="00214FAC">
            <w:pPr>
              <w:pStyle w:val="List2"/>
            </w:pPr>
            <w:r w:rsidRPr="00214FAC">
              <w:t>4.4.</w:t>
            </w:r>
            <w:r w:rsidRPr="00214FAC">
              <w:tab/>
            </w:r>
            <w:r w:rsidRPr="00214FAC">
              <w:rPr>
                <w:rStyle w:val="BoldandItalics"/>
              </w:rPr>
              <w:t>Records</w:t>
            </w:r>
            <w:r w:rsidRPr="00214FAC">
              <w:t xml:space="preserve"> are maintained </w:t>
            </w: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9" w:name="O_92087"/>
      <w:bookmarkEnd w:id="9"/>
      <w:r w:rsidRPr="00214FAC">
        <w:t>Required Skills and Knowledge</w:t>
      </w:r>
    </w:p>
    <w:tbl>
      <w:tblPr>
        <w:tblW w:w="0" w:type="auto"/>
        <w:tblLayout w:type="fixed"/>
        <w:tblCellMar>
          <w:left w:w="62" w:type="dxa"/>
          <w:right w:w="62" w:type="dxa"/>
        </w:tblCellMar>
        <w:tblLook w:val="0000"/>
      </w:tblPr>
      <w:tblGrid>
        <w:gridCol w:w="8522"/>
      </w:tblGrid>
      <w:tr w:rsidTr="00664A6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REQUIRED SK</w:t>
            </w:r>
            <w:r w:rsidRPr="00214FAC">
              <w:rPr>
                <w:rStyle w:val="SpecialBold"/>
              </w:rPr>
              <w:t>ILLS AND KNOWLEDGE</w:t>
            </w:r>
          </w:p>
        </w:tc>
      </w:tr>
      <w:tr w:rsidTr="00664A6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t>This section describes the skills and knowledge required for this unit.</w:t>
            </w:r>
          </w:p>
        </w:tc>
      </w:tr>
      <w:tr w:rsidTr="00664A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Required skills</w:t>
            </w:r>
          </w:p>
        </w:tc>
      </w:tr>
      <w:tr w:rsidTr="00664A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ListBullet"/>
            </w:pPr>
            <w:r w:rsidRPr="00214FAC">
              <w:t>collect, organise and understand materials technology and information related to leadlight and stained glass products</w:t>
            </w:r>
          </w:p>
          <w:p w:rsidR="00000000" w:rsidRPr="00214FAC" w:rsidP="00214FAC">
            <w:pPr>
              <w:pStyle w:val="ListBullet"/>
            </w:pPr>
            <w:r w:rsidRPr="00214FAC">
              <w:t>communicate ideas and information to enable confirmation of work requirements and specifications, coordination of work with site supervisor, other workers and customers, and the reporting of work outcomes and problems</w:t>
            </w:r>
          </w:p>
          <w:p w:rsidR="00000000" w:rsidRPr="00214FAC" w:rsidP="00214FAC">
            <w:pPr>
              <w:pStyle w:val="ListBullet"/>
            </w:pPr>
            <w:r w:rsidRPr="00214FAC">
              <w:t>maintain quality records related to le</w:t>
            </w:r>
            <w:r w:rsidRPr="00214FAC">
              <w:t>adlight and stained glass operations</w:t>
            </w:r>
          </w:p>
          <w:p w:rsidR="00000000" w:rsidRPr="00214FAC" w:rsidP="00214FAC">
            <w:pPr>
              <w:pStyle w:val="ListBullet"/>
            </w:pPr>
            <w:r w:rsidRPr="00214FAC">
              <w:t>work with others and in a team by recognising dependencies and using cooperative approaches to optimise work flow and productivity</w:t>
            </w:r>
          </w:p>
          <w:p w:rsidR="00000000" w:rsidRPr="00214FAC" w:rsidP="00214FAC">
            <w:pPr>
              <w:pStyle w:val="ListBullet"/>
            </w:pPr>
            <w:r w:rsidRPr="00214FAC">
              <w:t>identify, anticipate and respond to faults in leadlight and stained glass components</w:t>
            </w:r>
          </w:p>
          <w:p w:rsidR="00000000" w:rsidRPr="00214FAC" w:rsidP="00214FAC">
            <w:pPr>
              <w:pStyle w:val="ListBullet"/>
            </w:pPr>
            <w:r w:rsidRPr="00214FAC">
              <w:t>recognise and respond to circumstances outside instructions or personal competence</w:t>
            </w:r>
          </w:p>
          <w:p w:rsidR="00000000" w:rsidRPr="00214FAC" w:rsidP="00214FAC">
            <w:pPr>
              <w:pStyle w:val="ListBullet"/>
            </w:pPr>
            <w:r w:rsidRPr="00214FAC">
              <w:t>plan and organise activities including the preparation and layout of own worksite and the obtaining and use of tools and materials to avoid any backtracking, work flow inter</w:t>
            </w:r>
            <w:r w:rsidRPr="00214FAC">
              <w:t>ruptions or wastage</w:t>
            </w:r>
          </w:p>
          <w:p w:rsidR="00000000" w:rsidRPr="00214FAC" w:rsidP="00214FAC">
            <w:pPr>
              <w:pStyle w:val="ListBullet"/>
            </w:pPr>
            <w:r w:rsidRPr="00214FAC">
              <w:t>use mathematical ideas and techniques to correctly complete measurements, calculate area and volume, estimate glass requirements and estimate other material requirements</w:t>
            </w:r>
          </w:p>
          <w:p w:rsidR="00000000" w:rsidRPr="00214FAC" w:rsidP="00214FAC">
            <w:pPr>
              <w:pStyle w:val="ListBullet"/>
            </w:pPr>
            <w:r w:rsidRPr="00214FAC">
              <w:t>clarify and confirm work instructions</w:t>
            </w:r>
          </w:p>
          <w:p w:rsidR="00000000" w:rsidRPr="00214FAC" w:rsidP="00214FAC">
            <w:pPr>
              <w:pStyle w:val="ListBullet"/>
            </w:pPr>
            <w:r w:rsidRPr="00214FAC">
              <w:t>plan own work within the giv</w:t>
            </w:r>
            <w:r w:rsidRPr="00214FAC">
              <w:t>en task parameters</w:t>
            </w:r>
          </w:p>
          <w:p w:rsidR="00000000" w:rsidRPr="00214FAC" w:rsidP="00214FAC">
            <w:pPr>
              <w:pStyle w:val="ListBullet"/>
            </w:pPr>
            <w:r w:rsidRPr="00214FAC">
              <w:t>accept responsibility for given tasks</w:t>
            </w:r>
          </w:p>
          <w:p w:rsidR="00000000" w:rsidRPr="00214FAC" w:rsidP="00214FAC">
            <w:pPr>
              <w:pStyle w:val="ListBullet"/>
            </w:pPr>
            <w:r w:rsidRPr="00214FAC">
              <w:t>set, monitor and satisfy personal work goals</w:t>
            </w:r>
          </w:p>
          <w:p w:rsidR="00000000" w:rsidRPr="00214FAC" w:rsidP="00214FAC">
            <w:pPr>
              <w:pStyle w:val="ListBullet"/>
            </w:pPr>
            <w:r w:rsidRPr="00214FAC">
              <w:t>satisfy the competency requirements for the job</w:t>
            </w:r>
          </w:p>
          <w:p w:rsidR="00000000" w:rsidRPr="00214FAC" w:rsidP="00214FAC">
            <w:pPr>
              <w:pStyle w:val="ListBullet"/>
            </w:pPr>
            <w:r w:rsidRPr="00214FAC">
              <w:t>maintain current knowledge of tools and materials</w:t>
            </w:r>
          </w:p>
          <w:p w:rsidR="00000000" w:rsidRPr="00214FAC" w:rsidP="00214FAC">
            <w:pPr>
              <w:pStyle w:val="ListBullet"/>
            </w:pPr>
            <w:r w:rsidRPr="00214FAC">
              <w:t>maintain current knowledge of leadlight and stained glas</w:t>
            </w:r>
            <w:r w:rsidRPr="00214FAC">
              <w:t>s techniques</w:t>
            </w:r>
          </w:p>
          <w:p w:rsidR="00000000" w:rsidRPr="00214FAC" w:rsidP="00214FAC">
            <w:pPr>
              <w:pStyle w:val="ListBullet"/>
            </w:pPr>
            <w:r w:rsidRPr="00214FAC">
              <w:t>seek learning opportunities</w:t>
            </w:r>
          </w:p>
          <w:p w:rsidR="00000000" w:rsidP="00214FAC">
            <w:pPr>
              <w:pStyle w:val="ListBullet"/>
              <w:rPr>
                <w:lang w:val="en-NZ"/>
              </w:rPr>
            </w:pPr>
            <w:r w:rsidRPr="00214FAC">
              <w:t>use the workplace technology related to the selection and assembly of leadlight and stained glass components, including computers, measuring devices and assembly systems</w:t>
            </w:r>
          </w:p>
        </w:tc>
      </w:tr>
      <w:tr w:rsidTr="00664A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Required knowledge</w:t>
            </w:r>
          </w:p>
        </w:tc>
      </w:tr>
      <w:tr w:rsidTr="00664A6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ListBullet"/>
            </w:pPr>
            <w:r w:rsidRPr="00214FAC">
              <w:t>State or Territory OHS l</w:t>
            </w:r>
            <w:r w:rsidRPr="00214FAC">
              <w:t>egislation, regulations, standards and codes of practice relevant to the full range of processes for lead light and stained glass operations</w:t>
            </w:r>
          </w:p>
          <w:p w:rsidR="00000000" w:rsidRPr="00214FAC" w:rsidP="00214FAC">
            <w:pPr>
              <w:pStyle w:val="ListBullet"/>
            </w:pPr>
            <w:r w:rsidRPr="00214FAC">
              <w:t>lead light and stained glass construction terminology and techniques</w:t>
            </w:r>
          </w:p>
          <w:p w:rsidR="00000000" w:rsidRPr="00214FAC" w:rsidP="00214FAC">
            <w:pPr>
              <w:pStyle w:val="ListBullet"/>
            </w:pPr>
            <w:r w:rsidRPr="00214FAC">
              <w:t>lead light and stained glass operations repair</w:t>
            </w:r>
            <w:r w:rsidRPr="00214FAC">
              <w:t xml:space="preserve"> terminology and techniques</w:t>
            </w:r>
          </w:p>
          <w:p w:rsidR="00000000" w:rsidRPr="00214FAC" w:rsidP="00214FAC">
            <w:pPr>
              <w:pStyle w:val="ListBullet"/>
            </w:pPr>
            <w:r w:rsidRPr="00214FAC">
              <w:t>lead light and stained glass operations types, characteristics, production methods and faults</w:t>
            </w:r>
          </w:p>
          <w:p w:rsidR="00000000" w:rsidRPr="00214FAC" w:rsidP="00214FAC">
            <w:pPr>
              <w:pStyle w:val="ListBullet"/>
            </w:pPr>
            <w:r w:rsidRPr="00214FAC">
              <w:t>organisational and site standards, requirements, policies and procedures for lead light and stained glass operations</w:t>
            </w:r>
          </w:p>
          <w:p w:rsidR="00000000" w:rsidRPr="00214FAC" w:rsidP="00214FAC">
            <w:pPr>
              <w:pStyle w:val="ListBullet"/>
            </w:pPr>
            <w:r w:rsidRPr="00214FAC">
              <w:t>types of glass and other materials used in the lead light and stained glass industry, their characteristics, properties, uses and limitations</w:t>
            </w:r>
          </w:p>
          <w:p w:rsidR="00000000" w:rsidRPr="00214FAC" w:rsidP="00214FAC">
            <w:pPr>
              <w:pStyle w:val="ListBullet"/>
            </w:pPr>
            <w:r w:rsidRPr="00214FAC">
              <w:t>environmental protection requirements relating to the disposal of waste material</w:t>
            </w:r>
          </w:p>
          <w:p w:rsidR="00000000" w:rsidRPr="00214FAC" w:rsidP="00214FAC">
            <w:pPr>
              <w:pStyle w:val="ListBullet"/>
            </w:pPr>
            <w:r w:rsidRPr="00214FAC">
              <w:t>established communication channel</w:t>
            </w:r>
            <w:r w:rsidRPr="00214FAC">
              <w:t>s and protocols</w:t>
            </w:r>
          </w:p>
          <w:p w:rsidR="00000000" w:rsidRPr="00214FAC" w:rsidP="00214FAC">
            <w:pPr>
              <w:pStyle w:val="ListBullet"/>
            </w:pPr>
            <w:r w:rsidRPr="00214FAC">
              <w:t>problem identification and resolution</w:t>
            </w:r>
          </w:p>
          <w:p w:rsidR="00000000" w:rsidRPr="00214FAC" w:rsidP="00214FAC">
            <w:pPr>
              <w:pStyle w:val="ListBullet"/>
            </w:pPr>
            <w:r w:rsidRPr="00214FAC">
              <w:t>storage systems and labelling</w:t>
            </w:r>
          </w:p>
          <w:p w:rsidR="00000000" w:rsidRPr="00214FAC" w:rsidP="00214FAC">
            <w:pPr>
              <w:pStyle w:val="ListBullet"/>
            </w:pPr>
            <w:r w:rsidRPr="00214FAC">
              <w:t>procedures for the recording, reporting and maintenance of workplace records and information</w:t>
            </w:r>
          </w:p>
          <w:p w:rsidR="00000000" w:rsidRPr="00214FAC" w:rsidP="00214FAC">
            <w:pPr>
              <w:pStyle w:val="ListBullet"/>
            </w:pPr>
            <w:r w:rsidRPr="00214FAC">
              <w:t>appropriate mathematical procedures for estimation and measurement</w:t>
            </w: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10" w:name="O_92088"/>
      <w:bookmarkEnd w:id="10"/>
      <w:r w:rsidRPr="00214FAC">
        <w:t>Evidence Guide</w:t>
      </w:r>
    </w:p>
    <w:tbl>
      <w:tblPr>
        <w:tblW w:w="9570" w:type="dxa"/>
        <w:tblLayout w:type="fixed"/>
        <w:tblCellMar>
          <w:left w:w="62" w:type="dxa"/>
          <w:right w:w="62" w:type="dxa"/>
        </w:tblCellMar>
        <w:tblLook w:val="0000"/>
      </w:tblPr>
      <w:tblGrid>
        <w:gridCol w:w="3908"/>
        <w:gridCol w:w="5662"/>
      </w:tblGrid>
      <w:tr w:rsidTr="00664A6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EVIDENCE GUIDE</w:t>
            </w:r>
          </w:p>
        </w:tc>
      </w:tr>
      <w:tr w:rsidTr="00664A6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t>The Evidence Guide provides advice on assessment and must be read in conjunction with the performance criteria, required skills and knowledge, range statement and the Assessment Guidelines for the Training Package.</w:t>
            </w:r>
          </w:p>
        </w:tc>
      </w:tr>
      <w:tr w:rsidTr="00664A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ListBullet"/>
            </w:pPr>
            <w:r w:rsidRPr="00214FAC">
              <w:t>Read and interpret a work/job specification</w:t>
            </w:r>
          </w:p>
          <w:p w:rsidR="00000000" w:rsidRPr="00214FAC" w:rsidP="00214FAC">
            <w:pPr>
              <w:pStyle w:val="ListBullet"/>
            </w:pPr>
            <w:r w:rsidRPr="00214FAC">
              <w:t>Identify a range of lead light and stained glass types, and detail their uses and limitations</w:t>
            </w:r>
          </w:p>
          <w:p w:rsidR="00000000" w:rsidRPr="00214FAC" w:rsidP="00214FAC">
            <w:pPr>
              <w:pStyle w:val="ListBullet"/>
            </w:pPr>
            <w:r w:rsidRPr="00214FAC">
              <w:t xml:space="preserve">Identify and explain the </w:t>
            </w:r>
            <w:r w:rsidRPr="00214FAC">
              <w:t>properties of lead light and stained glass</w:t>
            </w:r>
          </w:p>
          <w:p w:rsidR="00000000" w:rsidRPr="00214FAC" w:rsidP="00214FAC">
            <w:pPr>
              <w:pStyle w:val="ListBullet"/>
            </w:pPr>
            <w:r w:rsidRPr="00214FAC">
              <w:t>Explain the likely effects of a range of faults on lead light and stained glass products</w:t>
            </w:r>
          </w:p>
          <w:p w:rsidR="00000000" w:rsidRPr="00214FAC" w:rsidP="00214FAC">
            <w:pPr>
              <w:pStyle w:val="ListBullet"/>
            </w:pPr>
            <w:r w:rsidRPr="00214FAC">
              <w:t>Identify the likely impact of various environmental effects on lead light and stained glass products</w:t>
            </w:r>
          </w:p>
          <w:p w:rsidR="00000000" w:rsidRPr="00214FAC" w:rsidP="00214FAC">
            <w:pPr>
              <w:pStyle w:val="ListBullet"/>
            </w:pPr>
            <w:r w:rsidRPr="00214FAC">
              <w:t>Demonstrate the applica</w:t>
            </w:r>
            <w:r w:rsidRPr="00214FAC">
              <w:t>tion of product and material knowledge in two differing leadlight and stained glass operations</w:t>
            </w:r>
          </w:p>
          <w:p w:rsidR="00000000" w:rsidRPr="00214FAC" w:rsidP="00214FAC">
            <w:pPr>
              <w:pStyle w:val="ListBullet"/>
            </w:pPr>
            <w:r w:rsidRPr="00214FAC">
              <w:t>Comply with legislation, regulations, standards, codes of practice and established safe practices and procedures for lead light and stained glass operations</w:t>
            </w:r>
          </w:p>
          <w:p w:rsidR="00000000" w:rsidP="00214FAC">
            <w:pPr>
              <w:pStyle w:val="ListBullet"/>
              <w:rPr>
                <w:lang w:val="en-NZ"/>
              </w:rPr>
            </w:pPr>
            <w:r w:rsidRPr="00214FAC">
              <w:t>Comm</w:t>
            </w:r>
            <w:r w:rsidRPr="00214FAC">
              <w:t>unicate effectively and work safely with others in the work area</w:t>
            </w:r>
          </w:p>
        </w:tc>
      </w:tr>
      <w:tr w:rsidTr="00664A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Context of</w:t>
            </w:r>
            <w:r w:rsidRPr="00214FAC">
              <w:t xml:space="preserve">, </w:t>
            </w:r>
            <w:r w:rsidRPr="00214FAC">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ListBullet"/>
            </w:pPr>
            <w:r w:rsidRPr="00214FAC">
              <w:t>The application of competency is to be assessed in the workplace or realistically simulated workplace</w:t>
            </w:r>
          </w:p>
          <w:p w:rsidR="00000000" w:rsidRPr="00214FAC" w:rsidP="00214FAC">
            <w:pPr>
              <w:pStyle w:val="ListBullet"/>
            </w:pPr>
            <w:r w:rsidRPr="00214FAC">
              <w:t>As</w:t>
            </w:r>
            <w:r w:rsidRPr="00214FAC">
              <w:t>sessment is to occur under standard and authorised work practices, safety requirements and environmental constraints</w:t>
            </w:r>
          </w:p>
          <w:p w:rsidR="00000000" w:rsidRPr="00214FAC" w:rsidP="00214FAC">
            <w:pPr>
              <w:pStyle w:val="ListBullet"/>
            </w:pPr>
            <w:r w:rsidRPr="00214FAC">
              <w:t>Assessment of essential underpinning knowledge, other than confirmatory questions, will usually be conducted in an off-site context</w:t>
            </w:r>
          </w:p>
          <w:p w:rsidR="00000000" w:rsidRPr="00214FAC" w:rsidP="00214FAC">
            <w:pPr>
              <w:pStyle w:val="ListBullet"/>
            </w:pPr>
            <w:r w:rsidRPr="00214FAC">
              <w:t>Assessm</w:t>
            </w:r>
            <w:r w:rsidRPr="00214FAC">
              <w:t>ent is to comply with relevant regulatory or Australian Standards requirements</w:t>
            </w:r>
          </w:p>
          <w:p w:rsidR="00000000" w:rsidRPr="00214FAC" w:rsidP="00214FAC">
            <w:pPr>
              <w:pStyle w:val="ListBullet"/>
            </w:pPr>
            <w:r w:rsidRPr="00214FAC">
              <w:t>The following resources should be made available:</w:t>
            </w:r>
          </w:p>
          <w:p w:rsidR="00000000" w:rsidRPr="00214FAC" w:rsidP="00214FAC">
            <w:pPr>
              <w:pStyle w:val="ListBullet2"/>
            </w:pPr>
            <w:r w:rsidRPr="00214FAC">
              <w:t>workplace location or simulated workplace</w:t>
            </w:r>
          </w:p>
          <w:p w:rsidR="00000000" w:rsidRPr="00214FAC" w:rsidP="00214FAC">
            <w:pPr>
              <w:pStyle w:val="ListBullet2"/>
            </w:pPr>
            <w:r w:rsidRPr="00214FAC">
              <w:t>examples of lead light and stained glass</w:t>
            </w:r>
          </w:p>
          <w:p w:rsidR="00000000" w:rsidP="00214FAC">
            <w:pPr>
              <w:pStyle w:val="ListBullet2"/>
              <w:rPr>
                <w:lang w:val="en-NZ"/>
              </w:rPr>
            </w:pPr>
            <w:r w:rsidRPr="00214FAC">
              <w:t>samples of metals</w:t>
            </w:r>
          </w:p>
        </w:tc>
      </w:tr>
      <w:tr w:rsidTr="00664A6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r w:rsidRPr="00214FAC">
              <w:t>Assessment must satisfy the endorsed assessment guidelines of the Furnishing Industry Training Package</w:t>
            </w:r>
          </w:p>
          <w:p w:rsidR="00000000" w:rsidRPr="00214FAC" w:rsidP="00214FAC">
            <w:pPr>
              <w:pStyle w:val="BodyText"/>
            </w:pPr>
            <w:r w:rsidRPr="00214FAC">
              <w:t>Assessment methods must confirm consistency and accuracy of performance (over time and in a range of workplace relevant contexts) together with applicati</w:t>
            </w:r>
            <w:r w:rsidRPr="00214FAC">
              <w:t>on of underpinning knowledge</w:t>
            </w:r>
          </w:p>
          <w:p w:rsidR="00000000" w:rsidRPr="00214FAC" w:rsidP="00214FAC">
            <w:pPr>
              <w:pStyle w:val="BodyText"/>
            </w:pPr>
            <w:r w:rsidRPr="00214FAC">
              <w:t>Assessment methods must be by direct observation of tasks and include questioning on underpinning knowledge to ensure its correct interpretation and application</w:t>
            </w:r>
          </w:p>
          <w:p w:rsidR="00000000" w:rsidRPr="00214FAC" w:rsidP="00214FAC">
            <w:pPr>
              <w:pStyle w:val="BodyText"/>
            </w:pPr>
            <w:r w:rsidRPr="00214FAC">
              <w:t>Assessment may be applied under project related conditions (real o</w:t>
            </w:r>
            <w:r w:rsidRPr="00214FAC">
              <w:t>r simulated) and require evidence of process</w:t>
            </w:r>
          </w:p>
          <w:p w:rsidR="00000000" w:rsidRPr="00214FAC" w:rsidP="00214FAC">
            <w:pPr>
              <w:pStyle w:val="BodyText"/>
            </w:pPr>
            <w:r w:rsidRPr="00214FAC">
              <w:t>Assessment must confirm a reasonable inference that competency is able not only to be satisfied under the particular circumstance, but is able to be transferred to other circumstances</w:t>
            </w:r>
          </w:p>
          <w:p w:rsidR="00000000" w:rsidRPr="00214FAC" w:rsidP="00214FAC">
            <w:pPr>
              <w:pStyle w:val="BodyText"/>
            </w:pPr>
            <w:r w:rsidRPr="00214FAC">
              <w:t>Assessment may be in conjun</w:t>
            </w:r>
            <w:r w:rsidRPr="00214FAC">
              <w:t>ction with assessment of other units of competency</w:t>
            </w: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11" w:name="O_92089"/>
      <w:bookmarkEnd w:id="11"/>
      <w:r w:rsidRPr="00214FAC">
        <w:t>Range Statement</w:t>
      </w:r>
    </w:p>
    <w:tbl>
      <w:tblPr>
        <w:tblW w:w="0" w:type="auto"/>
        <w:tblLayout w:type="fixed"/>
        <w:tblCellMar>
          <w:left w:w="62" w:type="dxa"/>
          <w:right w:w="62" w:type="dxa"/>
        </w:tblCellMar>
        <w:tblLook w:val="0000"/>
      </w:tblPr>
      <w:tblGrid>
        <w:gridCol w:w="3532"/>
        <w:gridCol w:w="4990"/>
      </w:tblGrid>
      <w:tr w:rsidTr="00664A6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RANGE STATEMENT</w:t>
            </w:r>
          </w:p>
        </w:tc>
      </w:tr>
      <w:tr w:rsidTr="00664A6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t>The range statement relates to the unit of competency as a whole. It allows for different work environments and situations that may affect performance. Bo</w:t>
            </w:r>
            <w:r w:rsidRPr="00214FAC">
              <w:t>ld italicised wording, if used in the performance criteria, is detailed below. Essential operating conditions that may be present with training and assessment (depending on the work situation, needs of the candidate, accessibility of the item, and local in</w:t>
            </w:r>
            <w:r w:rsidRPr="00214FAC">
              <w:t>dustry and regional contexts) may also be included.</w:t>
            </w:r>
          </w:p>
        </w:tc>
      </w:tr>
      <w:tr w:rsidTr="00664A6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Bullet"/>
              <w:rPr>
                <w:lang w:val="en-NZ"/>
              </w:rPr>
            </w:pPr>
            <w:r w:rsidRPr="00214FAC">
              <w:t xml:space="preserve">are to be in accordance with Commonwealth, State or Territory legislation and regulations, organisational safety policies </w:t>
            </w:r>
            <w:r w:rsidRPr="00214FAC">
              <w:t>and procedures. Requirements may include but not be limited to the use of personal protective equipment and clothing, fire fighting equipment, first aid equipment, hazard and risk control and elimination of hazardous materials and substances, manual handli</w:t>
            </w:r>
            <w:r w:rsidRPr="00214FAC">
              <w:t>ng including lifting and carrying.</w:t>
            </w:r>
          </w:p>
        </w:tc>
      </w:tr>
      <w:tr w:rsidTr="00664A6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Bullet"/>
              <w:rPr>
                <w:lang w:val="en-NZ"/>
              </w:rPr>
            </w:pPr>
            <w:r w:rsidRPr="00214FAC">
              <w:t>are to be in accordance with applicable legislation from all levels of government that affect organisational operation. Requirements may include but not be limited to award and enterprise agreeme</w:t>
            </w:r>
            <w:r w:rsidRPr="00214FAC">
              <w:t>nts, industrial relations, Australian Standards, confidentiality and privacy, OHS, the environment, equal opportunity, anti-discrimination, relevant industry codes of practice, duty of care and heritage.</w:t>
            </w:r>
          </w:p>
        </w:tc>
      </w:tr>
      <w:tr w:rsidTr="00664A6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Bullet"/>
              <w:rPr>
                <w:lang w:val="en-NZ"/>
              </w:rPr>
            </w:pPr>
            <w:r w:rsidRPr="00214FAC">
              <w:t xml:space="preserve">may include but not be </w:t>
            </w:r>
            <w:r w:rsidRPr="00214FAC">
              <w:t>limited to legal, organisational and site guidelines, policies and procedures relating to own role and responsibility, quality assurance, procedural manuals, quality and continuous improvement processes and standards, OHS, emergency and evacuation, ethical</w:t>
            </w:r>
            <w:r w:rsidRPr="00214FAC">
              <w:t xml:space="preserve"> standards, recording and reporting, access and equity principles and practices, equipment use, maintenance and storage, environmental management (waste disposal, recycling and re-use guidelines)</w:t>
            </w:r>
          </w:p>
        </w:tc>
      </w:tr>
      <w:tr w:rsidTr="00664A6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Types of glass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Bullet"/>
              <w:rPr>
                <w:lang w:val="en-NZ"/>
              </w:rPr>
            </w:pPr>
            <w:r w:rsidRPr="00214FAC">
              <w:t>may include clear, coloured, stained</w:t>
            </w:r>
          </w:p>
        </w:tc>
      </w:tr>
      <w:tr w:rsidTr="00664A6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Metals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Bullet"/>
              <w:rPr>
                <w:lang w:val="en-NZ"/>
              </w:rPr>
            </w:pPr>
            <w:r w:rsidRPr="00214FAC">
              <w:t xml:space="preserve">used in lead light and stained glass may include lead and copper </w:t>
            </w:r>
          </w:p>
        </w:tc>
      </w:tr>
      <w:tr w:rsidTr="00664A6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Glass faults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Bullet"/>
              <w:rPr>
                <w:lang w:val="en-NZ"/>
              </w:rPr>
            </w:pPr>
            <w:r w:rsidRPr="00214FAC">
              <w:t xml:space="preserve">may include but are not limited to cracking, fading, slumping </w:t>
            </w:r>
          </w:p>
        </w:tc>
      </w:tr>
      <w:tr w:rsidTr="00664A6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Other faults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ListBullet"/>
              <w:rPr>
                <w:lang w:val="en-NZ"/>
              </w:rPr>
            </w:pPr>
            <w:r w:rsidRPr="00214FAC">
              <w:t>may include but are not limited to oxidation, breakage, structural insecurity</w:t>
            </w:r>
          </w:p>
        </w:tc>
      </w:tr>
      <w:tr w:rsidTr="00664A60">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Records and reports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ListBullet"/>
            </w:pPr>
            <w:r w:rsidRPr="00214FAC">
              <w:t>may include but not be limited to the product type, size, inspection, inspection outcomes, quality outcomes and  storage locations</w:t>
            </w:r>
          </w:p>
        </w:tc>
      </w:tr>
    </w:tbl>
    <w:p w:rsidR="00664A60" w:rsidP="00214FAC">
      <w:pPr>
        <w:pStyle w:val="BodyText"/>
      </w:pPr>
    </w:p>
    <w:p w:rsidR="00664A60" w:rsidP="00214FAC">
      <w:pPr>
        <w:pStyle w:val="BodyText"/>
      </w:pPr>
    </w:p>
    <w:p w:rsidR="00000000" w:rsidRPr="00214FAC" w:rsidP="00214FAC">
      <w:pPr>
        <w:pStyle w:val="Heading1"/>
      </w:pPr>
      <w:bookmarkStart w:id="12" w:name="O_92090"/>
      <w:bookmarkEnd w:id="12"/>
      <w:r w:rsidRPr="00214FAC">
        <w:t>Unit Sector(s)</w:t>
      </w:r>
    </w:p>
    <w:tbl>
      <w:tblPr>
        <w:tblW w:w="0" w:type="auto"/>
        <w:tblLayout w:type="fixed"/>
        <w:tblCellMar>
          <w:left w:w="62" w:type="dxa"/>
          <w:right w:w="62" w:type="dxa"/>
        </w:tblCellMar>
        <w:tblLook w:val="0000"/>
      </w:tblPr>
      <w:tblGrid>
        <w:gridCol w:w="2626"/>
        <w:gridCol w:w="5896"/>
      </w:tblGrid>
      <w:tr w:rsidTr="00664A60">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r w:rsidRPr="00214FAC">
              <w:t>Lead Light and Stained Glass</w:t>
            </w: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13" w:name="O_158570"/>
      <w:bookmarkEnd w:id="13"/>
      <w:r w:rsidRPr="00214FAC">
        <w:t>Competency field</w:t>
      </w:r>
    </w:p>
    <w:tbl>
      <w:tblPr>
        <w:tblW w:w="0" w:type="auto"/>
        <w:tblLayout w:type="fixed"/>
        <w:tblCellMar>
          <w:left w:w="62" w:type="dxa"/>
          <w:right w:w="62" w:type="dxa"/>
        </w:tblCellMar>
        <w:tblLook w:val="0000"/>
      </w:tblPr>
      <w:tblGrid>
        <w:gridCol w:w="2784"/>
        <w:gridCol w:w="5738"/>
      </w:tblGrid>
      <w:tr w:rsidTr="00664A6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p>
        </w:tc>
      </w:tr>
    </w:tbl>
    <w:p w:rsidR="00000000" w:rsidRPr="00214FAC" w:rsidP="00214FAC">
      <w:pPr>
        <w:pStyle w:val="BodyText"/>
      </w:pPr>
    </w:p>
    <w:p w:rsidR="00000000" w:rsidRPr="00214FAC" w:rsidP="00214FAC">
      <w:pPr>
        <w:pStyle w:val="AllowPageBreak"/>
      </w:pPr>
    </w:p>
    <w:p w:rsidR="00000000" w:rsidRPr="00214FAC" w:rsidP="00214FAC">
      <w:pPr>
        <w:pStyle w:val="Heading1"/>
      </w:pPr>
      <w:bookmarkStart w:id="14" w:name="O_158569"/>
      <w:bookmarkEnd w:id="14"/>
      <w:r w:rsidRPr="00214FAC">
        <w:t>Co-requisite units</w:t>
      </w:r>
    </w:p>
    <w:tbl>
      <w:tblPr>
        <w:tblW w:w="0" w:type="auto"/>
        <w:tblLayout w:type="fixed"/>
        <w:tblCellMar>
          <w:left w:w="62" w:type="dxa"/>
          <w:right w:w="62" w:type="dxa"/>
        </w:tblCellMar>
        <w:tblLook w:val="0000"/>
      </w:tblPr>
      <w:tblGrid>
        <w:gridCol w:w="2641"/>
        <w:gridCol w:w="1322"/>
        <w:gridCol w:w="4559"/>
      </w:tblGrid>
      <w:tr w:rsidTr="00664A6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r w:rsidRPr="00214FA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p>
        </w:tc>
      </w:tr>
      <w:tr w:rsidTr="00664A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4FAC">
            <w:pPr>
              <w:pStyle w:val="BodyText"/>
              <w:rPr>
                <w:lang w:val="en-NZ"/>
              </w:rPr>
            </w:pPr>
          </w:p>
        </w:tc>
      </w:tr>
      <w:tr w:rsidTr="00664A6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4FAC" w:rsidP="00214FAC">
            <w:pPr>
              <w:pStyle w:val="BodyText"/>
            </w:pPr>
          </w:p>
        </w:tc>
      </w:tr>
    </w:tbl>
    <w:p w:rsidR="00000000" w:rsidRPr="00214FAC" w:rsidP="00214FAC">
      <w:pPr>
        <w:pStyle w:val="BodyText"/>
      </w:pPr>
    </w:p>
    <w:p w:rsidR="00000000" w:rsidRPr="00214FAC" w:rsidP="00214FAC"/>
    <w:sectPr w:rsidSect="00214FA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4A60" w:rsidP="00664A6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60" w:rsidP="00214FA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64A60" w:rsidP="00214FA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64A60" w:rsidP="00214FA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AC" w:rsidRPr="00664A60" w:rsidP="00664A6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4F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60" w:rsidRPr="002D2AF8" w:rsidP="00214FAC">
    <w:pPr>
      <w:pStyle w:val="Header"/>
      <w:framePr w:wrap="around"/>
    </w:pPr>
    <w:r>
      <w:fldChar w:fldCharType="begin"/>
    </w:r>
    <w:r>
      <w:instrText xml:space="preserve"> TITLE   \* MERGEFORMAT </w:instrText>
    </w:r>
    <w:r>
      <w:fldChar w:fldCharType="separate"/>
    </w:r>
    <w:r>
      <w:t>LMFSL3001A Apply product and material knowledge to lead light and stained glass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664A60" w:rsidP="00214F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DC24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A4E4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6AA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4F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4FAC"/>
    <w:pPr>
      <w:spacing w:before="360" w:after="60"/>
      <w:outlineLvl w:val="0"/>
    </w:pPr>
    <w:rPr>
      <w:sz w:val="32"/>
    </w:rPr>
  </w:style>
  <w:style w:type="paragraph" w:styleId="Heading2">
    <w:name w:val="heading 2"/>
    <w:basedOn w:val="HeadingBase"/>
    <w:next w:val="BodyText"/>
    <w:link w:val="Heading2Char"/>
    <w:qFormat/>
    <w:rsid w:val="00214FAC"/>
    <w:pPr>
      <w:keepLines/>
      <w:spacing w:before="240" w:after="120"/>
      <w:outlineLvl w:val="1"/>
    </w:pPr>
    <w:rPr>
      <w:sz w:val="28"/>
      <w:szCs w:val="40"/>
    </w:rPr>
  </w:style>
  <w:style w:type="paragraph" w:styleId="Heading3">
    <w:name w:val="heading 3"/>
    <w:basedOn w:val="HeadingBase"/>
    <w:next w:val="BodyText"/>
    <w:link w:val="Heading3Char"/>
    <w:qFormat/>
    <w:rsid w:val="00214FAC"/>
    <w:pPr>
      <w:spacing w:before="180" w:after="120"/>
      <w:outlineLvl w:val="2"/>
    </w:pPr>
    <w:rPr>
      <w:spacing w:val="-10"/>
      <w:kern w:val="32"/>
    </w:rPr>
  </w:style>
  <w:style w:type="paragraph" w:styleId="Heading4">
    <w:name w:val="heading 4"/>
    <w:basedOn w:val="HeadingBase"/>
    <w:next w:val="BodyText"/>
    <w:link w:val="Heading4Char"/>
    <w:qFormat/>
    <w:rsid w:val="00214FAC"/>
    <w:pPr>
      <w:spacing w:before="160" w:after="120"/>
      <w:outlineLvl w:val="3"/>
    </w:pPr>
    <w:rPr>
      <w:sz w:val="22"/>
    </w:rPr>
  </w:style>
  <w:style w:type="paragraph" w:styleId="Heading5">
    <w:name w:val="heading 5"/>
    <w:basedOn w:val="HeadingBase"/>
    <w:next w:val="Normal"/>
    <w:link w:val="Heading5Char"/>
    <w:qFormat/>
    <w:rsid w:val="00214FAC"/>
    <w:pPr>
      <w:spacing w:before="80"/>
      <w:outlineLvl w:val="4"/>
    </w:pPr>
    <w:rPr>
      <w:color w:val="918585"/>
      <w:sz w:val="20"/>
    </w:rPr>
  </w:style>
  <w:style w:type="paragraph" w:styleId="Heading6">
    <w:name w:val="heading 6"/>
    <w:basedOn w:val="HeadingBase"/>
    <w:next w:val="Normal"/>
    <w:link w:val="Heading6Char"/>
    <w:qFormat/>
    <w:rsid w:val="00214FAC"/>
    <w:pPr>
      <w:spacing w:before="60"/>
      <w:outlineLvl w:val="5"/>
    </w:pPr>
    <w:rPr>
      <w:color w:val="918585"/>
      <w:sz w:val="20"/>
    </w:rPr>
  </w:style>
  <w:style w:type="paragraph" w:styleId="Heading7">
    <w:name w:val="heading 7"/>
    <w:basedOn w:val="Normal"/>
    <w:next w:val="Normal"/>
    <w:link w:val="Heading7Char"/>
    <w:qFormat/>
    <w:rsid w:val="00214FAC"/>
    <w:pPr>
      <w:ind w:left="720"/>
      <w:outlineLvl w:val="6"/>
    </w:pPr>
    <w:rPr>
      <w:i/>
    </w:rPr>
  </w:style>
  <w:style w:type="paragraph" w:styleId="Heading8">
    <w:name w:val="heading 8"/>
    <w:basedOn w:val="Normal"/>
    <w:next w:val="Normal"/>
    <w:link w:val="Heading8Char"/>
    <w:qFormat/>
    <w:rsid w:val="00214FAC"/>
    <w:pPr>
      <w:ind w:left="720"/>
      <w:outlineLvl w:val="7"/>
    </w:pPr>
    <w:rPr>
      <w:i/>
    </w:rPr>
  </w:style>
  <w:style w:type="paragraph" w:styleId="Heading9">
    <w:name w:val="heading 9"/>
    <w:basedOn w:val="Normal"/>
    <w:next w:val="Normal"/>
    <w:link w:val="Heading9Char"/>
    <w:qFormat/>
    <w:rsid w:val="00214FAC"/>
    <w:pPr>
      <w:ind w:left="720"/>
      <w:outlineLvl w:val="8"/>
    </w:pPr>
    <w:rPr>
      <w:i/>
    </w:rPr>
  </w:style>
  <w:style w:type="character" w:default="1" w:styleId="DefaultParagraphFont">
    <w:name w:val="Default Paragraph Font"/>
    <w:uiPriority w:val="1"/>
    <w:unhideWhenUsed/>
    <w:rsid w:val="00214F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4FAC"/>
  </w:style>
  <w:style w:type="character" w:customStyle="1" w:styleId="Heading1Char">
    <w:name w:val="Heading 1 Char"/>
    <w:basedOn w:val="DefaultParagraphFont"/>
    <w:link w:val="Heading1"/>
    <w:rsid w:val="00214FAC"/>
    <w:rPr>
      <w:rFonts w:ascii="Times New Roman" w:eastAsia="Times New Roman" w:hAnsi="Times New Roman" w:cs="Times New Roman"/>
      <w:b/>
      <w:sz w:val="32"/>
      <w:szCs w:val="20"/>
      <w:lang w:eastAsia="en-US"/>
    </w:rPr>
  </w:style>
  <w:style w:type="paragraph" w:styleId="BodyText">
    <w:name w:val="Body Text"/>
    <w:basedOn w:val="Normal"/>
    <w:link w:val="BodyTextChar"/>
    <w:rsid w:val="00214FA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14FAC"/>
    <w:rPr>
      <w:rFonts w:ascii="Times New Roman" w:eastAsia="Times New Roman" w:hAnsi="Times New Roman" w:cs="Times New Roman"/>
      <w:sz w:val="24"/>
      <w:lang w:eastAsia="en-US"/>
    </w:rPr>
  </w:style>
  <w:style w:type="paragraph" w:styleId="Footer">
    <w:name w:val="footer"/>
    <w:basedOn w:val="Normal"/>
    <w:link w:val="FooterChar"/>
    <w:rsid w:val="00214F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4FAC"/>
    <w:rPr>
      <w:rFonts w:ascii="Times New Roman" w:eastAsia="Times New Roman" w:hAnsi="Times New Roman" w:cs="Times New Roman"/>
      <w:sz w:val="16"/>
      <w:lang w:eastAsia="en-US"/>
    </w:rPr>
  </w:style>
  <w:style w:type="paragraph" w:styleId="List">
    <w:name w:val="List"/>
    <w:basedOn w:val="BodyText"/>
    <w:next w:val="BodyText"/>
    <w:rsid w:val="00214FAC"/>
    <w:pPr>
      <w:tabs>
        <w:tab w:val="left" w:pos="340"/>
      </w:tabs>
      <w:spacing w:before="60" w:after="60"/>
      <w:ind w:left="340" w:hanging="340"/>
    </w:pPr>
  </w:style>
  <w:style w:type="paragraph" w:styleId="ListBullet">
    <w:name w:val="List Bullet"/>
    <w:basedOn w:val="List"/>
    <w:rsid w:val="00214FAC"/>
    <w:pPr>
      <w:numPr>
        <w:numId w:val="13"/>
      </w:numPr>
      <w:tabs>
        <w:tab w:val="clear" w:pos="340"/>
      </w:tabs>
      <w:spacing w:before="40" w:after="40"/>
    </w:pPr>
  </w:style>
  <w:style w:type="character" w:customStyle="1" w:styleId="SpecialBold">
    <w:name w:val="Special Bold"/>
    <w:basedOn w:val="DefaultParagraphFont"/>
    <w:rsid w:val="00214FAC"/>
    <w:rPr>
      <w:b/>
      <w:spacing w:val="0"/>
    </w:rPr>
  </w:style>
  <w:style w:type="paragraph" w:styleId="ListBullet2">
    <w:name w:val="List Bullet 2"/>
    <w:basedOn w:val="List2"/>
    <w:rsid w:val="00214FAC"/>
    <w:pPr>
      <w:numPr>
        <w:numId w:val="14"/>
      </w:numPr>
      <w:tabs>
        <w:tab w:val="clear" w:pos="680"/>
      </w:tabs>
    </w:pPr>
  </w:style>
  <w:style w:type="paragraph" w:customStyle="1" w:styleId="SuperHeading">
    <w:name w:val="SuperHeading"/>
    <w:basedOn w:val="Normal"/>
    <w:rsid w:val="00214FAC"/>
    <w:pPr>
      <w:spacing w:before="240" w:after="120"/>
      <w:outlineLvl w:val="0"/>
    </w:pPr>
    <w:rPr>
      <w:rFonts w:ascii="Times New Roman" w:hAnsi="Times New Roman"/>
      <w:b/>
      <w:sz w:val="28"/>
    </w:rPr>
  </w:style>
  <w:style w:type="paragraph" w:customStyle="1" w:styleId="AllowPageBreak">
    <w:name w:val="AllowPageBreak"/>
    <w:rsid w:val="00214FA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14FAC"/>
    <w:pPr>
      <w:tabs>
        <w:tab w:val="left" w:pos="680"/>
      </w:tabs>
      <w:spacing w:before="60" w:after="60"/>
      <w:ind w:left="680" w:hanging="340"/>
    </w:pPr>
  </w:style>
  <w:style w:type="character" w:customStyle="1" w:styleId="BoldandItalics">
    <w:name w:val="Bold and Italics"/>
    <w:qFormat/>
    <w:rsid w:val="00214FAC"/>
    <w:rPr>
      <w:b/>
      <w:i/>
      <w:u w:val="none"/>
    </w:rPr>
  </w:style>
  <w:style w:type="character" w:customStyle="1" w:styleId="Heading2Char">
    <w:name w:val="Heading 2 Char"/>
    <w:basedOn w:val="DefaultParagraphFont"/>
    <w:link w:val="Heading2"/>
    <w:rsid w:val="00214F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4F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4F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4F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4F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4F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4F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4FAC"/>
    <w:rPr>
      <w:rFonts w:ascii="Courier New" w:eastAsia="Times New Roman" w:hAnsi="Courier New" w:cs="Times New Roman"/>
      <w:i/>
      <w:szCs w:val="20"/>
      <w:lang w:eastAsia="en-US"/>
    </w:rPr>
  </w:style>
  <w:style w:type="paragraph" w:customStyle="1" w:styleId="HeadingBase">
    <w:name w:val="Heading Base"/>
    <w:rsid w:val="00214F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4FAC"/>
    <w:pPr>
      <w:tabs>
        <w:tab w:val="right" w:leader="dot" w:pos="9072"/>
      </w:tabs>
      <w:ind w:left="567"/>
    </w:pPr>
    <w:rPr>
      <w:szCs w:val="22"/>
    </w:rPr>
  </w:style>
  <w:style w:type="paragraph" w:customStyle="1" w:styleId="TOCBase">
    <w:name w:val="TOC Base"/>
    <w:rsid w:val="00214F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4FAC"/>
    <w:pPr>
      <w:tabs>
        <w:tab w:val="right" w:leader="dot" w:pos="9072"/>
      </w:tabs>
      <w:spacing w:before="40" w:after="40"/>
      <w:ind w:left="284"/>
    </w:pPr>
    <w:rPr>
      <w:rFonts w:ascii="Times New Roman" w:hAnsi="Times New Roman"/>
    </w:rPr>
  </w:style>
  <w:style w:type="paragraph" w:styleId="TOC1">
    <w:name w:val="toc 1"/>
    <w:basedOn w:val="TOCBase"/>
    <w:next w:val="Normal"/>
    <w:rsid w:val="00214FA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14FAC"/>
    <w:pPr>
      <w:spacing w:before="5040"/>
      <w:jc w:val="center"/>
    </w:pPr>
    <w:rPr>
      <w:sz w:val="48"/>
      <w:szCs w:val="72"/>
      <w:lang w:val="en-US"/>
    </w:rPr>
  </w:style>
  <w:style w:type="character" w:customStyle="1" w:styleId="TitleChar">
    <w:name w:val="Title Char"/>
    <w:basedOn w:val="DefaultParagraphFont"/>
    <w:link w:val="Title"/>
    <w:rsid w:val="00214F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4FAC"/>
    <w:pPr>
      <w:tabs>
        <w:tab w:val="left" w:pos="3600"/>
        <w:tab w:val="left" w:pos="3958"/>
      </w:tabs>
    </w:pPr>
  </w:style>
  <w:style w:type="paragraph" w:customStyle="1" w:styleId="Note">
    <w:name w:val="Note"/>
    <w:basedOn w:val="BodyText"/>
    <w:rsid w:val="00214FA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4FAC"/>
    <w:pPr>
      <w:framePr w:wrap="auto" w:hAnchor="text" w:y="6049"/>
    </w:pPr>
    <w:rPr>
      <w:color w:val="000000"/>
      <w:sz w:val="40"/>
    </w:rPr>
  </w:style>
  <w:style w:type="paragraph" w:customStyle="1" w:styleId="TOCTitle">
    <w:name w:val="TOCTitle"/>
    <w:basedOn w:val="Heading1"/>
    <w:rsid w:val="00214FAC"/>
    <w:pPr>
      <w:spacing w:after="240"/>
      <w:jc w:val="center"/>
      <w:outlineLvl w:val="9"/>
    </w:pPr>
    <w:rPr>
      <w:caps/>
    </w:rPr>
  </w:style>
  <w:style w:type="paragraph" w:customStyle="1" w:styleId="Version">
    <w:name w:val="Version"/>
    <w:rsid w:val="00214F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4FAC"/>
    <w:pPr>
      <w:keepNext w:val="0"/>
      <w:tabs>
        <w:tab w:val="right" w:pos="4176"/>
      </w:tabs>
      <w:ind w:left="198" w:hanging="198"/>
    </w:pPr>
    <w:rPr>
      <w:rFonts w:ascii="Garamond" w:hAnsi="Garamond"/>
    </w:rPr>
  </w:style>
  <w:style w:type="paragraph" w:styleId="IndexHeading">
    <w:name w:val="index heading"/>
    <w:basedOn w:val="Normal"/>
    <w:next w:val="Index1"/>
    <w:semiHidden/>
    <w:rsid w:val="00214FAC"/>
    <w:pPr>
      <w:spacing w:before="120" w:after="120"/>
    </w:pPr>
    <w:rPr>
      <w:rFonts w:ascii="Arial" w:hAnsi="Arial"/>
      <w:b/>
      <w:color w:val="918585"/>
      <w:sz w:val="24"/>
    </w:rPr>
  </w:style>
  <w:style w:type="paragraph" w:styleId="Header">
    <w:name w:val="header"/>
    <w:basedOn w:val="Normal"/>
    <w:link w:val="HeaderChar"/>
    <w:rsid w:val="00214F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4FAC"/>
    <w:rPr>
      <w:rFonts w:ascii="Times New Roman" w:eastAsia="Times New Roman" w:hAnsi="Times New Roman" w:cs="Times New Roman"/>
      <w:sz w:val="16"/>
      <w:szCs w:val="20"/>
      <w:lang w:val="en-GB" w:eastAsia="en-US"/>
    </w:rPr>
  </w:style>
  <w:style w:type="paragraph" w:customStyle="1" w:styleId="Chapter">
    <w:name w:val="Chapter"/>
    <w:basedOn w:val="Normal"/>
    <w:rsid w:val="00214FAC"/>
    <w:pPr>
      <w:spacing w:before="240"/>
    </w:pPr>
    <w:rPr>
      <w:rFonts w:ascii="Times New Roman" w:hAnsi="Times New Roman"/>
      <w:smallCaps/>
      <w:spacing w:val="80"/>
      <w:sz w:val="28"/>
    </w:rPr>
  </w:style>
  <w:style w:type="paragraph" w:customStyle="1" w:styleId="InChapter">
    <w:name w:val="InChapter"/>
    <w:basedOn w:val="Heading3"/>
    <w:rsid w:val="00214FAC"/>
    <w:pPr>
      <w:spacing w:after="240"/>
      <w:outlineLvl w:val="9"/>
    </w:pPr>
    <w:rPr>
      <w:noProof/>
    </w:rPr>
  </w:style>
  <w:style w:type="paragraph" w:styleId="Index2">
    <w:name w:val="index 2"/>
    <w:basedOn w:val="Normal"/>
    <w:next w:val="Normal"/>
    <w:semiHidden/>
    <w:rsid w:val="00214FAC"/>
    <w:pPr>
      <w:tabs>
        <w:tab w:val="right" w:pos="4176"/>
      </w:tabs>
      <w:ind w:left="568" w:hanging="284"/>
    </w:pPr>
    <w:rPr>
      <w:rFonts w:ascii="Garamond" w:hAnsi="Garamond"/>
    </w:rPr>
  </w:style>
  <w:style w:type="paragraph" w:customStyle="1" w:styleId="Byline">
    <w:name w:val="Byline"/>
    <w:rsid w:val="00214F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4FAC"/>
    <w:pPr>
      <w:tabs>
        <w:tab w:val="clear" w:pos="3600"/>
        <w:tab w:val="clear" w:pos="3958"/>
      </w:tabs>
      <w:jc w:val="right"/>
    </w:pPr>
  </w:style>
  <w:style w:type="character" w:styleId="Emphasis">
    <w:name w:val="Emphasis"/>
    <w:basedOn w:val="DefaultParagraphFont"/>
    <w:qFormat/>
    <w:rsid w:val="00214FAC"/>
    <w:rPr>
      <w:i/>
    </w:rPr>
  </w:style>
  <w:style w:type="paragraph" w:styleId="Caption">
    <w:name w:val="caption"/>
    <w:basedOn w:val="BodyText"/>
    <w:next w:val="Normal"/>
    <w:qFormat/>
    <w:rsid w:val="00214FAC"/>
    <w:pPr>
      <w:framePr w:w="2268" w:hSpace="181" w:vSpace="181" w:wrap="around" w:vAnchor="text" w:hAnchor="page" w:x="1135" w:y="285" w:anchorLock="1"/>
    </w:pPr>
    <w:rPr>
      <w:i/>
    </w:rPr>
  </w:style>
  <w:style w:type="paragraph" w:customStyle="1" w:styleId="MiniTOCTitle">
    <w:name w:val="MiniTOCTitle"/>
    <w:basedOn w:val="Heading4"/>
    <w:rsid w:val="00214FAC"/>
    <w:pPr>
      <w:spacing w:before="240"/>
      <w:outlineLvl w:val="9"/>
    </w:pPr>
    <w:rPr>
      <w:noProof/>
      <w:sz w:val="24"/>
    </w:rPr>
  </w:style>
  <w:style w:type="paragraph" w:customStyle="1" w:styleId="MiniTOCItem">
    <w:name w:val="MiniTOCItem"/>
    <w:basedOn w:val="ListBullet"/>
    <w:rsid w:val="00214FAC"/>
    <w:pPr>
      <w:numPr>
        <w:numId w:val="0"/>
      </w:numPr>
      <w:tabs>
        <w:tab w:val="right" w:leader="dot" w:pos="6521"/>
      </w:tabs>
      <w:spacing w:before="0" w:after="0"/>
    </w:pPr>
  </w:style>
  <w:style w:type="paragraph" w:customStyle="1" w:styleId="TOFTitle">
    <w:name w:val="TOFTitle"/>
    <w:basedOn w:val="TOCTitle"/>
    <w:rsid w:val="00214FAC"/>
  </w:style>
  <w:style w:type="paragraph" w:styleId="TableofFigures">
    <w:name w:val="table of figures"/>
    <w:basedOn w:val="Normal"/>
    <w:next w:val="Normal"/>
    <w:semiHidden/>
    <w:rsid w:val="00214FAC"/>
    <w:pPr>
      <w:tabs>
        <w:tab w:val="right" w:leader="dot" w:pos="9072"/>
      </w:tabs>
      <w:ind w:left="970" w:hanging="403"/>
    </w:pPr>
    <w:rPr>
      <w:rFonts w:ascii="Times New Roman" w:hAnsi="Times New Roman"/>
      <w:b/>
    </w:rPr>
  </w:style>
  <w:style w:type="paragraph" w:styleId="ListNumber">
    <w:name w:val="List Number"/>
    <w:basedOn w:val="List"/>
    <w:rsid w:val="00214FAC"/>
    <w:pPr>
      <w:numPr>
        <w:numId w:val="11"/>
      </w:numPr>
    </w:pPr>
  </w:style>
  <w:style w:type="character" w:customStyle="1" w:styleId="WingdingSymbols">
    <w:name w:val="Wingding Symbols"/>
    <w:rsid w:val="00214FAC"/>
    <w:rPr>
      <w:rFonts w:ascii="Wingdings" w:hAnsi="Wingdings"/>
    </w:rPr>
  </w:style>
  <w:style w:type="paragraph" w:customStyle="1" w:styleId="TableHeading">
    <w:name w:val="Table Heading"/>
    <w:basedOn w:val="HeadingBase"/>
    <w:rsid w:val="00214FAC"/>
    <w:pPr>
      <w:keepLines/>
      <w:pBdr>
        <w:bottom w:val="single" w:sz="6" w:space="1" w:color="918585"/>
      </w:pBdr>
      <w:spacing w:before="240"/>
    </w:pPr>
  </w:style>
  <w:style w:type="character" w:customStyle="1" w:styleId="HotSpot">
    <w:name w:val="HotSpot"/>
    <w:rsid w:val="00214FAC"/>
    <w:rPr>
      <w:color w:val="0033CC"/>
      <w:u w:val="none"/>
    </w:rPr>
  </w:style>
  <w:style w:type="paragraph" w:customStyle="1" w:styleId="BodyTextRight">
    <w:name w:val="Body Text Right"/>
    <w:basedOn w:val="BodyText"/>
    <w:rsid w:val="00214FAC"/>
    <w:pPr>
      <w:spacing w:before="0" w:after="0"/>
      <w:jc w:val="right"/>
    </w:pPr>
  </w:style>
  <w:style w:type="paragraph" w:styleId="Index3">
    <w:name w:val="index 3"/>
    <w:basedOn w:val="ListNumber2"/>
    <w:next w:val="Normal"/>
    <w:semiHidden/>
    <w:rsid w:val="00214FAC"/>
    <w:pPr>
      <w:numPr>
        <w:numId w:val="0"/>
      </w:numPr>
      <w:tabs>
        <w:tab w:val="right" w:leader="dot" w:pos="4176"/>
      </w:tabs>
    </w:pPr>
  </w:style>
  <w:style w:type="paragraph" w:styleId="ListNumber2">
    <w:name w:val="List Number 2"/>
    <w:basedOn w:val="List2"/>
    <w:rsid w:val="00214FAC"/>
    <w:pPr>
      <w:numPr>
        <w:numId w:val="10"/>
      </w:numPr>
      <w:tabs>
        <w:tab w:val="clear" w:pos="1060"/>
      </w:tabs>
    </w:pPr>
  </w:style>
  <w:style w:type="paragraph" w:customStyle="1" w:styleId="MarginNote">
    <w:name w:val="Margin Note"/>
    <w:basedOn w:val="BodyText"/>
    <w:rsid w:val="00214F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4F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4F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4FAC"/>
    <w:rPr>
      <w:sz w:val="32"/>
    </w:rPr>
  </w:style>
  <w:style w:type="paragraph" w:customStyle="1" w:styleId="HeadingProcedure">
    <w:name w:val="Heading Procedure"/>
    <w:basedOn w:val="HeadingBase"/>
    <w:next w:val="Normal"/>
    <w:rsid w:val="00214FAC"/>
    <w:pPr>
      <w:tabs>
        <w:tab w:val="left" w:pos="0"/>
      </w:tabs>
      <w:spacing w:before="120" w:after="60"/>
    </w:pPr>
    <w:rPr>
      <w:i/>
      <w:color w:val="918585"/>
      <w:sz w:val="22"/>
    </w:rPr>
  </w:style>
  <w:style w:type="paragraph" w:customStyle="1" w:styleId="TableBodyText">
    <w:name w:val="Table Body Text"/>
    <w:basedOn w:val="BodyText"/>
    <w:rsid w:val="00214FAC"/>
    <w:pPr>
      <w:spacing w:before="60" w:after="60"/>
    </w:pPr>
  </w:style>
  <w:style w:type="paragraph" w:styleId="ListContinue">
    <w:name w:val="List Continue"/>
    <w:basedOn w:val="List"/>
    <w:rsid w:val="00214FAC"/>
    <w:pPr>
      <w:ind w:firstLine="0"/>
    </w:pPr>
  </w:style>
  <w:style w:type="paragraph" w:customStyle="1" w:styleId="ListNote">
    <w:name w:val="List Note"/>
    <w:basedOn w:val="List"/>
    <w:rsid w:val="00214FAC"/>
    <w:pPr>
      <w:pBdr>
        <w:top w:val="single" w:sz="6" w:space="2" w:color="918585"/>
        <w:bottom w:val="single" w:sz="6" w:space="2" w:color="918585"/>
      </w:pBdr>
      <w:tabs>
        <w:tab w:val="left" w:pos="1021"/>
      </w:tabs>
      <w:ind w:firstLine="0"/>
    </w:pPr>
  </w:style>
  <w:style w:type="paragraph" w:customStyle="1" w:styleId="Warning">
    <w:name w:val="Warning"/>
    <w:basedOn w:val="BodyText"/>
    <w:rsid w:val="00214FAC"/>
    <w:pPr>
      <w:shd w:val="clear" w:color="auto" w:fill="D9D9D9"/>
      <w:tabs>
        <w:tab w:val="left" w:pos="992"/>
      </w:tabs>
      <w:ind w:left="119" w:right="119"/>
    </w:pPr>
    <w:rPr>
      <w:sz w:val="20"/>
    </w:rPr>
  </w:style>
  <w:style w:type="paragraph" w:customStyle="1" w:styleId="MarginIcons">
    <w:name w:val="Margin Icons"/>
    <w:basedOn w:val="BodyText"/>
    <w:rsid w:val="00214F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4FAC"/>
    <w:rPr>
      <w:rFonts w:ascii="Courier New" w:hAnsi="Courier New"/>
    </w:rPr>
  </w:style>
  <w:style w:type="paragraph" w:customStyle="1" w:styleId="NoteBullet">
    <w:name w:val="Note Bullet"/>
    <w:basedOn w:val="Note"/>
    <w:rsid w:val="00214FAC"/>
    <w:pPr>
      <w:tabs>
        <w:tab w:val="clear" w:pos="680"/>
      </w:tabs>
      <w:spacing w:before="60" w:after="60"/>
    </w:pPr>
  </w:style>
  <w:style w:type="paragraph" w:customStyle="1" w:styleId="SubHeading2">
    <w:name w:val="SubHeading2"/>
    <w:basedOn w:val="HeadingBase"/>
    <w:rsid w:val="00214FAC"/>
    <w:pPr>
      <w:spacing w:before="240" w:after="60"/>
    </w:pPr>
    <w:rPr>
      <w:sz w:val="20"/>
    </w:rPr>
  </w:style>
  <w:style w:type="paragraph" w:customStyle="1" w:styleId="SubHeading1">
    <w:name w:val="SubHeading1"/>
    <w:basedOn w:val="HeadingBase"/>
    <w:rsid w:val="00214FAC"/>
    <w:pPr>
      <w:spacing w:before="240" w:after="60"/>
    </w:pPr>
    <w:rPr>
      <w:color w:val="918585"/>
      <w:sz w:val="22"/>
    </w:rPr>
  </w:style>
  <w:style w:type="paragraph" w:customStyle="1" w:styleId="SideHeading">
    <w:name w:val="Side Heading"/>
    <w:basedOn w:val="HeadingBase"/>
    <w:rsid w:val="00214F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4FAC"/>
    <w:pPr>
      <w:numPr>
        <w:numId w:val="12"/>
      </w:numPr>
    </w:pPr>
  </w:style>
  <w:style w:type="paragraph" w:styleId="PlainText">
    <w:name w:val="Plain Text"/>
    <w:basedOn w:val="Normal"/>
    <w:link w:val="PlainTextChar"/>
    <w:rsid w:val="00214FAC"/>
    <w:rPr>
      <w:sz w:val="20"/>
    </w:rPr>
  </w:style>
  <w:style w:type="character" w:customStyle="1" w:styleId="PlainTextChar">
    <w:name w:val="Plain Text Char"/>
    <w:basedOn w:val="DefaultParagraphFont"/>
    <w:link w:val="PlainText"/>
    <w:rsid w:val="00214FAC"/>
    <w:rPr>
      <w:rFonts w:ascii="Courier New" w:eastAsia="Times New Roman" w:hAnsi="Courier New" w:cs="Times New Roman"/>
      <w:sz w:val="20"/>
      <w:szCs w:val="20"/>
      <w:lang w:eastAsia="en-US"/>
    </w:rPr>
  </w:style>
  <w:style w:type="character" w:customStyle="1" w:styleId="MenuOption">
    <w:name w:val="Menu Option"/>
    <w:basedOn w:val="DefaultParagraphFont"/>
    <w:rsid w:val="00214FAC"/>
    <w:rPr>
      <w:b/>
      <w:smallCaps/>
    </w:rPr>
  </w:style>
  <w:style w:type="paragraph" w:customStyle="1" w:styleId="TableListNumber">
    <w:name w:val="Table List Number"/>
    <w:basedOn w:val="ListNumber"/>
    <w:rsid w:val="00214FAC"/>
    <w:pPr>
      <w:numPr>
        <w:numId w:val="0"/>
      </w:numPr>
    </w:pPr>
  </w:style>
  <w:style w:type="paragraph" w:styleId="TOC4">
    <w:name w:val="toc 4"/>
    <w:basedOn w:val="TOCBase"/>
    <w:next w:val="Normal"/>
    <w:semiHidden/>
    <w:rsid w:val="00214FAC"/>
    <w:pPr>
      <w:tabs>
        <w:tab w:val="right" w:leader="dot" w:pos="9071"/>
      </w:tabs>
      <w:ind w:left="1701"/>
    </w:pPr>
  </w:style>
  <w:style w:type="paragraph" w:customStyle="1" w:styleId="ListAlpha">
    <w:name w:val="List Alpha"/>
    <w:basedOn w:val="List"/>
    <w:rsid w:val="00214FAC"/>
    <w:pPr>
      <w:numPr>
        <w:numId w:val="9"/>
      </w:numPr>
    </w:pPr>
  </w:style>
  <w:style w:type="paragraph" w:customStyle="1" w:styleId="ListAlpha2">
    <w:name w:val="List Alpha 2"/>
    <w:basedOn w:val="List2"/>
    <w:rsid w:val="00214FAC"/>
    <w:pPr>
      <w:numPr>
        <w:numId w:val="8"/>
      </w:numPr>
    </w:pPr>
  </w:style>
  <w:style w:type="paragraph" w:styleId="List3">
    <w:name w:val="List 3"/>
    <w:basedOn w:val="BodyText"/>
    <w:rsid w:val="00214FAC"/>
    <w:pPr>
      <w:tabs>
        <w:tab w:val="left" w:pos="1021"/>
      </w:tabs>
      <w:spacing w:before="60" w:after="60"/>
      <w:ind w:left="1020" w:hanging="340"/>
    </w:pPr>
  </w:style>
  <w:style w:type="paragraph" w:styleId="List4">
    <w:name w:val="List 4"/>
    <w:basedOn w:val="BodyText"/>
    <w:rsid w:val="00214FAC"/>
    <w:pPr>
      <w:tabs>
        <w:tab w:val="left" w:pos="1361"/>
      </w:tabs>
      <w:spacing w:before="60" w:after="60"/>
      <w:ind w:left="1361" w:hanging="340"/>
    </w:pPr>
  </w:style>
  <w:style w:type="paragraph" w:styleId="List5">
    <w:name w:val="List 5"/>
    <w:basedOn w:val="BodyText"/>
    <w:rsid w:val="00214FAC"/>
    <w:pPr>
      <w:tabs>
        <w:tab w:val="left" w:pos="1701"/>
      </w:tabs>
      <w:spacing w:before="60" w:after="60"/>
      <w:ind w:left="1701" w:hanging="340"/>
    </w:pPr>
  </w:style>
  <w:style w:type="paragraph" w:styleId="ListBullet3">
    <w:name w:val="List Bullet 3"/>
    <w:basedOn w:val="List3"/>
    <w:rsid w:val="00214FAC"/>
    <w:pPr>
      <w:numPr>
        <w:numId w:val="15"/>
      </w:numPr>
      <w:tabs>
        <w:tab w:val="clear" w:pos="1021"/>
      </w:tabs>
      <w:ind w:left="1037" w:hanging="357"/>
    </w:pPr>
  </w:style>
  <w:style w:type="paragraph" w:styleId="ListBullet4">
    <w:name w:val="List Bullet 4"/>
    <w:basedOn w:val="List4"/>
    <w:rsid w:val="00214FAC"/>
    <w:pPr>
      <w:numPr>
        <w:numId w:val="3"/>
      </w:numPr>
    </w:pPr>
  </w:style>
  <w:style w:type="paragraph" w:styleId="ListBullet5">
    <w:name w:val="List Bullet 5"/>
    <w:basedOn w:val="List5"/>
    <w:rsid w:val="00214FAC"/>
    <w:pPr>
      <w:numPr>
        <w:numId w:val="4"/>
      </w:numPr>
    </w:pPr>
  </w:style>
  <w:style w:type="paragraph" w:styleId="ListContinue2">
    <w:name w:val="List Continue 2"/>
    <w:basedOn w:val="List2"/>
    <w:rsid w:val="00214FAC"/>
    <w:pPr>
      <w:ind w:firstLine="0"/>
    </w:pPr>
  </w:style>
  <w:style w:type="paragraph" w:styleId="ListContinue3">
    <w:name w:val="List Continue 3"/>
    <w:basedOn w:val="List3"/>
    <w:rsid w:val="00214FAC"/>
    <w:pPr>
      <w:ind w:left="1021" w:firstLine="0"/>
    </w:pPr>
  </w:style>
  <w:style w:type="paragraph" w:styleId="ListContinue4">
    <w:name w:val="List Continue 4"/>
    <w:basedOn w:val="List4"/>
    <w:rsid w:val="00214FAC"/>
    <w:pPr>
      <w:ind w:firstLine="0"/>
    </w:pPr>
  </w:style>
  <w:style w:type="paragraph" w:styleId="ListContinue5">
    <w:name w:val="List Continue 5"/>
    <w:basedOn w:val="List5"/>
    <w:rsid w:val="00214FAC"/>
    <w:pPr>
      <w:ind w:firstLine="0"/>
    </w:pPr>
  </w:style>
  <w:style w:type="paragraph" w:styleId="ListNumber3">
    <w:name w:val="List Number 3"/>
    <w:basedOn w:val="List3"/>
    <w:rsid w:val="00214FAC"/>
    <w:pPr>
      <w:numPr>
        <w:numId w:val="5"/>
      </w:numPr>
    </w:pPr>
  </w:style>
  <w:style w:type="paragraph" w:styleId="ListNumber4">
    <w:name w:val="List Number 4"/>
    <w:basedOn w:val="List4"/>
    <w:rsid w:val="00214FAC"/>
    <w:pPr>
      <w:numPr>
        <w:numId w:val="6"/>
      </w:numPr>
    </w:pPr>
  </w:style>
  <w:style w:type="paragraph" w:styleId="ListNumber5">
    <w:name w:val="List Number 5"/>
    <w:basedOn w:val="List5"/>
    <w:rsid w:val="00214FAC"/>
    <w:pPr>
      <w:numPr>
        <w:numId w:val="7"/>
      </w:numPr>
    </w:pPr>
  </w:style>
  <w:style w:type="paragraph" w:styleId="BlockText">
    <w:name w:val="Block Text"/>
    <w:basedOn w:val="Normal"/>
    <w:rsid w:val="00214FAC"/>
    <w:pPr>
      <w:spacing w:after="120"/>
      <w:ind w:left="1440" w:right="1440"/>
    </w:pPr>
  </w:style>
  <w:style w:type="character" w:customStyle="1" w:styleId="Subscript">
    <w:name w:val="Subscript"/>
    <w:basedOn w:val="DefaultParagraphFont"/>
    <w:rsid w:val="00214FAC"/>
    <w:rPr>
      <w:sz w:val="16"/>
      <w:vertAlign w:val="subscript"/>
    </w:rPr>
  </w:style>
  <w:style w:type="character" w:customStyle="1" w:styleId="Superscript">
    <w:name w:val="Superscript"/>
    <w:basedOn w:val="DefaultParagraphFont"/>
    <w:rsid w:val="00214FAC"/>
    <w:rPr>
      <w:sz w:val="16"/>
      <w:vertAlign w:val="superscript"/>
    </w:rPr>
  </w:style>
  <w:style w:type="character" w:customStyle="1" w:styleId="Symbols">
    <w:name w:val="Symbols"/>
    <w:basedOn w:val="DefaultParagraphFont"/>
    <w:rsid w:val="00214FAC"/>
    <w:rPr>
      <w:rFonts w:ascii="Symbol" w:hAnsi="Symbol"/>
    </w:rPr>
  </w:style>
  <w:style w:type="character" w:customStyle="1" w:styleId="MenuOptions">
    <w:name w:val="Menu Options"/>
    <w:basedOn w:val="DefaultParagraphFont"/>
    <w:rsid w:val="00214FAC"/>
    <w:rPr>
      <w:rFonts w:ascii="Arial Narrow" w:hAnsi="Arial Narrow"/>
      <w:smallCaps/>
    </w:rPr>
  </w:style>
  <w:style w:type="character" w:customStyle="1" w:styleId="Buttons">
    <w:name w:val="Buttons"/>
    <w:basedOn w:val="DefaultParagraphFont"/>
    <w:rsid w:val="00214FAC"/>
    <w:rPr>
      <w:b/>
    </w:rPr>
  </w:style>
  <w:style w:type="character" w:customStyle="1" w:styleId="Underlined">
    <w:name w:val="Underlined"/>
    <w:basedOn w:val="DefaultParagraphFont"/>
    <w:rsid w:val="00214FAC"/>
    <w:rPr>
      <w:u w:val="single"/>
    </w:rPr>
  </w:style>
  <w:style w:type="paragraph" w:customStyle="1" w:styleId="TableBodyTextRight">
    <w:name w:val="Table Body Text Right"/>
    <w:basedOn w:val="TableBodyText"/>
    <w:rsid w:val="00214FAC"/>
    <w:pPr>
      <w:widowControl w:val="0"/>
      <w:autoSpaceDE w:val="0"/>
      <w:autoSpaceDN w:val="0"/>
      <w:adjustRightInd w:val="0"/>
      <w:jc w:val="right"/>
    </w:pPr>
    <w:rPr>
      <w:rFonts w:cs="Arial"/>
      <w:szCs w:val="18"/>
    </w:rPr>
  </w:style>
  <w:style w:type="paragraph" w:customStyle="1" w:styleId="CopyrightText">
    <w:name w:val="Copyright Text"/>
    <w:basedOn w:val="BodyText"/>
    <w:rsid w:val="00214FAC"/>
    <w:rPr>
      <w:sz w:val="18"/>
    </w:rPr>
  </w:style>
  <w:style w:type="paragraph" w:customStyle="1" w:styleId="BodySmallRight">
    <w:name w:val="Body Small Right"/>
    <w:basedOn w:val="BodyTextRight"/>
    <w:rsid w:val="00214FAC"/>
    <w:rPr>
      <w:sz w:val="18"/>
      <w:szCs w:val="18"/>
    </w:rPr>
  </w:style>
  <w:style w:type="paragraph" w:customStyle="1" w:styleId="MarginEdition">
    <w:name w:val="Margin Edition"/>
    <w:basedOn w:val="MarginNote"/>
    <w:rsid w:val="00214FAC"/>
    <w:pPr>
      <w:spacing w:before="0" w:after="0"/>
    </w:pPr>
    <w:rPr>
      <w:rFonts w:ascii="Times New Roman" w:hAnsi="Times New Roman"/>
      <w:color w:val="999999"/>
    </w:rPr>
  </w:style>
  <w:style w:type="paragraph" w:customStyle="1" w:styleId="Spacer">
    <w:name w:val="Spacer"/>
    <w:basedOn w:val="Normal"/>
    <w:rsid w:val="00214FAC"/>
    <w:rPr>
      <w:sz w:val="2"/>
      <w:szCs w:val="2"/>
    </w:rPr>
  </w:style>
  <w:style w:type="character" w:customStyle="1" w:styleId="Small">
    <w:name w:val="Small"/>
    <w:basedOn w:val="DefaultParagraphFont"/>
    <w:rsid w:val="00214FAC"/>
    <w:rPr>
      <w:sz w:val="16"/>
    </w:rPr>
  </w:style>
  <w:style w:type="paragraph" w:customStyle="1" w:styleId="WideTable">
    <w:name w:val="Wide Table"/>
    <w:basedOn w:val="Normal"/>
    <w:rsid w:val="00214FAC"/>
    <w:pPr>
      <w:ind w:left="-1418"/>
    </w:pPr>
    <w:rPr>
      <w:sz w:val="2"/>
      <w:szCs w:val="2"/>
    </w:rPr>
  </w:style>
  <w:style w:type="character" w:styleId="PageNumber">
    <w:name w:val="page number"/>
    <w:basedOn w:val="DefaultParagraphFont"/>
    <w:rsid w:val="00214FAC"/>
  </w:style>
  <w:style w:type="paragraph" w:styleId="Quote">
    <w:name w:val="Quote"/>
    <w:basedOn w:val="Heading1"/>
    <w:link w:val="QuoteChar"/>
    <w:qFormat/>
    <w:rsid w:val="00214FAC"/>
    <w:rPr>
      <w:b w:val="0"/>
      <w:sz w:val="72"/>
      <w:szCs w:val="72"/>
      <w:lang w:val="en-NZ"/>
    </w:rPr>
  </w:style>
  <w:style w:type="character" w:customStyle="1" w:styleId="QuoteChar">
    <w:name w:val="Quote Char"/>
    <w:basedOn w:val="DefaultParagraphFont"/>
    <w:link w:val="Quote"/>
    <w:rsid w:val="00214F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4FAC"/>
    <w:pPr>
      <w:pageBreakBefore/>
    </w:pPr>
  </w:style>
  <w:style w:type="paragraph" w:customStyle="1" w:styleId="Border">
    <w:name w:val="Border"/>
    <w:basedOn w:val="Normal"/>
    <w:qFormat/>
    <w:rsid w:val="00214F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4FAC"/>
    <w:rPr>
      <w:b/>
      <w:bCs/>
      <w:i/>
      <w:iCs/>
      <w:color w:val="auto"/>
    </w:rPr>
  </w:style>
  <w:style w:type="paragraph" w:styleId="IntenseQuote">
    <w:name w:val="Intense Quote"/>
    <w:basedOn w:val="Normal"/>
    <w:next w:val="Normal"/>
    <w:link w:val="IntenseQuoteChar"/>
    <w:uiPriority w:val="30"/>
    <w:qFormat/>
    <w:rsid w:val="00214F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4F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4FAC"/>
    <w:rPr>
      <w:smallCaps/>
      <w:color w:val="auto"/>
      <w:u w:val="single"/>
    </w:rPr>
  </w:style>
  <w:style w:type="character" w:styleId="IntenseReference">
    <w:name w:val="Intense Reference"/>
    <w:basedOn w:val="DefaultParagraphFont"/>
    <w:uiPriority w:val="32"/>
    <w:qFormat/>
    <w:rsid w:val="00214FAC"/>
    <w:rPr>
      <w:b/>
      <w:bCs/>
      <w:smallCaps/>
      <w:color w:val="auto"/>
      <w:spacing w:val="5"/>
      <w:u w:val="single"/>
    </w:rPr>
  </w:style>
  <w:style w:type="paragraph" w:customStyle="1" w:styleId="2ColumnHeading">
    <w:name w:val="2Column Heading"/>
    <w:basedOn w:val="BodyText"/>
    <w:qFormat/>
    <w:rsid w:val="00214FAC"/>
    <w:pPr>
      <w:spacing w:after="60"/>
      <w:ind w:left="-2268"/>
    </w:pPr>
    <w:rPr>
      <w:b/>
    </w:rPr>
  </w:style>
  <w:style w:type="paragraph" w:customStyle="1" w:styleId="Heading1TOC">
    <w:name w:val="Heading1 TOC"/>
    <w:basedOn w:val="Normal"/>
    <w:qFormat/>
    <w:rsid w:val="00214FAC"/>
    <w:pPr>
      <w:spacing w:before="240" w:after="120"/>
    </w:pPr>
    <w:rPr>
      <w:rFonts w:ascii="Times New Roman" w:hAnsi="Times New Roman"/>
      <w:b/>
      <w:sz w:val="32"/>
    </w:rPr>
  </w:style>
  <w:style w:type="paragraph" w:customStyle="1" w:styleId="Heading2TOC">
    <w:name w:val="Heading2 TOC"/>
    <w:basedOn w:val="Normal"/>
    <w:qFormat/>
    <w:rsid w:val="00214FAC"/>
    <w:pPr>
      <w:spacing w:before="240" w:after="60"/>
    </w:pPr>
    <w:rPr>
      <w:rFonts w:ascii="Times New Roman" w:hAnsi="Times New Roman"/>
      <w:b/>
      <w:sz w:val="28"/>
    </w:rPr>
  </w:style>
  <w:style w:type="character" w:customStyle="1" w:styleId="Underline">
    <w:name w:val="Underline"/>
    <w:basedOn w:val="DefaultParagraphFont"/>
    <w:qFormat/>
    <w:rsid w:val="00214FAC"/>
    <w:rPr>
      <w:u w:val="single"/>
    </w:rPr>
  </w:style>
  <w:style w:type="paragraph" w:styleId="BalloonText">
    <w:name w:val="Balloon Text"/>
    <w:basedOn w:val="Normal"/>
    <w:link w:val="BalloonTextChar"/>
    <w:rsid w:val="00214FAC"/>
    <w:rPr>
      <w:rFonts w:ascii="Tahoma" w:hAnsi="Tahoma" w:cs="Tahoma"/>
      <w:sz w:val="16"/>
      <w:szCs w:val="16"/>
    </w:rPr>
  </w:style>
  <w:style w:type="character" w:customStyle="1" w:styleId="BalloonTextChar">
    <w:name w:val="Balloon Text Char"/>
    <w:basedOn w:val="DefaultParagraphFont"/>
    <w:link w:val="BalloonText"/>
    <w:rsid w:val="00214F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4FA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14F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4FAC"/>
    <w:rPr>
      <w:b/>
      <w:color w:val="660033"/>
      <w:spacing w:val="0"/>
    </w:rPr>
  </w:style>
  <w:style w:type="paragraph" w:customStyle="1" w:styleId="Nameditemlist">
    <w:name w:val="Named item list"/>
    <w:basedOn w:val="BodyText"/>
    <w:qFormat/>
    <w:rsid w:val="00214FA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1511</Words>
  <Characters>9274</Characters>
  <Application>Microsoft Office Word</Application>
  <DocSecurity>0</DocSecurity>
  <Lines>297</Lines>
  <Paragraphs>131</Paragraphs>
  <ScaleCrop>false</ScaleCrop>
  <Company>Author-it Software Corporation Ltd.</Company>
  <LinksUpToDate>false</LinksUpToDate>
  <CharactersWithSpaces>10713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LMFSL3001A Apply product and material knowledge to lead light and stained glass operations</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2012-10-05T08:36:00Z</dcterms:created>
  <dcterms:modified xsi:type="dcterms:W3CDTF">2012-10-05T08:36:00Z</dcterms:modified>
</cp:coreProperties>
</file>