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640" w:rsidP="00217640">
      <w:pPr>
        <w:pStyle w:val="Title"/>
      </w:pPr>
      <w:r>
        <w:fldChar w:fldCharType="begin"/>
      </w:r>
      <w:r>
        <w:instrText xml:space="preserve"> TITLE   \* MERGEFORMAT </w:instrText>
      </w:r>
      <w:r>
        <w:fldChar w:fldCharType="separate"/>
      </w:r>
      <w:r>
        <w:t>LMFSL2001B Assemble leadlight and stained glass components</w:t>
      </w:r>
      <w:r>
        <w:fldChar w:fldCharType="end"/>
      </w:r>
    </w:p>
    <w:p w:rsidR="00217640" w:rsidP="00217640">
      <w:pPr>
        <w:pStyle w:val="Version"/>
        <w:sectPr w:rsidSect="007A3F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3FEC" w:rsidP="007A3FEC">
      <w:pPr>
        <w:pStyle w:val="SuperHeading"/>
      </w:pPr>
      <w:r w:rsidRPr="007A3FEC">
        <w:t>LMFSL2001B Assemble leadlight and stained glass components</w:t>
      </w:r>
    </w:p>
    <w:p w:rsidR="00000000" w:rsidRPr="007A3FEC" w:rsidP="007A3FEC">
      <w:pPr>
        <w:pStyle w:val="Heading1"/>
      </w:pPr>
      <w:bookmarkStart w:id="1" w:name="O_352102"/>
      <w:bookmarkEnd w:id="1"/>
      <w:r w:rsidRPr="007A3FEC">
        <w:t>Modification History</w:t>
      </w:r>
    </w:p>
    <w:p w:rsidR="00217640" w:rsidP="007A3FEC">
      <w:pPr>
        <w:pStyle w:val="BodyText"/>
      </w:pPr>
      <w:r w:rsidRPr="007A3FEC">
        <w:t>Updated format, revised Evidence Guide. Outcome equivalent.</w:t>
      </w:r>
    </w:p>
    <w:p w:rsidR="00217640" w:rsidP="007A3FEC">
      <w:pPr>
        <w:pStyle w:val="BodyText"/>
      </w:pPr>
    </w:p>
    <w:p w:rsidR="00000000" w:rsidRPr="007A3FEC" w:rsidP="007A3FEC">
      <w:pPr>
        <w:pStyle w:val="Heading1"/>
      </w:pPr>
      <w:bookmarkStart w:id="2" w:name="O_352103"/>
      <w:bookmarkEnd w:id="2"/>
      <w:r w:rsidRPr="007A3FEC">
        <w:t>Unit Descriptor</w:t>
      </w:r>
    </w:p>
    <w:p w:rsidR="00000000" w:rsidRPr="007A3FEC" w:rsidP="007A3FEC">
      <w:pPr>
        <w:pStyle w:val="BodyText"/>
      </w:pPr>
      <w:r w:rsidRPr="007A3FEC">
        <w:t>This unit of competency covers the skills and knowledge require</w:t>
      </w:r>
      <w:r w:rsidRPr="007A3FEC">
        <w:t>d to assemble leadlight and stained glass components.</w:t>
      </w:r>
    </w:p>
    <w:p w:rsidR="00000000" w:rsidRPr="007A3FEC" w:rsidP="007A3FEC">
      <w:pPr>
        <w:pStyle w:val="AllowPageBreak"/>
      </w:pPr>
    </w:p>
    <w:p w:rsidR="00000000" w:rsidRPr="007A3FEC" w:rsidP="007A3FEC">
      <w:pPr>
        <w:pStyle w:val="Heading1"/>
      </w:pPr>
      <w:bookmarkStart w:id="3" w:name="O_352104"/>
      <w:bookmarkEnd w:id="3"/>
      <w:r w:rsidRPr="007A3FEC">
        <w:t>Application of the Unit</w:t>
      </w:r>
    </w:p>
    <w:p w:rsidR="00000000" w:rsidRPr="007A3FEC" w:rsidP="007A3FEC">
      <w:pPr>
        <w:pStyle w:val="BodyText"/>
      </w:pPr>
      <w:r w:rsidRPr="007A3FEC">
        <w:t>This unit supports the attainment of skills and knowledge required for competent workplace performance in leadlight and stained glass operations of all sizes. Th</w:t>
      </w:r>
      <w:r w:rsidRPr="007A3FEC">
        <w:t>e assembly of leadlight and stained glass components applies to a workshop environment and involves application of skills and knowledge at a production worker level. These skills and knowledge are to be used within the scope of the individual’s job and aut</w:t>
      </w:r>
      <w:r w:rsidRPr="007A3FEC">
        <w:t>hority.</w:t>
      </w:r>
    </w:p>
    <w:p w:rsidR="00000000" w:rsidRPr="007A3FEC" w:rsidP="007A3FEC">
      <w:pPr>
        <w:pStyle w:val="AllowPageBreak"/>
      </w:pPr>
    </w:p>
    <w:p w:rsidR="00000000" w:rsidRPr="007A3FEC" w:rsidP="007A3FEC">
      <w:pPr>
        <w:pStyle w:val="Heading1"/>
      </w:pPr>
      <w:bookmarkStart w:id="4" w:name="O_352105"/>
      <w:bookmarkEnd w:id="4"/>
      <w:r w:rsidRPr="007A3FEC">
        <w:t>Licensing/Regulatory Information</w:t>
      </w:r>
    </w:p>
    <w:p w:rsidR="00000000" w:rsidRPr="007A3FEC" w:rsidP="007A3FEC">
      <w:pPr>
        <w:pStyle w:val="BodyText"/>
      </w:pPr>
      <w:r w:rsidRPr="007A3FEC">
        <w:t>Not applicable.</w:t>
      </w:r>
    </w:p>
    <w:p w:rsidR="00000000" w:rsidRPr="007A3FEC" w:rsidP="007A3FEC">
      <w:pPr>
        <w:pStyle w:val="AllowPageBreak"/>
      </w:pPr>
    </w:p>
    <w:p w:rsidR="00000000" w:rsidRPr="007A3FEC" w:rsidP="007A3FEC">
      <w:pPr>
        <w:pStyle w:val="Heading1"/>
      </w:pPr>
      <w:bookmarkStart w:id="5" w:name="O_352106"/>
      <w:bookmarkEnd w:id="5"/>
      <w:r w:rsidRPr="007A3FEC">
        <w:t>Pre-Requisites</w:t>
      </w:r>
    </w:p>
    <w:p w:rsidR="00000000" w:rsidRPr="007A3FEC" w:rsidP="007A3FEC">
      <w:pPr>
        <w:pStyle w:val="BodyText"/>
      </w:pPr>
      <w:r w:rsidRPr="007A3FEC">
        <w:t>Not applicable.</w:t>
      </w:r>
    </w:p>
    <w:p w:rsidR="00000000" w:rsidRPr="007A3FEC" w:rsidP="007A3FEC">
      <w:pPr>
        <w:pStyle w:val="AllowPageBreak"/>
      </w:pPr>
    </w:p>
    <w:p w:rsidR="00000000" w:rsidRPr="007A3FEC" w:rsidP="007A3FEC">
      <w:pPr>
        <w:pStyle w:val="Heading1"/>
      </w:pPr>
      <w:bookmarkStart w:id="6" w:name="O_352107"/>
      <w:bookmarkEnd w:id="6"/>
      <w:r w:rsidRPr="007A3FEC">
        <w:t>Employability Skills Information</w:t>
      </w:r>
    </w:p>
    <w:p w:rsidR="00000000" w:rsidRPr="007A3FEC" w:rsidP="007A3FEC">
      <w:pPr>
        <w:pStyle w:val="BodyText"/>
      </w:pPr>
      <w:r w:rsidRPr="007A3FEC">
        <w:t>This unit contains employability skills.</w:t>
      </w:r>
    </w:p>
    <w:p w:rsidR="00000000" w:rsidRPr="007A3FEC" w:rsidP="007A3FEC">
      <w:pPr>
        <w:pStyle w:val="AllowPageBreak"/>
      </w:pPr>
    </w:p>
    <w:p w:rsidR="00000000" w:rsidRPr="007A3FEC" w:rsidP="007A3FEC">
      <w:pPr>
        <w:pStyle w:val="Heading1"/>
      </w:pPr>
      <w:bookmarkStart w:id="7" w:name="O_352108"/>
      <w:bookmarkEnd w:id="7"/>
      <w:r w:rsidRPr="007A3FEC">
        <w:t>Elements and Performance Criteria Pre-Content</w:t>
      </w:r>
    </w:p>
    <w:tbl>
      <w:tblPr>
        <w:tblW w:w="0" w:type="auto"/>
        <w:tblLayout w:type="fixed"/>
        <w:tblCellMar>
          <w:left w:w="62" w:type="dxa"/>
          <w:right w:w="62" w:type="dxa"/>
        </w:tblCellMar>
        <w:tblLook w:val="0000"/>
      </w:tblPr>
      <w:tblGrid>
        <w:gridCol w:w="2640"/>
        <w:gridCol w:w="6380"/>
      </w:tblGrid>
      <w:tr w:rsidTr="007A3FE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A3FEC" w:rsidP="007A3FEC">
            <w:pPr>
              <w:pStyle w:val="BodyText"/>
            </w:pPr>
            <w:r w:rsidRPr="007A3FEC">
              <w:t>Performance criteria describe the performance needed to demonstrate achievement of the element. Where bold italicised text is used, further info</w:t>
            </w:r>
            <w:r w:rsidRPr="007A3FEC">
              <w:t>rmation is detailed in the required skills and knowledge section and the range statement. Assessment of performance is to be consistent with the evidence guide.</w:t>
            </w:r>
          </w:p>
        </w:tc>
      </w:tr>
    </w:tbl>
    <w:p w:rsidR="00000000" w:rsidRPr="007A3FEC" w:rsidP="007A3FEC">
      <w:pPr>
        <w:pStyle w:val="BodyText"/>
      </w:pPr>
    </w:p>
    <w:p w:rsidR="00000000" w:rsidRPr="007A3FEC" w:rsidP="007A3FEC">
      <w:pPr>
        <w:pStyle w:val="AllowPageBreak"/>
      </w:pPr>
    </w:p>
    <w:p w:rsidR="00000000" w:rsidRPr="007A3FEC" w:rsidP="007A3FEC">
      <w:pPr>
        <w:pStyle w:val="Heading1"/>
      </w:pPr>
      <w:bookmarkStart w:id="8" w:name="O_352109"/>
      <w:bookmarkEnd w:id="8"/>
      <w:r w:rsidRPr="007A3FE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A3F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1</w:t>
            </w:r>
          </w:p>
        </w:tc>
        <w:tc>
          <w:tcPr>
            <w:tcW w:w="1962" w:type="dxa"/>
            <w:vMerge w:val="restart"/>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 xml:space="preserve">Plan and prepare </w:t>
            </w:r>
            <w:r w:rsidRPr="007A3FEC">
              <w:rPr>
                <w:rStyle w:val="BoldandItalics"/>
              </w:rPr>
              <w:t>for work</w:t>
            </w:r>
          </w:p>
        </w:tc>
        <w:tc>
          <w:tcPr>
            <w:tcW w:w="77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1.1</w:t>
            </w:r>
          </w:p>
        </w:tc>
        <w:tc>
          <w:tcPr>
            <w:tcW w:w="561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Applicable</w:t>
            </w:r>
            <w:r w:rsidRPr="007A3FEC">
              <w:t xml:space="preserve"> </w:t>
            </w:r>
            <w:r w:rsidRPr="007A3FEC">
              <w:rPr>
                <w:rStyle w:val="BoldandItalics"/>
              </w:rPr>
              <w:t>occupational health and safety (OHS)</w:t>
            </w:r>
            <w:r w:rsidRPr="007A3FEC">
              <w:t xml:space="preserve">, </w:t>
            </w:r>
            <w:r w:rsidRPr="007A3FEC">
              <w:rPr>
                <w:rStyle w:val="BoldandItalics"/>
              </w:rPr>
              <w:t>legislative</w:t>
            </w:r>
            <w:r w:rsidRPr="007A3FEC">
              <w:t xml:space="preserve"> and </w:t>
            </w:r>
            <w:r w:rsidRPr="007A3FEC">
              <w:rPr>
                <w:rStyle w:val="BoldandItalics"/>
              </w:rPr>
              <w:t>organisational requirements</w:t>
            </w:r>
            <w:r w:rsidRPr="007A3FEC">
              <w:t xml:space="preserve"> relevant to the assembly of leadlight and stained glass </w:t>
            </w:r>
            <w:r w:rsidRPr="007A3FEC">
              <w:rPr>
                <w:rStyle w:val="BoldandItalics"/>
              </w:rPr>
              <w:t>components</w:t>
            </w:r>
            <w:r w:rsidRPr="007A3FEC">
              <w:t xml:space="preserve"> are verified and complied with</w:t>
            </w:r>
          </w:p>
        </w:tc>
      </w:tr>
      <w:tr w:rsidTr="007A3F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A3FEC" w:rsidP="007A3FEC">
            <w:pPr>
              <w:pStyle w:val="BodyText"/>
            </w:pPr>
            <w:r w:rsidRPr="007A3FEC">
              <w:t>1.2</w:t>
            </w:r>
          </w:p>
        </w:tc>
        <w:tc>
          <w:tcPr>
            <w:tcW w:w="561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rPr>
                <w:rStyle w:val="BoldandItalics"/>
              </w:rPr>
              <w:t>Tools and equipment</w:t>
            </w:r>
            <w:r w:rsidRPr="007A3FEC">
              <w:t xml:space="preserve"> selected to carry out tasks are consistent with the requirements of the job, checked for serviceability, and any faults rectified or reported prior to commencement</w:t>
            </w:r>
          </w:p>
        </w:tc>
      </w:tr>
      <w:tr w:rsidTr="007A3F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A3FEC" w:rsidP="007A3FEC">
            <w:pPr>
              <w:pStyle w:val="BodyText"/>
            </w:pPr>
            <w:r w:rsidRPr="007A3FEC">
              <w:t>1.3</w:t>
            </w:r>
          </w:p>
        </w:tc>
        <w:tc>
          <w:tcPr>
            <w:tcW w:w="561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rPr>
                <w:rStyle w:val="BoldandItalics"/>
              </w:rPr>
              <w:t>Materials</w:t>
            </w:r>
            <w:r w:rsidRPr="007A3FEC">
              <w:t xml:space="preserve"> appropriate to the work application are identified, obtained, prepared, sa</w:t>
            </w:r>
            <w:r w:rsidRPr="007A3FEC">
              <w:t>fely handled and located ready for use</w:t>
            </w:r>
          </w:p>
        </w:tc>
      </w:tr>
      <w:tr w:rsidTr="007A3F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1.4</w:t>
            </w:r>
          </w:p>
        </w:tc>
        <w:tc>
          <w:tcPr>
            <w:tcW w:w="561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Workplace environment considerations are identified and measures to reduce noise, dust and obstacles are applied</w:t>
            </w:r>
          </w:p>
        </w:tc>
      </w:tr>
      <w:tr w:rsidTr="007A3F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1.5</w:t>
            </w:r>
          </w:p>
        </w:tc>
        <w:tc>
          <w:tcPr>
            <w:tcW w:w="561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Assembly sequence is planned</w:t>
            </w:r>
          </w:p>
        </w:tc>
      </w:tr>
      <w:tr w:rsidTr="007A3F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1.6</w:t>
            </w:r>
          </w:p>
        </w:tc>
        <w:tc>
          <w:tcPr>
            <w:tcW w:w="561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Fi</w:t>
            </w:r>
            <w:r w:rsidRPr="007A3FEC">
              <w:t>xing and joining devices are selected in accordance with work instructions and type of materials to be joined</w:t>
            </w:r>
          </w:p>
        </w:tc>
      </w:tr>
      <w:tr w:rsidTr="007A3F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1.7</w:t>
            </w:r>
          </w:p>
        </w:tc>
        <w:tc>
          <w:tcPr>
            <w:tcW w:w="5610" w:type="dxa"/>
            <w:tcBorders>
              <w:top w:val="nil"/>
              <w:left w:val="nil"/>
              <w:bottom w:val="nil"/>
              <w:right w:val="nil"/>
            </w:tcBorders>
            <w:tcMar>
              <w:top w:w="0" w:type="dxa"/>
              <w:left w:w="62" w:type="dxa"/>
              <w:bottom w:w="0" w:type="dxa"/>
              <w:right w:w="62" w:type="dxa"/>
            </w:tcMar>
          </w:tcPr>
          <w:p w:rsidR="00000000" w:rsidRPr="007A3FEC" w:rsidP="007A3FEC">
            <w:pPr>
              <w:pStyle w:val="BodyText"/>
            </w:pPr>
            <w:r w:rsidRPr="007A3FEC">
              <w:t>Jigs are selected and checked for suitability of purpose</w:t>
            </w:r>
          </w:p>
        </w:tc>
      </w:tr>
    </w:tbl>
    <w:p w:rsidR="00000000" w:rsidRPr="007A3FEC" w:rsidP="007A3FEC">
      <w:pPr>
        <w:pStyle w:val="BodyText"/>
      </w:pPr>
    </w:p>
    <w:tbl>
      <w:tblPr>
        <w:tblW w:w="0" w:type="auto"/>
        <w:tblLayout w:type="fixed"/>
        <w:tblCellMar>
          <w:left w:w="62" w:type="dxa"/>
          <w:right w:w="62" w:type="dxa"/>
        </w:tblCellMar>
        <w:tblLook w:val="0000"/>
      </w:tblPr>
      <w:tblGrid>
        <w:gridCol w:w="678"/>
        <w:gridCol w:w="1962"/>
        <w:gridCol w:w="770"/>
        <w:gridCol w:w="5610"/>
      </w:tblGrid>
      <w:tr w:rsidTr="007A3F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2</w:t>
            </w:r>
          </w:p>
        </w:tc>
        <w:tc>
          <w:tcPr>
            <w:tcW w:w="1962" w:type="dxa"/>
            <w:vMerge w:val="restart"/>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Assemble components</w:t>
            </w:r>
          </w:p>
        </w:tc>
        <w:tc>
          <w:tcPr>
            <w:tcW w:w="77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2.1</w:t>
            </w:r>
          </w:p>
        </w:tc>
        <w:tc>
          <w:tcPr>
            <w:tcW w:w="561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Components are laid out and assembled using jigs and a</w:t>
            </w:r>
            <w:r w:rsidRPr="007A3FEC">
              <w:t>ppropriate fastenings</w:t>
            </w:r>
          </w:p>
        </w:tc>
      </w:tr>
      <w:tr w:rsidTr="007A3F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2.2</w:t>
            </w:r>
          </w:p>
        </w:tc>
        <w:tc>
          <w:tcPr>
            <w:tcW w:w="561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Hand and/or power tools, and equipment are used, as required</w:t>
            </w:r>
          </w:p>
        </w:tc>
      </w:tr>
      <w:tr w:rsidTr="007A3F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2.3</w:t>
            </w:r>
          </w:p>
        </w:tc>
        <w:tc>
          <w:tcPr>
            <w:tcW w:w="561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Assembled work is checked for compliance with specifications</w:t>
            </w:r>
          </w:p>
        </w:tc>
      </w:tr>
      <w:tr w:rsidTr="007A3F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2.4</w:t>
            </w:r>
          </w:p>
        </w:tc>
        <w:tc>
          <w:tcPr>
            <w:tcW w:w="561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 xml:space="preserve">Components are prepared, assembled and fitted </w:t>
            </w:r>
            <w:r w:rsidRPr="007A3FEC">
              <w:rPr>
                <w:rStyle w:val="SpecialBold"/>
              </w:rPr>
              <w:t>in accordance with</w:t>
            </w:r>
            <w:r w:rsidRPr="007A3FEC">
              <w:t xml:space="preserve"> specifications</w:t>
            </w:r>
          </w:p>
        </w:tc>
      </w:tr>
      <w:tr w:rsidTr="007A3F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2.5</w:t>
            </w:r>
          </w:p>
        </w:tc>
        <w:tc>
          <w:tcPr>
            <w:tcW w:w="561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Work which does not meet quality specifications is repaired or tagged for further processing or recycling/disposal</w:t>
            </w:r>
          </w:p>
        </w:tc>
      </w:tr>
      <w:tr w:rsidTr="007A3F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2.6</w:t>
            </w:r>
          </w:p>
        </w:tc>
        <w:tc>
          <w:tcPr>
            <w:tcW w:w="5610" w:type="dxa"/>
            <w:tcBorders>
              <w:top w:val="nil"/>
              <w:left w:val="nil"/>
              <w:bottom w:val="nil"/>
              <w:right w:val="nil"/>
            </w:tcBorders>
            <w:tcMar>
              <w:top w:w="0" w:type="dxa"/>
              <w:left w:w="62" w:type="dxa"/>
              <w:bottom w:w="0" w:type="dxa"/>
              <w:right w:w="62" w:type="dxa"/>
            </w:tcMar>
          </w:tcPr>
          <w:p w:rsidR="00000000" w:rsidRPr="007A3FEC" w:rsidP="007A3FEC">
            <w:pPr>
              <w:pStyle w:val="BodyText"/>
            </w:pPr>
            <w:r w:rsidRPr="007A3FEC">
              <w:t>Finished products are organised and stored in holding area</w:t>
            </w:r>
          </w:p>
        </w:tc>
      </w:tr>
    </w:tbl>
    <w:p w:rsidR="00000000" w:rsidRPr="007A3FEC" w:rsidP="007A3FEC">
      <w:pPr>
        <w:pStyle w:val="BodyText"/>
      </w:pPr>
    </w:p>
    <w:tbl>
      <w:tblPr>
        <w:tblW w:w="0" w:type="auto"/>
        <w:tblLayout w:type="fixed"/>
        <w:tblCellMar>
          <w:left w:w="62" w:type="dxa"/>
          <w:right w:w="62" w:type="dxa"/>
        </w:tblCellMar>
        <w:tblLook w:val="0000"/>
      </w:tblPr>
      <w:tblGrid>
        <w:gridCol w:w="678"/>
        <w:gridCol w:w="1962"/>
        <w:gridCol w:w="770"/>
        <w:gridCol w:w="5610"/>
      </w:tblGrid>
      <w:tr w:rsidTr="007A3F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3</w:t>
            </w:r>
          </w:p>
        </w:tc>
        <w:tc>
          <w:tcPr>
            <w:tcW w:w="1962" w:type="dxa"/>
            <w:vMerge w:val="restart"/>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Clean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3.1</w:t>
            </w:r>
          </w:p>
        </w:tc>
        <w:tc>
          <w:tcPr>
            <w:tcW w:w="561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Faulty and/or defective equi</w:t>
            </w:r>
            <w:r w:rsidRPr="007A3FEC">
              <w:t>pment is tagged and reported in accordance with workplace procedures</w:t>
            </w:r>
          </w:p>
        </w:tc>
      </w:tr>
      <w:tr w:rsidTr="007A3F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3.2</w:t>
            </w:r>
          </w:p>
        </w:tc>
        <w:tc>
          <w:tcPr>
            <w:tcW w:w="561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Waste and scrap are removed following workplace procedures</w:t>
            </w:r>
          </w:p>
        </w:tc>
      </w:tr>
      <w:tr w:rsidTr="007A3F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3.3</w:t>
            </w:r>
          </w:p>
        </w:tc>
        <w:tc>
          <w:tcPr>
            <w:tcW w:w="561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Tools and equipment used are cleaned, inspected for serviceable condition and stored appropriately in accordance with workplace procedures</w:t>
            </w:r>
          </w:p>
        </w:tc>
      </w:tr>
      <w:tr w:rsidTr="007A3FE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3.4</w:t>
            </w:r>
          </w:p>
        </w:tc>
        <w:tc>
          <w:tcPr>
            <w:tcW w:w="5610" w:type="dxa"/>
            <w:tcBorders>
              <w:top w:val="nil"/>
              <w:left w:val="nil"/>
              <w:bottom w:val="nil"/>
              <w:right w:val="nil"/>
            </w:tcBorders>
            <w:tcMar>
              <w:top w:w="0" w:type="dxa"/>
              <w:left w:w="62" w:type="dxa"/>
              <w:bottom w:w="0" w:type="dxa"/>
              <w:right w:w="62" w:type="dxa"/>
            </w:tcMar>
          </w:tcPr>
          <w:p w:rsidR="00000000" w:rsidRPr="007A3FEC" w:rsidP="007A3FEC">
            <w:pPr>
              <w:pStyle w:val="BodyText"/>
            </w:pPr>
            <w:r w:rsidRPr="007A3FEC">
              <w:t>Equipment and work area clean-up is maintained in accordance with workplace procedures</w:t>
            </w:r>
          </w:p>
        </w:tc>
      </w:tr>
    </w:tbl>
    <w:p w:rsidR="00217640" w:rsidP="007A3FEC">
      <w:pPr>
        <w:pStyle w:val="BodyText"/>
      </w:pPr>
    </w:p>
    <w:p w:rsidR="00217640" w:rsidP="007A3FEC">
      <w:pPr>
        <w:pStyle w:val="BodyText"/>
      </w:pPr>
    </w:p>
    <w:p w:rsidR="00000000" w:rsidRPr="007A3FEC" w:rsidP="007A3FEC">
      <w:pPr>
        <w:pStyle w:val="Heading1"/>
      </w:pPr>
      <w:bookmarkStart w:id="9" w:name="O_352110"/>
      <w:bookmarkEnd w:id="9"/>
      <w:r w:rsidRPr="007A3FEC">
        <w:t>Required Skills and Knowledge</w:t>
      </w:r>
    </w:p>
    <w:tbl>
      <w:tblPr>
        <w:tblW w:w="9462" w:type="dxa"/>
        <w:tblLayout w:type="fixed"/>
        <w:tblCellMar>
          <w:left w:w="62" w:type="dxa"/>
          <w:right w:w="62" w:type="dxa"/>
        </w:tblCellMar>
        <w:tblLook w:val="0000"/>
      </w:tblPr>
      <w:tblGrid>
        <w:gridCol w:w="9462"/>
      </w:tblGrid>
      <w:tr w:rsidTr="007A3FE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This section describes the skills and knowledge required for this unit.</w:t>
            </w:r>
          </w:p>
        </w:tc>
      </w:tr>
      <w:tr w:rsidTr="007A3FE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p>
        </w:tc>
      </w:tr>
      <w:tr w:rsidTr="007A3FE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A3FEC" w:rsidP="007A3FEC">
            <w:pPr>
              <w:pStyle w:val="BodyText"/>
            </w:pPr>
            <w:r w:rsidRPr="007A3FEC">
              <w:rPr>
                <w:rStyle w:val="SpecialBold"/>
              </w:rPr>
              <w:t>Required skills include:</w:t>
            </w:r>
          </w:p>
          <w:p w:rsidR="00000000" w:rsidRPr="007A3FEC" w:rsidP="007A3FEC">
            <w:pPr>
              <w:pStyle w:val="ListBullet"/>
            </w:pPr>
            <w:r w:rsidRPr="007A3FEC">
              <w:t>collecting, organising and understanding materials, technology and information related to leadlight and stained glass compone</w:t>
            </w:r>
            <w:r w:rsidRPr="007A3FEC">
              <w:t xml:space="preserve">nts </w:t>
            </w:r>
          </w:p>
          <w:p w:rsidR="00000000" w:rsidRPr="007A3FEC" w:rsidP="007A3FEC">
            <w:pPr>
              <w:pStyle w:val="ListBullet"/>
            </w:pPr>
            <w:r w:rsidRPr="007A3FEC">
              <w:t>using communication skills to the level required to confirm work requirements and specifications; communicate effectively regarding work requirements with supervisors, other workers and customers; report work outcomes and problems; and relate to people fro</w:t>
            </w:r>
            <w:r w:rsidRPr="007A3FEC">
              <w:t>m a range of social, cultural and ethnic backgrounds, and of varying physical and mental abilities</w:t>
            </w:r>
          </w:p>
          <w:p w:rsidR="00000000" w:rsidRPr="007A3FEC" w:rsidP="007A3FEC">
            <w:pPr>
              <w:pStyle w:val="ListBullet"/>
            </w:pPr>
            <w:r w:rsidRPr="007A3FEC">
              <w:t>using literacy skills to the level required to understand information related to work orders, including common industry terminology, plans and safety procedu</w:t>
            </w:r>
            <w:r w:rsidRPr="007A3FEC">
              <w:t>res; prepare reports; and interpret technical information and specifications</w:t>
            </w:r>
          </w:p>
          <w:p w:rsidR="00000000" w:rsidRPr="007A3FEC" w:rsidP="007A3FEC">
            <w:pPr>
              <w:pStyle w:val="ListBullet"/>
            </w:pPr>
            <w:r w:rsidRPr="007A3FEC">
              <w:t>maintaining quality records related to leadlight and stained glass components</w:t>
            </w:r>
          </w:p>
          <w:p w:rsidR="00000000" w:rsidRPr="007A3FEC" w:rsidP="007A3FEC">
            <w:pPr>
              <w:pStyle w:val="ListBullet"/>
            </w:pPr>
            <w:r w:rsidRPr="007A3FEC">
              <w:t>working with others and in a team by recognising dependencies and using cooperative approaches to opt</w:t>
            </w:r>
            <w:r w:rsidRPr="007A3FEC">
              <w:t>imise workflow and productivity</w:t>
            </w:r>
          </w:p>
          <w:p w:rsidR="00000000" w:rsidRPr="007A3FEC" w:rsidP="007A3FEC">
            <w:pPr>
              <w:pStyle w:val="ListBullet"/>
            </w:pPr>
            <w:r w:rsidRPr="007A3FEC">
              <w:t>identifying, anticipating and responding to faults in leadlight and stained glass components</w:t>
            </w:r>
          </w:p>
          <w:p w:rsidR="00000000" w:rsidRPr="007A3FEC" w:rsidP="007A3FEC">
            <w:pPr>
              <w:pStyle w:val="ListBullet"/>
            </w:pPr>
            <w:r w:rsidRPr="007A3FEC">
              <w:t>recognising and responding to circumstances outside instructions or personal competence</w:t>
            </w:r>
          </w:p>
          <w:p w:rsidR="00000000" w:rsidRPr="007A3FEC" w:rsidP="007A3FEC">
            <w:pPr>
              <w:pStyle w:val="ListBullet"/>
            </w:pPr>
            <w:r w:rsidRPr="007A3FEC">
              <w:t>planning and organising activities, includi</w:t>
            </w:r>
            <w:r w:rsidRPr="007A3FEC">
              <w:t>ng the preparation and layout of own worksite, and the obtaining and use of tools and materials to avoid any backtracking, work flow interruptions or wastage</w:t>
            </w:r>
          </w:p>
          <w:p w:rsidR="00000000" w:rsidRPr="007A3FEC" w:rsidP="007A3FEC">
            <w:pPr>
              <w:pStyle w:val="ListBullet"/>
            </w:pPr>
            <w:r w:rsidRPr="007A3FEC">
              <w:t>using mathematical ideas and techniques to correctly complete measurements, calculate area and vol</w:t>
            </w:r>
            <w:r w:rsidRPr="007A3FEC">
              <w:t>ume, and estimate work and material requirements</w:t>
            </w:r>
          </w:p>
          <w:p w:rsidR="00000000" w:rsidRPr="007A3FEC" w:rsidP="007A3FEC">
            <w:pPr>
              <w:pStyle w:val="ListBullet"/>
            </w:pPr>
            <w:r w:rsidRPr="007A3FEC">
              <w:t>clarifying and confirming work instructions</w:t>
            </w:r>
          </w:p>
          <w:p w:rsidR="00000000" w:rsidRPr="007A3FEC" w:rsidP="007A3FEC">
            <w:pPr>
              <w:pStyle w:val="ListBullet"/>
            </w:pPr>
            <w:r w:rsidRPr="007A3FEC">
              <w:t>planning own work within the given task parameters</w:t>
            </w:r>
          </w:p>
          <w:p w:rsidR="00000000" w:rsidRPr="007A3FEC" w:rsidP="007A3FEC">
            <w:pPr>
              <w:pStyle w:val="ListBullet"/>
            </w:pPr>
            <w:r w:rsidRPr="007A3FEC">
              <w:t>accepting responsibility for given tasks</w:t>
            </w:r>
          </w:p>
          <w:p w:rsidR="00000000" w:rsidRPr="007A3FEC" w:rsidP="007A3FEC">
            <w:pPr>
              <w:pStyle w:val="ListBullet"/>
            </w:pPr>
            <w:r w:rsidRPr="007A3FEC">
              <w:t>setting, monitoring and satisfying personal work goals</w:t>
            </w:r>
          </w:p>
          <w:p w:rsidR="00000000" w:rsidRPr="007A3FEC" w:rsidP="007A3FEC">
            <w:pPr>
              <w:pStyle w:val="ListBullet"/>
            </w:pPr>
            <w:r w:rsidRPr="007A3FEC">
              <w:t>maintaining curr</w:t>
            </w:r>
            <w:r w:rsidRPr="007A3FEC">
              <w:t>ent knowledge of tools and materials</w:t>
            </w:r>
          </w:p>
          <w:p w:rsidR="00000000" w:rsidRPr="007A3FEC" w:rsidP="007A3FEC">
            <w:pPr>
              <w:pStyle w:val="ListBullet"/>
            </w:pPr>
            <w:r w:rsidRPr="007A3FEC">
              <w:t xml:space="preserve">maintaining current knowledge of leadlight and stained glass components </w:t>
            </w:r>
          </w:p>
          <w:p w:rsidR="00000000" w:rsidRPr="007A3FEC" w:rsidP="007A3FEC">
            <w:pPr>
              <w:pStyle w:val="ListBullet"/>
            </w:pPr>
            <w:r w:rsidRPr="007A3FEC">
              <w:t>seeking learning opportunities</w:t>
            </w:r>
          </w:p>
          <w:p w:rsidR="00000000" w:rsidP="007A3FEC">
            <w:pPr>
              <w:pStyle w:val="ListBullet"/>
              <w:rPr>
                <w:lang w:val="en-NZ"/>
              </w:rPr>
            </w:pPr>
            <w:r w:rsidRPr="007A3FEC">
              <w:t>using the workplace technology related to leadlight and stained glass components, including computers, measuring de</w:t>
            </w:r>
            <w:r w:rsidRPr="007A3FEC">
              <w:t>vices and recording systems</w:t>
            </w:r>
          </w:p>
        </w:tc>
      </w:tr>
      <w:tr w:rsidTr="007A3FE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A3FEC">
            <w:pPr>
              <w:pStyle w:val="BodyText"/>
              <w:rPr>
                <w:lang w:val="en-NZ"/>
              </w:rPr>
            </w:pPr>
          </w:p>
        </w:tc>
      </w:tr>
      <w:tr w:rsidTr="007A3FE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A3FEC" w:rsidP="007A3FEC">
            <w:pPr>
              <w:pStyle w:val="BodyText"/>
            </w:pPr>
            <w:r w:rsidRPr="007A3FEC">
              <w:rPr>
                <w:rStyle w:val="SpecialBold"/>
              </w:rPr>
              <w:t>Required knowledge includes:</w:t>
            </w:r>
          </w:p>
          <w:p w:rsidR="00000000" w:rsidRPr="007A3FEC" w:rsidP="007A3FEC">
            <w:pPr>
              <w:pStyle w:val="ListBullet"/>
            </w:pPr>
            <w:r w:rsidRPr="007A3FEC">
              <w:t>state or territory OHS legislation, regulations, standards and codes of practice relevant to the full range of processes for assembling leadlight and stained glass components</w:t>
            </w:r>
          </w:p>
          <w:p w:rsidR="00000000" w:rsidRPr="007A3FEC" w:rsidP="007A3FEC">
            <w:pPr>
              <w:pStyle w:val="ListBullet"/>
            </w:pPr>
            <w:r w:rsidRPr="007A3FEC">
              <w:t>organisational and site standards, requirements, policies and procedures for component assembly</w:t>
            </w:r>
          </w:p>
          <w:p w:rsidR="00000000" w:rsidRPr="007A3FEC" w:rsidP="007A3FEC">
            <w:pPr>
              <w:pStyle w:val="ListBullet"/>
            </w:pPr>
            <w:r w:rsidRPr="007A3FEC">
              <w:t>environmental protection requirements relating to the disposal of waste material</w:t>
            </w:r>
          </w:p>
          <w:p w:rsidR="00000000" w:rsidRPr="007A3FEC" w:rsidP="007A3FEC">
            <w:pPr>
              <w:pStyle w:val="ListBullet"/>
            </w:pPr>
            <w:r w:rsidRPr="007A3FEC">
              <w:t>established communication channels and protocols</w:t>
            </w:r>
          </w:p>
          <w:p w:rsidR="00000000" w:rsidRPr="007A3FEC" w:rsidP="007A3FEC">
            <w:pPr>
              <w:pStyle w:val="ListBullet"/>
            </w:pPr>
            <w:r w:rsidRPr="007A3FEC">
              <w:t>problem identification and res</w:t>
            </w:r>
            <w:r w:rsidRPr="007A3FEC">
              <w:t>olution</w:t>
            </w:r>
          </w:p>
          <w:p w:rsidR="00000000" w:rsidRPr="007A3FEC" w:rsidP="007A3FEC">
            <w:pPr>
              <w:pStyle w:val="ListBullet"/>
            </w:pPr>
            <w:r w:rsidRPr="007A3FEC">
              <w:t>types of tools and equipment and procedures for their safe use, operation and maintenance</w:t>
            </w:r>
          </w:p>
          <w:p w:rsidR="00000000" w:rsidRPr="007A3FEC" w:rsidP="007A3FEC">
            <w:pPr>
              <w:pStyle w:val="ListBullet"/>
            </w:pPr>
            <w:r w:rsidRPr="007A3FEC">
              <w:t>characteristics of leadlight and stained glass components and materials used in assembly</w:t>
            </w:r>
          </w:p>
          <w:p w:rsidR="00000000" w:rsidRPr="007A3FEC" w:rsidP="007A3FEC">
            <w:pPr>
              <w:pStyle w:val="ListBullet"/>
            </w:pPr>
            <w:r w:rsidRPr="007A3FEC">
              <w:t xml:space="preserve">procedures for the recording, reporting and maintenance of workplace </w:t>
            </w:r>
            <w:r w:rsidRPr="007A3FEC">
              <w:t>records and information</w:t>
            </w:r>
          </w:p>
        </w:tc>
      </w:tr>
    </w:tbl>
    <w:p w:rsidR="00000000" w:rsidRPr="007A3FEC" w:rsidP="007A3FEC">
      <w:pPr>
        <w:pStyle w:val="BodyText"/>
      </w:pPr>
    </w:p>
    <w:p w:rsidR="00000000" w:rsidRPr="007A3FEC" w:rsidP="007A3FEC">
      <w:pPr>
        <w:pStyle w:val="AllowPageBreak"/>
      </w:pPr>
    </w:p>
    <w:p w:rsidR="00000000" w:rsidRPr="007A3FEC" w:rsidP="007A3FEC">
      <w:pPr>
        <w:pStyle w:val="Heading1"/>
      </w:pPr>
      <w:bookmarkStart w:id="10" w:name="O_352111"/>
      <w:bookmarkEnd w:id="10"/>
      <w:r w:rsidRPr="007A3FEC">
        <w:t>Evidence Guide</w:t>
      </w:r>
    </w:p>
    <w:tbl>
      <w:tblPr>
        <w:tblW w:w="9462" w:type="dxa"/>
        <w:tblLayout w:type="fixed"/>
        <w:tblCellMar>
          <w:left w:w="62" w:type="dxa"/>
          <w:right w:w="62" w:type="dxa"/>
        </w:tblCellMar>
        <w:tblLook w:val="0000"/>
      </w:tblPr>
      <w:tblGrid>
        <w:gridCol w:w="3800"/>
        <w:gridCol w:w="5662"/>
      </w:tblGrid>
      <w:tr w:rsidTr="007A3FEC">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 xml:space="preserve">The evidence guide provides advice on assessment and must be read in conjunction with the performance criteria, required skills and knowledge, </w:t>
            </w:r>
            <w:r w:rsidRPr="007A3FEC">
              <w:t>range statement and the Assessment Guidelines for the Training Package.</w:t>
            </w:r>
          </w:p>
        </w:tc>
      </w:tr>
      <w:tr w:rsidTr="007A3F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FEC">
            <w:pPr>
              <w:pStyle w:val="BodyText"/>
              <w:rPr>
                <w:lang w:val="en-NZ"/>
              </w:rPr>
            </w:pPr>
            <w:r w:rsidRPr="007A3FEC">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FEC">
            <w:pPr>
              <w:pStyle w:val="BodyText"/>
              <w:rPr>
                <w:lang w:val="en-NZ"/>
              </w:rPr>
            </w:pPr>
            <w:r w:rsidRPr="007A3FEC">
              <w:t>Assessment processes and techniques must be culturally appropriate and appropriate to the language, literacy and numeracy capacity of the candidate and the wor</w:t>
            </w:r>
            <w:r w:rsidRPr="007A3FEC">
              <w:t>k being performed.</w:t>
            </w:r>
          </w:p>
        </w:tc>
      </w:tr>
      <w:tr w:rsidTr="007A3F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FEC">
            <w:pPr>
              <w:pStyle w:val="BodyText"/>
              <w:rPr>
                <w:lang w:val="en-NZ"/>
              </w:rPr>
            </w:pPr>
            <w:r w:rsidRPr="007A3FEC">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FEC" w:rsidP="007A3FEC">
            <w:pPr>
              <w:pStyle w:val="BodyText"/>
            </w:pPr>
            <w:r w:rsidRPr="007A3FEC">
              <w:t>Assessors must be satisfied that the candidate can competently and consistently:</w:t>
            </w:r>
          </w:p>
          <w:p w:rsidR="00000000" w:rsidRPr="007A3FEC" w:rsidP="007A3FEC">
            <w:pPr>
              <w:pStyle w:val="ListBullet"/>
            </w:pPr>
            <w:r w:rsidRPr="007A3FEC">
              <w:t>locate, interpret and apply relevant information, standards a</w:t>
            </w:r>
            <w:r w:rsidRPr="007A3FEC">
              <w:t>nd specifications</w:t>
            </w:r>
          </w:p>
          <w:p w:rsidR="00000000" w:rsidRPr="007A3FEC" w:rsidP="007A3FEC">
            <w:pPr>
              <w:pStyle w:val="ListBullet"/>
            </w:pPr>
            <w:r w:rsidRPr="007A3FEC">
              <w:t>comply with legislation, regulations, standards, codes of practice and established safe practices and procedures for component assembly</w:t>
            </w:r>
          </w:p>
          <w:p w:rsidR="00000000" w:rsidRPr="007A3FEC" w:rsidP="007A3FEC">
            <w:pPr>
              <w:pStyle w:val="ListBullet"/>
            </w:pPr>
            <w:r w:rsidRPr="007A3FEC">
              <w:t>communicate effectively and work safely with others in the work area</w:t>
            </w:r>
          </w:p>
          <w:p w:rsidR="00000000" w:rsidRPr="007A3FEC" w:rsidP="007A3FEC">
            <w:pPr>
              <w:pStyle w:val="ListBullet"/>
            </w:pPr>
            <w:r w:rsidRPr="007A3FEC">
              <w:t>follow work instructions, oper</w:t>
            </w:r>
            <w:r w:rsidRPr="007A3FEC">
              <w:t>ating procedures and inspection practices to:</w:t>
            </w:r>
          </w:p>
          <w:p w:rsidR="00000000" w:rsidRPr="007A3FEC" w:rsidP="007A3FEC">
            <w:pPr>
              <w:pStyle w:val="ListBullet2"/>
            </w:pPr>
            <w:r w:rsidRPr="007A3FEC">
              <w:t>minimise the risk of injury to self or others</w:t>
            </w:r>
          </w:p>
          <w:p w:rsidR="00000000" w:rsidRPr="007A3FEC" w:rsidP="007A3FEC">
            <w:pPr>
              <w:pStyle w:val="ListBullet2"/>
            </w:pPr>
            <w:r w:rsidRPr="007A3FEC">
              <w:t>prevent damage to components, equipment and products</w:t>
            </w:r>
          </w:p>
          <w:p w:rsidR="00000000" w:rsidRPr="007A3FEC" w:rsidP="007A3FEC">
            <w:pPr>
              <w:pStyle w:val="ListBullet2"/>
            </w:pPr>
            <w:r w:rsidRPr="007A3FEC">
              <w:t>maintain required production output and product quality</w:t>
            </w:r>
          </w:p>
          <w:p w:rsidR="00000000" w:rsidRPr="007A3FEC" w:rsidP="007A3FEC">
            <w:pPr>
              <w:pStyle w:val="ListBullet"/>
            </w:pPr>
            <w:r w:rsidRPr="007A3FEC">
              <w:t>safely and effectively use operational tools and equi</w:t>
            </w:r>
            <w:r w:rsidRPr="007A3FEC">
              <w:t>pment</w:t>
            </w:r>
          </w:p>
          <w:p w:rsidR="00000000" w:rsidP="007A3FEC">
            <w:pPr>
              <w:pStyle w:val="ListBullet"/>
              <w:rPr>
                <w:lang w:val="en-NZ"/>
              </w:rPr>
            </w:pPr>
            <w:r w:rsidRPr="007A3FEC">
              <w:t>assemble a range of leadlight and stained glass components.</w:t>
            </w:r>
          </w:p>
        </w:tc>
      </w:tr>
      <w:tr w:rsidTr="007A3F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FEC">
            <w:pPr>
              <w:pStyle w:val="BodyText"/>
              <w:rPr>
                <w:lang w:val="en-NZ"/>
              </w:rPr>
            </w:pPr>
            <w:r w:rsidRPr="007A3FEC">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FEC" w:rsidP="007A3FEC">
            <w:pPr>
              <w:pStyle w:val="BodyText"/>
            </w:pPr>
            <w:r w:rsidRPr="007A3FEC">
              <w:t>The application of competency is to be assessed in the workplace or realistically simulated workplace.</w:t>
            </w:r>
          </w:p>
          <w:p w:rsidR="00000000" w:rsidRPr="007A3FEC" w:rsidP="007A3FEC">
            <w:pPr>
              <w:pStyle w:val="BodyText"/>
            </w:pPr>
            <w:r w:rsidRPr="007A3FEC">
              <w:t>Assessment is to occur under standard and authorised work practices, safety requirements and environmental constraints.</w:t>
            </w:r>
          </w:p>
          <w:p w:rsidR="00000000" w:rsidRPr="007A3FEC" w:rsidP="007A3FEC">
            <w:pPr>
              <w:pStyle w:val="BodyText"/>
            </w:pPr>
            <w:r w:rsidRPr="007A3FEC">
              <w:t>Assessment of essential underpinning knowledge, other than confirmatory questions, will usually be conducted in an off-site context.</w:t>
            </w:r>
          </w:p>
          <w:p w:rsidR="00000000" w:rsidRPr="007A3FEC" w:rsidP="007A3FEC">
            <w:pPr>
              <w:pStyle w:val="BodyText"/>
            </w:pPr>
            <w:r w:rsidRPr="007A3FEC">
              <w:t>Ass</w:t>
            </w:r>
            <w:r w:rsidRPr="007A3FEC">
              <w:t>essment is to comply with relevant regulatory or Australian Standard requirements.</w:t>
            </w:r>
          </w:p>
          <w:p w:rsidR="00000000" w:rsidRPr="007A3FEC" w:rsidP="007A3FEC">
            <w:pPr>
              <w:pStyle w:val="BodyText"/>
            </w:pPr>
            <w:r w:rsidRPr="007A3FEC">
              <w:t>The following resources should be made available:</w:t>
            </w:r>
          </w:p>
          <w:p w:rsidR="00000000" w:rsidRPr="007A3FEC" w:rsidP="007A3FEC">
            <w:pPr>
              <w:pStyle w:val="ListBullet"/>
            </w:pPr>
            <w:r w:rsidRPr="007A3FEC">
              <w:t>workplace location or simulated workplace</w:t>
            </w:r>
          </w:p>
          <w:p w:rsidR="00000000" w:rsidRPr="007A3FEC" w:rsidP="007A3FEC">
            <w:pPr>
              <w:pStyle w:val="ListBullet"/>
            </w:pPr>
            <w:r w:rsidRPr="007A3FEC">
              <w:t>materials and equipment relevant to assembly of leadlight and stained glass comp</w:t>
            </w:r>
            <w:r w:rsidRPr="007A3FEC">
              <w:t>onents</w:t>
            </w:r>
          </w:p>
          <w:p w:rsidR="00000000" w:rsidP="007A3FEC">
            <w:pPr>
              <w:pStyle w:val="ListBullet"/>
              <w:rPr>
                <w:lang w:val="en-NZ"/>
              </w:rPr>
            </w:pPr>
            <w:r w:rsidRPr="007A3FEC">
              <w:t>specifications and work instructions.</w:t>
            </w:r>
          </w:p>
        </w:tc>
      </w:tr>
      <w:tr w:rsidTr="007A3F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FEC">
            <w:pPr>
              <w:pStyle w:val="BodyText"/>
              <w:rPr>
                <w:lang w:val="en-NZ"/>
              </w:rPr>
            </w:pPr>
            <w:r w:rsidRPr="007A3FEC">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FEC" w:rsidP="007A3FEC">
            <w:pPr>
              <w:pStyle w:val="BodyText"/>
            </w:pPr>
            <w:r w:rsidRPr="007A3FEC">
              <w:t>Assessment must satisfy the endorsed Assessment Guidelines of the LMF02 Furnishing Industry Training Package.</w:t>
            </w:r>
          </w:p>
          <w:p w:rsidR="00000000" w:rsidRPr="007A3FEC" w:rsidP="007A3FEC">
            <w:pPr>
              <w:pStyle w:val="BodyText"/>
            </w:pPr>
            <w:r w:rsidRPr="007A3FEC">
              <w:t>Assessment methods must confirm consistency and accuracy of performance (over t</w:t>
            </w:r>
            <w:r w:rsidRPr="007A3FEC">
              <w:t>ime and in a range of workplace relevant contexts) together with application of underpinning knowledge.</w:t>
            </w:r>
          </w:p>
          <w:p w:rsidR="00000000" w:rsidRPr="007A3FEC" w:rsidP="007A3FEC">
            <w:pPr>
              <w:pStyle w:val="BodyText"/>
            </w:pPr>
            <w:r w:rsidRPr="007A3FEC">
              <w:t>Assessment methods must be by direct observation of tasks and include questioning on underpinning knowledge to ensure its correct interpretation and app</w:t>
            </w:r>
            <w:r w:rsidRPr="007A3FEC">
              <w:t>lication.</w:t>
            </w:r>
          </w:p>
          <w:p w:rsidR="00000000" w:rsidRPr="007A3FEC" w:rsidP="007A3FEC">
            <w:pPr>
              <w:pStyle w:val="BodyText"/>
            </w:pPr>
            <w:r w:rsidRPr="007A3FEC">
              <w:t>Assessment may be applied under project-related conditions (real or simulated) and require evidence of process.</w:t>
            </w:r>
          </w:p>
          <w:p w:rsidR="00000000" w:rsidRPr="007A3FEC" w:rsidP="007A3FEC">
            <w:pPr>
              <w:pStyle w:val="BodyText"/>
            </w:pPr>
            <w:r w:rsidRPr="007A3FEC">
              <w:t>Assessment must confirm a reasonable inference that competency is able not only to be satisfied under the particular circumstance, but is able to be transferred to other circumstances.</w:t>
            </w:r>
          </w:p>
          <w:p w:rsidR="00000000" w:rsidP="007A3FEC">
            <w:pPr>
              <w:pStyle w:val="BodyText"/>
              <w:rPr>
                <w:lang w:val="en-NZ"/>
              </w:rPr>
            </w:pPr>
            <w:r w:rsidRPr="007A3FEC">
              <w:t>Assessment may be in conjunction with assessment of other units of comp</w:t>
            </w:r>
            <w:r w:rsidRPr="007A3FEC">
              <w:t>etency.</w:t>
            </w:r>
          </w:p>
        </w:tc>
      </w:tr>
      <w:tr w:rsidTr="007A3F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FEC">
            <w:pPr>
              <w:pStyle w:val="BodyText"/>
              <w:rPr>
                <w:lang w:val="en-NZ"/>
              </w:rPr>
            </w:pPr>
            <w:r w:rsidRPr="007A3FEC">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FEC" w:rsidP="007A3FEC">
            <w:pPr>
              <w:pStyle w:val="BodyText"/>
            </w:pPr>
          </w:p>
        </w:tc>
      </w:tr>
    </w:tbl>
    <w:p w:rsidR="00217640" w:rsidP="007A3FEC">
      <w:pPr>
        <w:pStyle w:val="BodyText"/>
      </w:pPr>
    </w:p>
    <w:p w:rsidR="00217640" w:rsidP="007A3FEC">
      <w:pPr>
        <w:pStyle w:val="BodyText"/>
      </w:pPr>
    </w:p>
    <w:p w:rsidR="00000000" w:rsidRPr="007A3FEC" w:rsidP="007A3FEC">
      <w:pPr>
        <w:pStyle w:val="Heading1"/>
      </w:pPr>
      <w:bookmarkStart w:id="11" w:name="O_352112"/>
      <w:bookmarkEnd w:id="11"/>
      <w:r w:rsidRPr="007A3FEC">
        <w:t>Range Statement</w:t>
      </w:r>
    </w:p>
    <w:tbl>
      <w:tblPr>
        <w:tblW w:w="9462" w:type="dxa"/>
        <w:tblLayout w:type="fixed"/>
        <w:tblCellMar>
          <w:left w:w="62" w:type="dxa"/>
          <w:right w:w="62" w:type="dxa"/>
        </w:tblCellMar>
        <w:tblLook w:val="0000"/>
      </w:tblPr>
      <w:tblGrid>
        <w:gridCol w:w="3800"/>
        <w:gridCol w:w="5662"/>
      </w:tblGrid>
      <w:tr w:rsidTr="007A3FEC">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7A3FEC">
            <w:pPr>
              <w:pStyle w:val="BodyText"/>
              <w:rPr>
                <w:lang w:val="en-NZ"/>
              </w:rPr>
            </w:pPr>
            <w:r w:rsidRPr="007A3FEC">
              <w:t>The range statement relates to the unit of competency as a whole. It allows for different work environments and situations that may affect performance. Bold italicised wordi</w:t>
            </w:r>
            <w:r w:rsidRPr="007A3FEC">
              <w:t>ng, if used in the performance criteria, is detailed below. Essential operating conditions that may be present with training and assessment (depending on the work situation, needs of the candidate, accessibility of the item, and local industry and regional</w:t>
            </w:r>
            <w:r w:rsidRPr="007A3FEC">
              <w:t xml:space="preserve"> contexts) may also be included.</w:t>
            </w:r>
          </w:p>
        </w:tc>
      </w:tr>
      <w:tr w:rsidTr="007A3F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FEC">
            <w:pPr>
              <w:pStyle w:val="BodyText"/>
              <w:rPr>
                <w:lang w:val="en-NZ"/>
              </w:rPr>
            </w:pPr>
            <w:r w:rsidRPr="007A3FEC">
              <w:rPr>
                <w:rStyle w:val="BoldandItalics"/>
              </w:rPr>
              <w:t>OHS requirements</w:t>
            </w:r>
            <w:r w:rsidRPr="007A3FEC">
              <w:rPr>
                <w:rStyle w:val="SpecialBold"/>
              </w:rPr>
              <w:t xml:space="preserve"> </w:t>
            </w:r>
            <w:r w:rsidRPr="007A3FEC">
              <w:t>are to be in accordance with: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FEC" w:rsidP="007A3FEC">
            <w:pPr>
              <w:pStyle w:val="ListBullet"/>
            </w:pPr>
            <w:r w:rsidRPr="007A3FEC">
              <w:t>Commonwealth, state or territory legislation and regulations, organisational safety policies and procedures. Requirements may include, but are not limited to:</w:t>
            </w:r>
          </w:p>
          <w:p w:rsidR="00000000" w:rsidRPr="007A3FEC" w:rsidP="007A3FEC">
            <w:pPr>
              <w:pStyle w:val="ListBullet2"/>
            </w:pPr>
            <w:r w:rsidRPr="007A3FEC">
              <w:t>the use of personal protective equipment and clothing</w:t>
            </w:r>
          </w:p>
          <w:p w:rsidR="00000000" w:rsidRPr="007A3FEC" w:rsidP="007A3FEC">
            <w:pPr>
              <w:pStyle w:val="ListBullet2"/>
            </w:pPr>
            <w:r w:rsidRPr="007A3FEC">
              <w:t>fire fighting equipment</w:t>
            </w:r>
          </w:p>
          <w:p w:rsidR="00000000" w:rsidRPr="007A3FEC" w:rsidP="007A3FEC">
            <w:pPr>
              <w:pStyle w:val="ListBullet2"/>
            </w:pPr>
            <w:r w:rsidRPr="007A3FEC">
              <w:t>first aid equipment</w:t>
            </w:r>
          </w:p>
          <w:p w:rsidR="00000000" w:rsidRPr="007A3FEC" w:rsidP="007A3FEC">
            <w:pPr>
              <w:pStyle w:val="ListBullet2"/>
            </w:pPr>
            <w:r w:rsidRPr="007A3FEC">
              <w:t>hazard and risk control and elimination of hazardous materials and substances</w:t>
            </w:r>
          </w:p>
          <w:p w:rsidR="00000000" w:rsidP="007A3FEC">
            <w:pPr>
              <w:pStyle w:val="ListBullet2"/>
              <w:rPr>
                <w:lang w:val="en-NZ"/>
              </w:rPr>
            </w:pPr>
            <w:r w:rsidRPr="007A3FEC">
              <w:t>manual handling, including lifting and carrying</w:t>
            </w:r>
          </w:p>
        </w:tc>
      </w:tr>
      <w:tr w:rsidTr="007A3F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FEC">
            <w:pPr>
              <w:pStyle w:val="BodyText"/>
              <w:rPr>
                <w:lang w:val="en-NZ"/>
              </w:rPr>
            </w:pPr>
            <w:r w:rsidRPr="007A3FEC">
              <w:rPr>
                <w:rStyle w:val="BoldandItalics"/>
              </w:rPr>
              <w:t>Legislative requirements</w:t>
            </w:r>
            <w:r w:rsidRPr="007A3FEC">
              <w:rPr>
                <w:rStyle w:val="SpecialBold"/>
              </w:rPr>
              <w:t xml:space="preserve"> </w:t>
            </w:r>
            <w:r w:rsidRPr="007A3FEC">
              <w:t>are to</w:t>
            </w:r>
            <w:r w:rsidRPr="007A3FEC">
              <w:t xml:space="preserve"> be in accordance with: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FEC" w:rsidP="007A3FEC">
            <w:pPr>
              <w:pStyle w:val="ListBullet"/>
            </w:pPr>
            <w:r w:rsidRPr="007A3FEC">
              <w:t>applicable legislation from all levels of government that affect organisational operation. Requirements may include, but are not limited to:</w:t>
            </w:r>
          </w:p>
          <w:p w:rsidR="00000000" w:rsidRPr="007A3FEC" w:rsidP="007A3FEC">
            <w:pPr>
              <w:pStyle w:val="ListBullet2"/>
            </w:pPr>
            <w:r w:rsidRPr="007A3FEC">
              <w:t>award and enterprise agreements</w:t>
            </w:r>
          </w:p>
          <w:p w:rsidR="00000000" w:rsidRPr="007A3FEC" w:rsidP="007A3FEC">
            <w:pPr>
              <w:pStyle w:val="ListBullet2"/>
            </w:pPr>
            <w:r w:rsidRPr="007A3FEC">
              <w:t>industrial relations</w:t>
            </w:r>
          </w:p>
          <w:p w:rsidR="00000000" w:rsidRPr="007A3FEC" w:rsidP="007A3FEC">
            <w:pPr>
              <w:pStyle w:val="ListBullet2"/>
            </w:pPr>
            <w:r w:rsidRPr="007A3FEC">
              <w:t>Australian Standards</w:t>
            </w:r>
          </w:p>
          <w:p w:rsidR="00000000" w:rsidRPr="007A3FEC" w:rsidP="007A3FEC">
            <w:pPr>
              <w:pStyle w:val="ListBullet2"/>
            </w:pPr>
            <w:r w:rsidRPr="007A3FEC">
              <w:t>confidentiality and privacy</w:t>
            </w:r>
          </w:p>
          <w:p w:rsidR="00000000" w:rsidRPr="007A3FEC" w:rsidP="007A3FEC">
            <w:pPr>
              <w:pStyle w:val="ListBullet2"/>
            </w:pPr>
            <w:r w:rsidRPr="007A3FEC">
              <w:t>OHS requirements</w:t>
            </w:r>
          </w:p>
          <w:p w:rsidR="00000000" w:rsidRPr="007A3FEC" w:rsidP="007A3FEC">
            <w:pPr>
              <w:pStyle w:val="ListBullet2"/>
            </w:pPr>
            <w:r w:rsidRPr="007A3FEC">
              <w:t>the environment</w:t>
            </w:r>
          </w:p>
          <w:p w:rsidR="00000000" w:rsidRPr="007A3FEC" w:rsidP="007A3FEC">
            <w:pPr>
              <w:pStyle w:val="ListBullet2"/>
            </w:pPr>
            <w:r w:rsidRPr="007A3FEC">
              <w:t>equal opportunity</w:t>
            </w:r>
          </w:p>
          <w:p w:rsidR="00000000" w:rsidRPr="007A3FEC" w:rsidP="007A3FEC">
            <w:pPr>
              <w:pStyle w:val="ListBullet2"/>
            </w:pPr>
            <w:r w:rsidRPr="007A3FEC">
              <w:t>anti-discrimination</w:t>
            </w:r>
          </w:p>
          <w:p w:rsidR="00000000" w:rsidRPr="007A3FEC" w:rsidP="007A3FEC">
            <w:pPr>
              <w:pStyle w:val="ListBullet2"/>
            </w:pPr>
            <w:r w:rsidRPr="007A3FEC">
              <w:t>relevant industry codes of practice</w:t>
            </w:r>
          </w:p>
          <w:p w:rsidR="00000000" w:rsidP="007A3FEC">
            <w:pPr>
              <w:pStyle w:val="ListBullet2"/>
              <w:rPr>
                <w:lang w:val="en-NZ"/>
              </w:rPr>
            </w:pPr>
            <w:r w:rsidRPr="007A3FEC">
              <w:t>duty of care and heritage</w:t>
            </w:r>
          </w:p>
        </w:tc>
      </w:tr>
      <w:tr w:rsidTr="007A3F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FEC">
            <w:pPr>
              <w:pStyle w:val="BodyText"/>
              <w:rPr>
                <w:lang w:val="en-NZ"/>
              </w:rPr>
            </w:pPr>
            <w:r w:rsidRPr="007A3FEC">
              <w:rPr>
                <w:rStyle w:val="BoldandItalics"/>
              </w:rPr>
              <w:t>Organisational requirements</w:t>
            </w:r>
            <w:r w:rsidRPr="007A3FEC">
              <w:rPr>
                <w:rStyle w:val="SpecialBold"/>
              </w:rPr>
              <w:t xml:space="preserve"> </w:t>
            </w:r>
            <w:r w:rsidRPr="007A3FEC">
              <w:t>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FEC" w:rsidP="007A3FEC">
            <w:pPr>
              <w:pStyle w:val="ListBullet"/>
            </w:pPr>
            <w:r w:rsidRPr="007A3FEC">
              <w:t>legal, organisational and site guidelines, policies and procedures relating to own role and responsibility</w:t>
            </w:r>
          </w:p>
          <w:p w:rsidR="00000000" w:rsidRPr="007A3FEC" w:rsidP="007A3FEC">
            <w:pPr>
              <w:pStyle w:val="ListBullet"/>
            </w:pPr>
            <w:r w:rsidRPr="007A3FEC">
              <w:t>quality assurance</w:t>
            </w:r>
          </w:p>
          <w:p w:rsidR="00000000" w:rsidRPr="007A3FEC" w:rsidP="007A3FEC">
            <w:pPr>
              <w:pStyle w:val="ListBullet"/>
            </w:pPr>
            <w:r w:rsidRPr="007A3FEC">
              <w:t>procedural manuals</w:t>
            </w:r>
          </w:p>
          <w:p w:rsidR="00000000" w:rsidRPr="007A3FEC" w:rsidP="007A3FEC">
            <w:pPr>
              <w:pStyle w:val="ListBullet"/>
            </w:pPr>
            <w:r w:rsidRPr="007A3FEC">
              <w:t>quality and continuous improvement processes and standards</w:t>
            </w:r>
          </w:p>
          <w:p w:rsidR="00000000" w:rsidRPr="007A3FEC" w:rsidP="007A3FEC">
            <w:pPr>
              <w:pStyle w:val="ListBullet"/>
            </w:pPr>
            <w:r w:rsidRPr="007A3FEC">
              <w:t>OHS procedures</w:t>
            </w:r>
          </w:p>
          <w:p w:rsidR="00000000" w:rsidRPr="007A3FEC" w:rsidP="007A3FEC">
            <w:pPr>
              <w:pStyle w:val="ListBullet"/>
            </w:pPr>
            <w:r w:rsidRPr="007A3FEC">
              <w:t>emergency and evacuation</w:t>
            </w:r>
          </w:p>
          <w:p w:rsidR="00000000" w:rsidRPr="007A3FEC" w:rsidP="007A3FEC">
            <w:pPr>
              <w:pStyle w:val="ListBullet"/>
            </w:pPr>
            <w:r w:rsidRPr="007A3FEC">
              <w:t>ethical stand</w:t>
            </w:r>
            <w:r w:rsidRPr="007A3FEC">
              <w:t>ards</w:t>
            </w:r>
          </w:p>
          <w:p w:rsidR="00000000" w:rsidRPr="007A3FEC" w:rsidP="007A3FEC">
            <w:pPr>
              <w:pStyle w:val="ListBullet"/>
            </w:pPr>
            <w:r w:rsidRPr="007A3FEC">
              <w:t>recording and reporting</w:t>
            </w:r>
          </w:p>
          <w:p w:rsidR="00000000" w:rsidRPr="007A3FEC" w:rsidP="007A3FEC">
            <w:pPr>
              <w:pStyle w:val="ListBullet"/>
            </w:pPr>
            <w:r w:rsidRPr="007A3FEC">
              <w:t>access and equity principles and practices</w:t>
            </w:r>
          </w:p>
          <w:p w:rsidR="00000000" w:rsidRPr="007A3FEC" w:rsidP="007A3FEC">
            <w:pPr>
              <w:pStyle w:val="ListBullet"/>
            </w:pPr>
            <w:r w:rsidRPr="007A3FEC">
              <w:t>equipment use, maintenance and storage</w:t>
            </w:r>
          </w:p>
          <w:p w:rsidR="00000000" w:rsidP="007A3FEC">
            <w:pPr>
              <w:pStyle w:val="ListBullet"/>
              <w:rPr>
                <w:lang w:val="en-NZ"/>
              </w:rPr>
            </w:pPr>
            <w:r w:rsidRPr="007A3FEC">
              <w:t>environmental management (waste disposal, recycling and reuse guidelines)</w:t>
            </w:r>
          </w:p>
        </w:tc>
      </w:tr>
      <w:tr w:rsidTr="007A3F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FEC">
            <w:pPr>
              <w:pStyle w:val="BodyText"/>
              <w:rPr>
                <w:lang w:val="en-NZ"/>
              </w:rPr>
            </w:pPr>
            <w:r w:rsidRPr="007A3FEC">
              <w:rPr>
                <w:rStyle w:val="BoldandItalics"/>
              </w:rPr>
              <w:t>Components</w:t>
            </w:r>
            <w:r w:rsidRPr="007A3FEC">
              <w:rPr>
                <w:rStyle w:val="SpecialBold"/>
              </w:rPr>
              <w:t xml:space="preserve"> </w:t>
            </w:r>
            <w:r w:rsidRPr="007A3FEC">
              <w:t>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FEC" w:rsidP="007A3FEC">
            <w:pPr>
              <w:pStyle w:val="ListBullet"/>
            </w:pPr>
            <w:r w:rsidRPr="007A3FEC">
              <w:t xml:space="preserve">panels </w:t>
            </w:r>
          </w:p>
          <w:p w:rsidR="00000000" w:rsidRPr="007A3FEC" w:rsidP="007A3FEC">
            <w:pPr>
              <w:pStyle w:val="ListBullet"/>
            </w:pPr>
            <w:r w:rsidRPr="007A3FEC">
              <w:t xml:space="preserve">door inserts </w:t>
            </w:r>
          </w:p>
          <w:p w:rsidR="00000000" w:rsidRPr="007A3FEC" w:rsidP="007A3FEC">
            <w:pPr>
              <w:pStyle w:val="ListBullet"/>
            </w:pPr>
            <w:r w:rsidRPr="007A3FEC">
              <w:t xml:space="preserve">frames </w:t>
            </w:r>
          </w:p>
          <w:p w:rsidR="00000000" w:rsidP="007A3FEC">
            <w:pPr>
              <w:pStyle w:val="ListBullet"/>
              <w:rPr>
                <w:lang w:val="en-NZ"/>
              </w:rPr>
            </w:pPr>
            <w:r w:rsidRPr="007A3FEC">
              <w:t>limited basic end items</w:t>
            </w:r>
          </w:p>
        </w:tc>
      </w:tr>
      <w:tr w:rsidTr="007A3F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FEC">
            <w:pPr>
              <w:pStyle w:val="BodyText"/>
              <w:rPr>
                <w:lang w:val="en-NZ"/>
              </w:rPr>
            </w:pPr>
            <w:r w:rsidRPr="007A3FEC">
              <w:rPr>
                <w:rStyle w:val="BoldandItalics"/>
              </w:rPr>
              <w:t>Tools and equipment</w:t>
            </w:r>
            <w:r w:rsidRPr="007A3FEC">
              <w:rPr>
                <w:rStyle w:val="SpecialBold"/>
              </w:rPr>
              <w:t xml:space="preserve"> </w:t>
            </w:r>
            <w:r w:rsidRPr="007A3FEC">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FEC" w:rsidP="007A3FEC">
            <w:pPr>
              <w:pStyle w:val="ListBullet"/>
            </w:pPr>
            <w:r w:rsidRPr="007A3FEC">
              <w:t xml:space="preserve">benches </w:t>
            </w:r>
          </w:p>
          <w:p w:rsidR="00000000" w:rsidRPr="007A3FEC" w:rsidP="007A3FEC">
            <w:pPr>
              <w:pStyle w:val="ListBullet"/>
            </w:pPr>
            <w:r w:rsidRPr="007A3FEC">
              <w:t xml:space="preserve">light boxes </w:t>
            </w:r>
          </w:p>
          <w:p w:rsidR="00000000" w:rsidRPr="007A3FEC" w:rsidP="007A3FEC">
            <w:pPr>
              <w:pStyle w:val="ListBullet"/>
            </w:pPr>
            <w:r w:rsidRPr="007A3FEC">
              <w:t xml:space="preserve">glass grinders </w:t>
            </w:r>
          </w:p>
          <w:p w:rsidR="00000000" w:rsidRPr="007A3FEC" w:rsidP="007A3FEC">
            <w:pPr>
              <w:pStyle w:val="ListBullet"/>
            </w:pPr>
            <w:r w:rsidRPr="007A3FEC">
              <w:t xml:space="preserve">lead knifes </w:t>
            </w:r>
          </w:p>
          <w:p w:rsidR="00000000" w:rsidRPr="007A3FEC" w:rsidP="007A3FEC">
            <w:pPr>
              <w:pStyle w:val="ListBullet"/>
            </w:pPr>
            <w:r w:rsidRPr="007A3FEC">
              <w:t xml:space="preserve">lead vice </w:t>
            </w:r>
          </w:p>
          <w:p w:rsidR="00000000" w:rsidRPr="007A3FEC" w:rsidP="007A3FEC">
            <w:pPr>
              <w:pStyle w:val="ListBullet"/>
            </w:pPr>
            <w:r w:rsidRPr="007A3FEC">
              <w:t xml:space="preserve">lathekins </w:t>
            </w:r>
          </w:p>
          <w:p w:rsidR="00000000" w:rsidRPr="007A3FEC" w:rsidP="007A3FEC">
            <w:pPr>
              <w:pStyle w:val="ListBullet"/>
            </w:pPr>
            <w:r w:rsidRPr="007A3FEC">
              <w:t xml:space="preserve">farriers nails </w:t>
            </w:r>
          </w:p>
          <w:p w:rsidR="00000000" w:rsidRPr="007A3FEC" w:rsidP="007A3FEC">
            <w:pPr>
              <w:pStyle w:val="ListBullet"/>
            </w:pPr>
            <w:r w:rsidRPr="007A3FEC">
              <w:t xml:space="preserve">glass cutters </w:t>
            </w:r>
          </w:p>
          <w:p w:rsidR="00000000" w:rsidRPr="007A3FEC" w:rsidP="007A3FEC">
            <w:pPr>
              <w:pStyle w:val="ListBullet"/>
            </w:pPr>
            <w:r w:rsidRPr="007A3FEC">
              <w:t xml:space="preserve">grozing and small running pliers </w:t>
            </w:r>
          </w:p>
          <w:p w:rsidR="00000000" w:rsidRPr="007A3FEC" w:rsidP="007A3FEC">
            <w:pPr>
              <w:pStyle w:val="ListBullet"/>
            </w:pPr>
            <w:r w:rsidRPr="007A3FEC">
              <w:t xml:space="preserve">soldering irons and bits </w:t>
            </w:r>
          </w:p>
          <w:p w:rsidR="00000000" w:rsidRPr="007A3FEC" w:rsidP="007A3FEC">
            <w:pPr>
              <w:pStyle w:val="ListBullet"/>
            </w:pPr>
            <w:r w:rsidRPr="007A3FEC">
              <w:t xml:space="preserve">suede </w:t>
            </w:r>
          </w:p>
          <w:p w:rsidR="00000000" w:rsidRPr="007A3FEC" w:rsidP="007A3FEC">
            <w:pPr>
              <w:pStyle w:val="ListBullet"/>
            </w:pPr>
            <w:r w:rsidRPr="007A3FEC">
              <w:t xml:space="preserve">cleaning and polishing brushers </w:t>
            </w:r>
          </w:p>
          <w:p w:rsidR="00000000" w:rsidP="007A3FEC">
            <w:pPr>
              <w:pStyle w:val="ListBullet"/>
              <w:rPr>
                <w:lang w:val="en-NZ"/>
              </w:rPr>
            </w:pPr>
            <w:r w:rsidRPr="007A3FEC">
              <w:t>pickers</w:t>
            </w:r>
          </w:p>
        </w:tc>
      </w:tr>
      <w:tr w:rsidTr="007A3FE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3FEC">
            <w:pPr>
              <w:pStyle w:val="BodyText"/>
              <w:rPr>
                <w:lang w:val="en-NZ"/>
              </w:rPr>
            </w:pPr>
            <w:r w:rsidRPr="007A3FEC">
              <w:rPr>
                <w:rStyle w:val="BoldandItalics"/>
              </w:rPr>
              <w:t>Materials</w:t>
            </w:r>
            <w:r w:rsidRPr="007A3FEC">
              <w:rPr>
                <w:rStyle w:val="SpecialBold"/>
              </w:rPr>
              <w:t xml:space="preserve"> </w:t>
            </w:r>
            <w:r w:rsidRPr="007A3FEC">
              <w:t>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3FEC" w:rsidP="007A3FEC">
            <w:pPr>
              <w:pStyle w:val="ListBullet"/>
            </w:pPr>
            <w:r w:rsidRPr="007A3FEC">
              <w:t>coloured/plain glass panels, patterns/templates</w:t>
            </w:r>
          </w:p>
          <w:p w:rsidR="00000000" w:rsidRPr="007A3FEC" w:rsidP="007A3FEC">
            <w:pPr>
              <w:pStyle w:val="ListBullet"/>
            </w:pPr>
            <w:r w:rsidRPr="007A3FEC">
              <w:t xml:space="preserve">timber lathes </w:t>
            </w:r>
          </w:p>
          <w:p w:rsidR="00000000" w:rsidRPr="007A3FEC" w:rsidP="007A3FEC">
            <w:pPr>
              <w:pStyle w:val="ListBullet"/>
            </w:pPr>
            <w:r w:rsidRPr="007A3FEC">
              <w:t xml:space="preserve">ornamental fittings </w:t>
            </w:r>
          </w:p>
          <w:p w:rsidR="00000000" w:rsidRPr="007A3FEC" w:rsidP="007A3FEC">
            <w:pPr>
              <w:pStyle w:val="ListBullet"/>
            </w:pPr>
            <w:r w:rsidRPr="007A3FEC">
              <w:t xml:space="preserve">lead came </w:t>
            </w:r>
          </w:p>
          <w:p w:rsidR="00000000" w:rsidRPr="007A3FEC" w:rsidP="007A3FEC">
            <w:pPr>
              <w:pStyle w:val="ListBullet"/>
            </w:pPr>
            <w:r w:rsidRPr="007A3FEC">
              <w:t>solder and fluxes</w:t>
            </w:r>
          </w:p>
        </w:tc>
      </w:tr>
    </w:tbl>
    <w:p w:rsidR="00000000" w:rsidRPr="007A3FEC" w:rsidP="007A3FEC">
      <w:pPr>
        <w:pStyle w:val="BodyText"/>
      </w:pPr>
    </w:p>
    <w:p w:rsidR="00000000" w:rsidRPr="007A3FEC" w:rsidP="007A3FEC">
      <w:pPr>
        <w:pStyle w:val="AllowPageBreak"/>
      </w:pPr>
    </w:p>
    <w:p w:rsidR="00000000" w:rsidRPr="007A3FEC" w:rsidP="007A3FEC">
      <w:pPr>
        <w:pStyle w:val="Heading1"/>
      </w:pPr>
      <w:bookmarkStart w:id="12" w:name="O_352113"/>
      <w:bookmarkEnd w:id="12"/>
      <w:r w:rsidRPr="007A3FEC">
        <w:t>Unit Sector(s)</w:t>
      </w:r>
    </w:p>
    <w:p w:rsidR="00000000" w:rsidRPr="007A3FEC" w:rsidP="007A3FEC">
      <w:pPr>
        <w:pStyle w:val="BodyText"/>
      </w:pPr>
      <w:r w:rsidRPr="007A3FEC">
        <w:t>Leadlight and stained glass</w:t>
      </w:r>
    </w:p>
    <w:p w:rsidR="00000000" w:rsidRPr="007A3FEC" w:rsidP="007A3FEC">
      <w:pPr>
        <w:pStyle w:val="AllowPageBreak"/>
      </w:pPr>
    </w:p>
    <w:p w:rsidR="00000000" w:rsidRPr="007A3FEC" w:rsidP="007A3FEC">
      <w:pPr>
        <w:pStyle w:val="Heading1"/>
      </w:pPr>
      <w:bookmarkStart w:id="13" w:name="O_352114"/>
      <w:bookmarkEnd w:id="13"/>
      <w:r w:rsidRPr="007A3FEC">
        <w:t>Custom Content Section</w:t>
      </w:r>
    </w:p>
    <w:p w:rsidR="00000000" w:rsidRPr="007A3FEC" w:rsidP="007A3FEC">
      <w:pPr>
        <w:pStyle w:val="BodyText"/>
      </w:pPr>
      <w:r w:rsidRPr="007A3FEC">
        <w:t>Not applicable.</w:t>
      </w:r>
    </w:p>
    <w:p w:rsidR="00000000" w:rsidRPr="007A3FEC" w:rsidP="007A3FEC"/>
    <w:sectPr w:rsidSect="007A3F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F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7640" w:rsidP="002176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F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40" w:rsidP="007A3F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17640" w:rsidP="007A3F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17640" w:rsidP="007A3F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F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7640" w:rsidP="002176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F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640" w:rsidP="007A3FEC">
    <w:pPr>
      <w:pStyle w:val="Header"/>
      <w:framePr w:wrap="around"/>
    </w:pPr>
    <w:r>
      <w:fldChar w:fldCharType="begin"/>
    </w:r>
    <w:r>
      <w:instrText xml:space="preserve"> TITLE   \* MERGEFORMAT </w:instrText>
    </w:r>
    <w:r>
      <w:fldChar w:fldCharType="separate"/>
    </w:r>
    <w:r>
      <w:t>LMFSL2001B Assemble leadlight and stained glass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7640" w:rsidP="007A3F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78E7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607C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B6E7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F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3FEC"/>
    <w:pPr>
      <w:spacing w:before="360" w:after="60"/>
      <w:outlineLvl w:val="0"/>
    </w:pPr>
    <w:rPr>
      <w:sz w:val="32"/>
    </w:rPr>
  </w:style>
  <w:style w:type="paragraph" w:styleId="Heading2">
    <w:name w:val="heading 2"/>
    <w:basedOn w:val="HeadingBase"/>
    <w:next w:val="BodyText"/>
    <w:link w:val="Heading2Char"/>
    <w:qFormat/>
    <w:rsid w:val="007A3FEC"/>
    <w:pPr>
      <w:keepLines/>
      <w:spacing w:before="240" w:after="120"/>
      <w:outlineLvl w:val="1"/>
    </w:pPr>
    <w:rPr>
      <w:sz w:val="28"/>
      <w:szCs w:val="40"/>
    </w:rPr>
  </w:style>
  <w:style w:type="paragraph" w:styleId="Heading3">
    <w:name w:val="heading 3"/>
    <w:basedOn w:val="HeadingBase"/>
    <w:next w:val="BodyText"/>
    <w:link w:val="Heading3Char"/>
    <w:qFormat/>
    <w:rsid w:val="007A3FEC"/>
    <w:pPr>
      <w:spacing w:before="180" w:after="120"/>
      <w:outlineLvl w:val="2"/>
    </w:pPr>
    <w:rPr>
      <w:spacing w:val="-10"/>
      <w:kern w:val="32"/>
    </w:rPr>
  </w:style>
  <w:style w:type="paragraph" w:styleId="Heading4">
    <w:name w:val="heading 4"/>
    <w:basedOn w:val="HeadingBase"/>
    <w:next w:val="BodyText"/>
    <w:link w:val="Heading4Char"/>
    <w:qFormat/>
    <w:rsid w:val="007A3FEC"/>
    <w:pPr>
      <w:spacing w:before="160" w:after="120"/>
      <w:outlineLvl w:val="3"/>
    </w:pPr>
    <w:rPr>
      <w:sz w:val="22"/>
    </w:rPr>
  </w:style>
  <w:style w:type="paragraph" w:styleId="Heading5">
    <w:name w:val="heading 5"/>
    <w:basedOn w:val="HeadingBase"/>
    <w:next w:val="Normal"/>
    <w:link w:val="Heading5Char"/>
    <w:qFormat/>
    <w:rsid w:val="007A3FEC"/>
    <w:pPr>
      <w:spacing w:before="80"/>
      <w:outlineLvl w:val="4"/>
    </w:pPr>
    <w:rPr>
      <w:color w:val="918585"/>
      <w:sz w:val="20"/>
    </w:rPr>
  </w:style>
  <w:style w:type="paragraph" w:styleId="Heading6">
    <w:name w:val="heading 6"/>
    <w:basedOn w:val="HeadingBase"/>
    <w:next w:val="Normal"/>
    <w:link w:val="Heading6Char"/>
    <w:qFormat/>
    <w:rsid w:val="007A3FEC"/>
    <w:pPr>
      <w:spacing w:before="60"/>
      <w:outlineLvl w:val="5"/>
    </w:pPr>
    <w:rPr>
      <w:color w:val="918585"/>
      <w:sz w:val="20"/>
    </w:rPr>
  </w:style>
  <w:style w:type="paragraph" w:styleId="Heading7">
    <w:name w:val="heading 7"/>
    <w:basedOn w:val="Normal"/>
    <w:next w:val="Normal"/>
    <w:link w:val="Heading7Char"/>
    <w:qFormat/>
    <w:rsid w:val="007A3FEC"/>
    <w:pPr>
      <w:ind w:left="720"/>
      <w:outlineLvl w:val="6"/>
    </w:pPr>
    <w:rPr>
      <w:i/>
    </w:rPr>
  </w:style>
  <w:style w:type="paragraph" w:styleId="Heading8">
    <w:name w:val="heading 8"/>
    <w:basedOn w:val="Normal"/>
    <w:next w:val="Normal"/>
    <w:link w:val="Heading8Char"/>
    <w:qFormat/>
    <w:rsid w:val="007A3FEC"/>
    <w:pPr>
      <w:ind w:left="720"/>
      <w:outlineLvl w:val="7"/>
    </w:pPr>
    <w:rPr>
      <w:i/>
    </w:rPr>
  </w:style>
  <w:style w:type="paragraph" w:styleId="Heading9">
    <w:name w:val="heading 9"/>
    <w:basedOn w:val="Normal"/>
    <w:next w:val="Normal"/>
    <w:link w:val="Heading9Char"/>
    <w:qFormat/>
    <w:rsid w:val="007A3FEC"/>
    <w:pPr>
      <w:ind w:left="720"/>
      <w:outlineLvl w:val="8"/>
    </w:pPr>
    <w:rPr>
      <w:i/>
    </w:rPr>
  </w:style>
  <w:style w:type="character" w:default="1" w:styleId="DefaultParagraphFont">
    <w:name w:val="Default Paragraph Font"/>
    <w:uiPriority w:val="1"/>
    <w:unhideWhenUsed/>
    <w:rsid w:val="007A3F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FEC"/>
  </w:style>
  <w:style w:type="character" w:customStyle="1" w:styleId="Heading1Char">
    <w:name w:val="Heading 1 Char"/>
    <w:basedOn w:val="DefaultParagraphFont"/>
    <w:link w:val="Heading1"/>
    <w:rsid w:val="007A3FEC"/>
    <w:rPr>
      <w:rFonts w:ascii="Times New Roman" w:eastAsia="Times New Roman" w:hAnsi="Times New Roman" w:cs="Times New Roman"/>
      <w:b/>
      <w:sz w:val="32"/>
      <w:szCs w:val="20"/>
      <w:lang w:eastAsia="en-US"/>
    </w:rPr>
  </w:style>
  <w:style w:type="paragraph" w:styleId="BodyText">
    <w:name w:val="Body Text"/>
    <w:basedOn w:val="Normal"/>
    <w:link w:val="BodyTextChar"/>
    <w:rsid w:val="007A3F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3FEC"/>
    <w:rPr>
      <w:rFonts w:ascii="Times New Roman" w:eastAsia="Times New Roman" w:hAnsi="Times New Roman" w:cs="Times New Roman"/>
      <w:sz w:val="24"/>
      <w:lang w:val="en-US" w:eastAsia="en-US"/>
    </w:rPr>
  </w:style>
  <w:style w:type="paragraph" w:styleId="Footer">
    <w:name w:val="footer"/>
    <w:basedOn w:val="Normal"/>
    <w:link w:val="FooterChar"/>
    <w:rsid w:val="007A3F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FEC"/>
    <w:rPr>
      <w:rFonts w:ascii="Times New Roman" w:eastAsia="Times New Roman" w:hAnsi="Times New Roman" w:cs="Times New Roman"/>
      <w:sz w:val="16"/>
      <w:lang w:val="en-US" w:eastAsia="en-US"/>
    </w:rPr>
  </w:style>
  <w:style w:type="paragraph" w:styleId="ListBullet">
    <w:name w:val="List Bullet"/>
    <w:basedOn w:val="List"/>
    <w:rsid w:val="007A3FEC"/>
    <w:pPr>
      <w:numPr>
        <w:numId w:val="13"/>
      </w:numPr>
      <w:tabs>
        <w:tab w:val="clear" w:pos="340"/>
      </w:tabs>
      <w:spacing w:before="40" w:after="40"/>
    </w:pPr>
  </w:style>
  <w:style w:type="character" w:customStyle="1" w:styleId="SpecialBold">
    <w:name w:val="Special Bold"/>
    <w:basedOn w:val="DefaultParagraphFont"/>
    <w:rsid w:val="007A3FEC"/>
    <w:rPr>
      <w:b/>
      <w:spacing w:val="0"/>
    </w:rPr>
  </w:style>
  <w:style w:type="paragraph" w:styleId="ListBullet2">
    <w:name w:val="List Bullet 2"/>
    <w:basedOn w:val="List2"/>
    <w:rsid w:val="007A3FEC"/>
    <w:pPr>
      <w:numPr>
        <w:numId w:val="14"/>
      </w:numPr>
      <w:tabs>
        <w:tab w:val="clear" w:pos="680"/>
      </w:tabs>
    </w:pPr>
  </w:style>
  <w:style w:type="paragraph" w:styleId="Header">
    <w:name w:val="header"/>
    <w:basedOn w:val="Normal"/>
    <w:link w:val="HeaderChar"/>
    <w:rsid w:val="007A3F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F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3FEC"/>
    <w:pPr>
      <w:spacing w:before="240" w:after="120"/>
      <w:outlineLvl w:val="0"/>
    </w:pPr>
    <w:rPr>
      <w:rFonts w:ascii="Times New Roman" w:hAnsi="Times New Roman"/>
      <w:b/>
      <w:sz w:val="28"/>
    </w:rPr>
  </w:style>
  <w:style w:type="paragraph" w:customStyle="1" w:styleId="AllowPageBreak">
    <w:name w:val="AllowPageBreak"/>
    <w:rsid w:val="007A3F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3FEC"/>
    <w:rPr>
      <w:b/>
      <w:i/>
      <w:u w:val="none"/>
    </w:rPr>
  </w:style>
  <w:style w:type="character" w:customStyle="1" w:styleId="Heading2Char">
    <w:name w:val="Heading 2 Char"/>
    <w:basedOn w:val="DefaultParagraphFont"/>
    <w:link w:val="Heading2"/>
    <w:rsid w:val="007A3F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F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F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F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F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F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3F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3FEC"/>
    <w:rPr>
      <w:rFonts w:ascii="Courier New" w:eastAsia="Times New Roman" w:hAnsi="Courier New" w:cs="Times New Roman"/>
      <w:i/>
      <w:szCs w:val="20"/>
      <w:lang w:val="en-US" w:eastAsia="en-US"/>
    </w:rPr>
  </w:style>
  <w:style w:type="paragraph" w:customStyle="1" w:styleId="HeadingBase">
    <w:name w:val="Heading Base"/>
    <w:rsid w:val="007A3F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FEC"/>
    <w:pPr>
      <w:tabs>
        <w:tab w:val="right" w:leader="dot" w:pos="9072"/>
      </w:tabs>
      <w:ind w:left="567"/>
    </w:pPr>
    <w:rPr>
      <w:szCs w:val="22"/>
    </w:rPr>
  </w:style>
  <w:style w:type="paragraph" w:customStyle="1" w:styleId="TOCBase">
    <w:name w:val="TOC Base"/>
    <w:rsid w:val="007A3F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FEC"/>
    <w:pPr>
      <w:tabs>
        <w:tab w:val="right" w:leader="dot" w:pos="9072"/>
      </w:tabs>
      <w:spacing w:before="40" w:after="40"/>
      <w:ind w:left="284"/>
    </w:pPr>
    <w:rPr>
      <w:rFonts w:ascii="Times New Roman" w:hAnsi="Times New Roman"/>
    </w:rPr>
  </w:style>
  <w:style w:type="paragraph" w:styleId="TOC1">
    <w:name w:val="toc 1"/>
    <w:basedOn w:val="TOCBase"/>
    <w:next w:val="Normal"/>
    <w:rsid w:val="007A3F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3FEC"/>
    <w:pPr>
      <w:spacing w:before="5040"/>
      <w:jc w:val="center"/>
    </w:pPr>
    <w:rPr>
      <w:sz w:val="48"/>
      <w:szCs w:val="72"/>
      <w:lang w:val="en-US"/>
    </w:rPr>
  </w:style>
  <w:style w:type="character" w:customStyle="1" w:styleId="TitleChar">
    <w:name w:val="Title Char"/>
    <w:basedOn w:val="DefaultParagraphFont"/>
    <w:link w:val="Title"/>
    <w:rsid w:val="007A3F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FEC"/>
    <w:pPr>
      <w:tabs>
        <w:tab w:val="left" w:pos="3600"/>
        <w:tab w:val="left" w:pos="3958"/>
      </w:tabs>
    </w:pPr>
  </w:style>
  <w:style w:type="paragraph" w:styleId="List">
    <w:name w:val="List"/>
    <w:basedOn w:val="BodyText"/>
    <w:next w:val="BodyText"/>
    <w:rsid w:val="007A3FEC"/>
    <w:pPr>
      <w:tabs>
        <w:tab w:val="left" w:pos="340"/>
      </w:tabs>
      <w:spacing w:before="60" w:after="60"/>
      <w:ind w:left="340" w:hanging="340"/>
    </w:pPr>
  </w:style>
  <w:style w:type="paragraph" w:customStyle="1" w:styleId="Note">
    <w:name w:val="Note"/>
    <w:basedOn w:val="BodyText"/>
    <w:rsid w:val="007A3F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3FEC"/>
    <w:pPr>
      <w:framePr w:wrap="auto" w:hAnchor="text" w:y="6049"/>
    </w:pPr>
    <w:rPr>
      <w:color w:val="000000"/>
      <w:sz w:val="40"/>
    </w:rPr>
  </w:style>
  <w:style w:type="paragraph" w:customStyle="1" w:styleId="TOCTitle">
    <w:name w:val="TOCTitle"/>
    <w:basedOn w:val="Heading1"/>
    <w:rsid w:val="007A3FEC"/>
    <w:pPr>
      <w:spacing w:after="240"/>
      <w:jc w:val="center"/>
      <w:outlineLvl w:val="9"/>
    </w:pPr>
    <w:rPr>
      <w:caps/>
    </w:rPr>
  </w:style>
  <w:style w:type="paragraph" w:customStyle="1" w:styleId="Version">
    <w:name w:val="Version"/>
    <w:rsid w:val="007A3F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3FEC"/>
    <w:pPr>
      <w:keepNext w:val="0"/>
      <w:tabs>
        <w:tab w:val="right" w:pos="4176"/>
      </w:tabs>
      <w:ind w:left="198" w:hanging="198"/>
    </w:pPr>
    <w:rPr>
      <w:rFonts w:ascii="Garamond" w:hAnsi="Garamond"/>
    </w:rPr>
  </w:style>
  <w:style w:type="paragraph" w:styleId="IndexHeading">
    <w:name w:val="index heading"/>
    <w:basedOn w:val="Normal"/>
    <w:next w:val="Index1"/>
    <w:semiHidden/>
    <w:rsid w:val="007A3FEC"/>
    <w:pPr>
      <w:spacing w:before="120" w:after="120"/>
    </w:pPr>
    <w:rPr>
      <w:rFonts w:ascii="Arial" w:hAnsi="Arial"/>
      <w:b/>
      <w:color w:val="918585"/>
      <w:sz w:val="24"/>
    </w:rPr>
  </w:style>
  <w:style w:type="paragraph" w:customStyle="1" w:styleId="Chapter">
    <w:name w:val="Chapter"/>
    <w:basedOn w:val="Normal"/>
    <w:rsid w:val="007A3FEC"/>
    <w:pPr>
      <w:spacing w:before="240"/>
    </w:pPr>
    <w:rPr>
      <w:rFonts w:ascii="Times New Roman" w:hAnsi="Times New Roman"/>
      <w:smallCaps/>
      <w:spacing w:val="80"/>
      <w:sz w:val="28"/>
    </w:rPr>
  </w:style>
  <w:style w:type="paragraph" w:customStyle="1" w:styleId="InChapter">
    <w:name w:val="InChapter"/>
    <w:basedOn w:val="Heading3"/>
    <w:rsid w:val="007A3FEC"/>
    <w:pPr>
      <w:spacing w:after="240"/>
      <w:outlineLvl w:val="9"/>
    </w:pPr>
    <w:rPr>
      <w:noProof/>
    </w:rPr>
  </w:style>
  <w:style w:type="paragraph" w:styleId="Index2">
    <w:name w:val="index 2"/>
    <w:basedOn w:val="Normal"/>
    <w:next w:val="Normal"/>
    <w:semiHidden/>
    <w:rsid w:val="007A3FEC"/>
    <w:pPr>
      <w:tabs>
        <w:tab w:val="right" w:pos="4176"/>
      </w:tabs>
      <w:ind w:left="568" w:hanging="284"/>
    </w:pPr>
    <w:rPr>
      <w:rFonts w:ascii="Garamond" w:hAnsi="Garamond"/>
    </w:rPr>
  </w:style>
  <w:style w:type="paragraph" w:customStyle="1" w:styleId="Byline">
    <w:name w:val="Byline"/>
    <w:rsid w:val="007A3F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FEC"/>
    <w:pPr>
      <w:tabs>
        <w:tab w:val="clear" w:pos="3600"/>
        <w:tab w:val="clear" w:pos="3958"/>
      </w:tabs>
      <w:jc w:val="right"/>
    </w:pPr>
  </w:style>
  <w:style w:type="character" w:styleId="Emphasis">
    <w:name w:val="Emphasis"/>
    <w:basedOn w:val="DefaultParagraphFont"/>
    <w:qFormat/>
    <w:rsid w:val="007A3FEC"/>
    <w:rPr>
      <w:i/>
    </w:rPr>
  </w:style>
  <w:style w:type="paragraph" w:styleId="Caption">
    <w:name w:val="caption"/>
    <w:basedOn w:val="BodyText"/>
    <w:next w:val="Normal"/>
    <w:qFormat/>
    <w:rsid w:val="007A3FEC"/>
    <w:pPr>
      <w:framePr w:w="2268" w:hSpace="181" w:vSpace="181" w:wrap="around" w:vAnchor="text" w:hAnchor="page" w:x="1135" w:y="285" w:anchorLock="1"/>
    </w:pPr>
    <w:rPr>
      <w:i/>
    </w:rPr>
  </w:style>
  <w:style w:type="paragraph" w:customStyle="1" w:styleId="MiniTOCTitle">
    <w:name w:val="MiniTOCTitle"/>
    <w:basedOn w:val="Heading4"/>
    <w:rsid w:val="007A3FEC"/>
    <w:pPr>
      <w:spacing w:before="240"/>
      <w:outlineLvl w:val="9"/>
    </w:pPr>
    <w:rPr>
      <w:noProof/>
      <w:sz w:val="24"/>
    </w:rPr>
  </w:style>
  <w:style w:type="paragraph" w:customStyle="1" w:styleId="MiniTOCItem">
    <w:name w:val="MiniTOCItem"/>
    <w:basedOn w:val="ListBullet"/>
    <w:rsid w:val="007A3FEC"/>
    <w:pPr>
      <w:numPr>
        <w:numId w:val="0"/>
      </w:numPr>
      <w:tabs>
        <w:tab w:val="right" w:leader="dot" w:pos="6521"/>
      </w:tabs>
      <w:spacing w:before="0" w:after="0"/>
    </w:pPr>
  </w:style>
  <w:style w:type="paragraph" w:customStyle="1" w:styleId="TOFTitle">
    <w:name w:val="TOFTitle"/>
    <w:basedOn w:val="TOCTitle"/>
    <w:rsid w:val="007A3FEC"/>
  </w:style>
  <w:style w:type="paragraph" w:styleId="TableofFigures">
    <w:name w:val="table of figures"/>
    <w:basedOn w:val="Normal"/>
    <w:next w:val="Normal"/>
    <w:semiHidden/>
    <w:rsid w:val="007A3FEC"/>
    <w:pPr>
      <w:tabs>
        <w:tab w:val="right" w:leader="dot" w:pos="9072"/>
      </w:tabs>
      <w:ind w:left="970" w:hanging="403"/>
    </w:pPr>
    <w:rPr>
      <w:rFonts w:ascii="Times New Roman" w:hAnsi="Times New Roman"/>
      <w:b/>
    </w:rPr>
  </w:style>
  <w:style w:type="paragraph" w:styleId="ListNumber">
    <w:name w:val="List Number"/>
    <w:basedOn w:val="List"/>
    <w:rsid w:val="007A3FEC"/>
    <w:pPr>
      <w:numPr>
        <w:numId w:val="11"/>
      </w:numPr>
    </w:pPr>
  </w:style>
  <w:style w:type="character" w:customStyle="1" w:styleId="WingdingSymbols">
    <w:name w:val="Wingding Symbols"/>
    <w:rsid w:val="007A3FEC"/>
    <w:rPr>
      <w:rFonts w:ascii="Wingdings" w:hAnsi="Wingdings"/>
    </w:rPr>
  </w:style>
  <w:style w:type="paragraph" w:customStyle="1" w:styleId="TableHeading">
    <w:name w:val="Table Heading"/>
    <w:basedOn w:val="HeadingBase"/>
    <w:rsid w:val="007A3FEC"/>
    <w:pPr>
      <w:keepLines/>
      <w:pBdr>
        <w:bottom w:val="single" w:sz="6" w:space="1" w:color="918585"/>
      </w:pBdr>
      <w:spacing w:before="240"/>
    </w:pPr>
  </w:style>
  <w:style w:type="character" w:customStyle="1" w:styleId="HotSpot">
    <w:name w:val="HotSpot"/>
    <w:rsid w:val="007A3FEC"/>
    <w:rPr>
      <w:color w:val="0033CC"/>
      <w:u w:val="none"/>
    </w:rPr>
  </w:style>
  <w:style w:type="paragraph" w:customStyle="1" w:styleId="BodyTextRight">
    <w:name w:val="Body Text Right"/>
    <w:basedOn w:val="BodyText"/>
    <w:rsid w:val="007A3FEC"/>
    <w:pPr>
      <w:spacing w:before="0" w:after="0"/>
      <w:jc w:val="right"/>
    </w:pPr>
  </w:style>
  <w:style w:type="paragraph" w:styleId="Index3">
    <w:name w:val="index 3"/>
    <w:basedOn w:val="ListNumber2"/>
    <w:next w:val="Normal"/>
    <w:semiHidden/>
    <w:rsid w:val="007A3FEC"/>
    <w:pPr>
      <w:numPr>
        <w:numId w:val="0"/>
      </w:numPr>
      <w:tabs>
        <w:tab w:val="right" w:leader="dot" w:pos="4176"/>
      </w:tabs>
    </w:pPr>
  </w:style>
  <w:style w:type="paragraph" w:styleId="ListNumber2">
    <w:name w:val="List Number 2"/>
    <w:basedOn w:val="List2"/>
    <w:rsid w:val="007A3FEC"/>
    <w:pPr>
      <w:numPr>
        <w:numId w:val="10"/>
      </w:numPr>
      <w:tabs>
        <w:tab w:val="clear" w:pos="1060"/>
      </w:tabs>
    </w:pPr>
  </w:style>
  <w:style w:type="paragraph" w:customStyle="1" w:styleId="MarginNote">
    <w:name w:val="Margin Note"/>
    <w:basedOn w:val="BodyText"/>
    <w:rsid w:val="007A3F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F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F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3FEC"/>
    <w:rPr>
      <w:sz w:val="32"/>
    </w:rPr>
  </w:style>
  <w:style w:type="paragraph" w:customStyle="1" w:styleId="HeadingProcedure">
    <w:name w:val="Heading Procedure"/>
    <w:basedOn w:val="HeadingBase"/>
    <w:next w:val="Normal"/>
    <w:rsid w:val="007A3FEC"/>
    <w:pPr>
      <w:tabs>
        <w:tab w:val="left" w:pos="0"/>
      </w:tabs>
      <w:spacing w:before="120" w:after="60"/>
    </w:pPr>
    <w:rPr>
      <w:i/>
      <w:color w:val="918585"/>
      <w:sz w:val="22"/>
    </w:rPr>
  </w:style>
  <w:style w:type="paragraph" w:customStyle="1" w:styleId="TableBodyText">
    <w:name w:val="Table Body Text"/>
    <w:basedOn w:val="BodyText"/>
    <w:rsid w:val="007A3FEC"/>
    <w:pPr>
      <w:spacing w:before="60" w:after="60"/>
    </w:pPr>
  </w:style>
  <w:style w:type="paragraph" w:styleId="ListContinue">
    <w:name w:val="List Continue"/>
    <w:basedOn w:val="List"/>
    <w:rsid w:val="007A3FEC"/>
    <w:pPr>
      <w:ind w:firstLine="0"/>
    </w:pPr>
  </w:style>
  <w:style w:type="paragraph" w:customStyle="1" w:styleId="ListNote">
    <w:name w:val="List Note"/>
    <w:basedOn w:val="List"/>
    <w:rsid w:val="007A3FEC"/>
    <w:pPr>
      <w:pBdr>
        <w:top w:val="single" w:sz="6" w:space="2" w:color="918585"/>
        <w:bottom w:val="single" w:sz="6" w:space="2" w:color="918585"/>
      </w:pBdr>
      <w:tabs>
        <w:tab w:val="left" w:pos="1021"/>
      </w:tabs>
      <w:ind w:firstLine="0"/>
    </w:pPr>
  </w:style>
  <w:style w:type="paragraph" w:customStyle="1" w:styleId="Warning">
    <w:name w:val="Warning"/>
    <w:basedOn w:val="BodyText"/>
    <w:rsid w:val="007A3FEC"/>
    <w:pPr>
      <w:shd w:val="clear" w:color="auto" w:fill="D9D9D9"/>
      <w:tabs>
        <w:tab w:val="left" w:pos="992"/>
      </w:tabs>
      <w:ind w:left="119" w:right="119"/>
    </w:pPr>
    <w:rPr>
      <w:sz w:val="20"/>
    </w:rPr>
  </w:style>
  <w:style w:type="paragraph" w:customStyle="1" w:styleId="MarginIcons">
    <w:name w:val="Margin Icons"/>
    <w:basedOn w:val="BodyText"/>
    <w:rsid w:val="007A3F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FEC"/>
    <w:rPr>
      <w:rFonts w:ascii="Courier New" w:hAnsi="Courier New"/>
    </w:rPr>
  </w:style>
  <w:style w:type="paragraph" w:customStyle="1" w:styleId="NoteBullet">
    <w:name w:val="Note Bullet"/>
    <w:basedOn w:val="Note"/>
    <w:rsid w:val="007A3FEC"/>
    <w:pPr>
      <w:tabs>
        <w:tab w:val="clear" w:pos="680"/>
      </w:tabs>
      <w:spacing w:before="60" w:after="60"/>
    </w:pPr>
  </w:style>
  <w:style w:type="paragraph" w:customStyle="1" w:styleId="SubHeading2">
    <w:name w:val="SubHeading2"/>
    <w:basedOn w:val="HeadingBase"/>
    <w:rsid w:val="007A3FEC"/>
    <w:pPr>
      <w:spacing w:before="240" w:after="60"/>
    </w:pPr>
    <w:rPr>
      <w:sz w:val="20"/>
    </w:rPr>
  </w:style>
  <w:style w:type="paragraph" w:customStyle="1" w:styleId="SubHeading1">
    <w:name w:val="SubHeading1"/>
    <w:basedOn w:val="HeadingBase"/>
    <w:rsid w:val="007A3FEC"/>
    <w:pPr>
      <w:spacing w:before="240" w:after="60"/>
    </w:pPr>
    <w:rPr>
      <w:color w:val="918585"/>
      <w:sz w:val="22"/>
    </w:rPr>
  </w:style>
  <w:style w:type="paragraph" w:customStyle="1" w:styleId="SideHeading">
    <w:name w:val="Side Heading"/>
    <w:basedOn w:val="HeadingBase"/>
    <w:rsid w:val="007A3F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FEC"/>
    <w:pPr>
      <w:numPr>
        <w:numId w:val="12"/>
      </w:numPr>
    </w:pPr>
  </w:style>
  <w:style w:type="paragraph" w:styleId="PlainText">
    <w:name w:val="Plain Text"/>
    <w:basedOn w:val="Normal"/>
    <w:link w:val="PlainTextChar"/>
    <w:rsid w:val="007A3FEC"/>
    <w:rPr>
      <w:sz w:val="20"/>
    </w:rPr>
  </w:style>
  <w:style w:type="character" w:customStyle="1" w:styleId="PlainTextChar">
    <w:name w:val="Plain Text Char"/>
    <w:basedOn w:val="DefaultParagraphFont"/>
    <w:link w:val="PlainText"/>
    <w:rsid w:val="007A3F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3FEC"/>
    <w:rPr>
      <w:b/>
      <w:smallCaps/>
    </w:rPr>
  </w:style>
  <w:style w:type="paragraph" w:customStyle="1" w:styleId="TableListNumber">
    <w:name w:val="Table List Number"/>
    <w:basedOn w:val="ListNumber"/>
    <w:rsid w:val="007A3FEC"/>
    <w:pPr>
      <w:numPr>
        <w:numId w:val="0"/>
      </w:numPr>
    </w:pPr>
  </w:style>
  <w:style w:type="paragraph" w:styleId="TOC4">
    <w:name w:val="toc 4"/>
    <w:basedOn w:val="TOCBase"/>
    <w:next w:val="Normal"/>
    <w:semiHidden/>
    <w:rsid w:val="007A3FEC"/>
    <w:pPr>
      <w:tabs>
        <w:tab w:val="right" w:leader="dot" w:pos="9071"/>
      </w:tabs>
      <w:ind w:left="1701"/>
    </w:pPr>
  </w:style>
  <w:style w:type="paragraph" w:customStyle="1" w:styleId="ListAlpha">
    <w:name w:val="List Alpha"/>
    <w:basedOn w:val="List"/>
    <w:rsid w:val="007A3FEC"/>
    <w:pPr>
      <w:numPr>
        <w:numId w:val="9"/>
      </w:numPr>
    </w:pPr>
  </w:style>
  <w:style w:type="paragraph" w:customStyle="1" w:styleId="ListAlpha2">
    <w:name w:val="List Alpha 2"/>
    <w:basedOn w:val="List2"/>
    <w:rsid w:val="007A3FEC"/>
    <w:pPr>
      <w:numPr>
        <w:numId w:val="8"/>
      </w:numPr>
    </w:pPr>
  </w:style>
  <w:style w:type="paragraph" w:styleId="List2">
    <w:name w:val="List 2"/>
    <w:basedOn w:val="BodyText"/>
    <w:rsid w:val="007A3FEC"/>
    <w:pPr>
      <w:tabs>
        <w:tab w:val="left" w:pos="680"/>
      </w:tabs>
      <w:spacing w:before="60" w:after="60"/>
      <w:ind w:left="680" w:hanging="340"/>
    </w:pPr>
  </w:style>
  <w:style w:type="paragraph" w:styleId="List3">
    <w:name w:val="List 3"/>
    <w:basedOn w:val="BodyText"/>
    <w:rsid w:val="007A3FEC"/>
    <w:pPr>
      <w:tabs>
        <w:tab w:val="left" w:pos="1021"/>
      </w:tabs>
      <w:spacing w:before="60" w:after="60"/>
      <w:ind w:left="1020" w:hanging="340"/>
    </w:pPr>
  </w:style>
  <w:style w:type="paragraph" w:styleId="List4">
    <w:name w:val="List 4"/>
    <w:basedOn w:val="BodyText"/>
    <w:rsid w:val="007A3FEC"/>
    <w:pPr>
      <w:tabs>
        <w:tab w:val="left" w:pos="1361"/>
      </w:tabs>
      <w:spacing w:before="60" w:after="60"/>
      <w:ind w:left="1361" w:hanging="340"/>
    </w:pPr>
  </w:style>
  <w:style w:type="paragraph" w:styleId="List5">
    <w:name w:val="List 5"/>
    <w:basedOn w:val="BodyText"/>
    <w:rsid w:val="007A3FEC"/>
    <w:pPr>
      <w:tabs>
        <w:tab w:val="left" w:pos="1701"/>
      </w:tabs>
      <w:spacing w:before="60" w:after="60"/>
      <w:ind w:left="1701" w:hanging="340"/>
    </w:pPr>
  </w:style>
  <w:style w:type="paragraph" w:styleId="ListBullet3">
    <w:name w:val="List Bullet 3"/>
    <w:basedOn w:val="List3"/>
    <w:rsid w:val="007A3FEC"/>
    <w:pPr>
      <w:numPr>
        <w:numId w:val="15"/>
      </w:numPr>
      <w:tabs>
        <w:tab w:val="clear" w:pos="1021"/>
      </w:tabs>
      <w:ind w:left="1037" w:hanging="357"/>
    </w:pPr>
  </w:style>
  <w:style w:type="paragraph" w:styleId="ListBullet4">
    <w:name w:val="List Bullet 4"/>
    <w:basedOn w:val="List4"/>
    <w:rsid w:val="007A3FEC"/>
    <w:pPr>
      <w:numPr>
        <w:numId w:val="3"/>
      </w:numPr>
    </w:pPr>
  </w:style>
  <w:style w:type="paragraph" w:styleId="ListBullet5">
    <w:name w:val="List Bullet 5"/>
    <w:basedOn w:val="List5"/>
    <w:rsid w:val="007A3FEC"/>
    <w:pPr>
      <w:numPr>
        <w:numId w:val="4"/>
      </w:numPr>
    </w:pPr>
  </w:style>
  <w:style w:type="paragraph" w:styleId="ListContinue2">
    <w:name w:val="List Continue 2"/>
    <w:basedOn w:val="List2"/>
    <w:rsid w:val="007A3FEC"/>
    <w:pPr>
      <w:ind w:firstLine="0"/>
    </w:pPr>
  </w:style>
  <w:style w:type="paragraph" w:styleId="ListContinue3">
    <w:name w:val="List Continue 3"/>
    <w:basedOn w:val="List3"/>
    <w:rsid w:val="007A3FEC"/>
    <w:pPr>
      <w:ind w:left="1021" w:firstLine="0"/>
    </w:pPr>
  </w:style>
  <w:style w:type="paragraph" w:styleId="ListContinue4">
    <w:name w:val="List Continue 4"/>
    <w:basedOn w:val="List4"/>
    <w:rsid w:val="007A3FEC"/>
    <w:pPr>
      <w:ind w:firstLine="0"/>
    </w:pPr>
  </w:style>
  <w:style w:type="paragraph" w:styleId="ListContinue5">
    <w:name w:val="List Continue 5"/>
    <w:basedOn w:val="List5"/>
    <w:rsid w:val="007A3FEC"/>
    <w:pPr>
      <w:ind w:firstLine="0"/>
    </w:pPr>
  </w:style>
  <w:style w:type="paragraph" w:styleId="ListNumber3">
    <w:name w:val="List Number 3"/>
    <w:basedOn w:val="List3"/>
    <w:rsid w:val="007A3FEC"/>
    <w:pPr>
      <w:numPr>
        <w:numId w:val="5"/>
      </w:numPr>
    </w:pPr>
  </w:style>
  <w:style w:type="paragraph" w:styleId="ListNumber4">
    <w:name w:val="List Number 4"/>
    <w:basedOn w:val="List4"/>
    <w:rsid w:val="007A3FEC"/>
    <w:pPr>
      <w:numPr>
        <w:numId w:val="6"/>
      </w:numPr>
    </w:pPr>
  </w:style>
  <w:style w:type="paragraph" w:styleId="ListNumber5">
    <w:name w:val="List Number 5"/>
    <w:basedOn w:val="List5"/>
    <w:rsid w:val="007A3FEC"/>
    <w:pPr>
      <w:numPr>
        <w:numId w:val="7"/>
      </w:numPr>
    </w:pPr>
  </w:style>
  <w:style w:type="paragraph" w:styleId="BlockText">
    <w:name w:val="Block Text"/>
    <w:basedOn w:val="Normal"/>
    <w:rsid w:val="007A3FEC"/>
    <w:pPr>
      <w:spacing w:after="120"/>
      <w:ind w:left="1440" w:right="1440"/>
    </w:pPr>
  </w:style>
  <w:style w:type="character" w:customStyle="1" w:styleId="Subscript">
    <w:name w:val="Subscript"/>
    <w:basedOn w:val="DefaultParagraphFont"/>
    <w:rsid w:val="007A3FEC"/>
    <w:rPr>
      <w:sz w:val="16"/>
      <w:vertAlign w:val="subscript"/>
    </w:rPr>
  </w:style>
  <w:style w:type="character" w:customStyle="1" w:styleId="Superscript">
    <w:name w:val="Superscript"/>
    <w:basedOn w:val="DefaultParagraphFont"/>
    <w:rsid w:val="007A3FEC"/>
    <w:rPr>
      <w:sz w:val="16"/>
      <w:vertAlign w:val="superscript"/>
    </w:rPr>
  </w:style>
  <w:style w:type="character" w:customStyle="1" w:styleId="Symbols">
    <w:name w:val="Symbols"/>
    <w:basedOn w:val="DefaultParagraphFont"/>
    <w:rsid w:val="007A3FEC"/>
    <w:rPr>
      <w:rFonts w:ascii="Symbol" w:hAnsi="Symbol"/>
    </w:rPr>
  </w:style>
  <w:style w:type="character" w:customStyle="1" w:styleId="MenuOptions">
    <w:name w:val="Menu Options"/>
    <w:basedOn w:val="DefaultParagraphFont"/>
    <w:rsid w:val="007A3FEC"/>
    <w:rPr>
      <w:rFonts w:ascii="Arial Narrow" w:hAnsi="Arial Narrow"/>
      <w:smallCaps/>
    </w:rPr>
  </w:style>
  <w:style w:type="character" w:customStyle="1" w:styleId="Buttons">
    <w:name w:val="Buttons"/>
    <w:basedOn w:val="DefaultParagraphFont"/>
    <w:rsid w:val="007A3FEC"/>
    <w:rPr>
      <w:b/>
    </w:rPr>
  </w:style>
  <w:style w:type="character" w:customStyle="1" w:styleId="Underlined">
    <w:name w:val="Underlined"/>
    <w:basedOn w:val="DefaultParagraphFont"/>
    <w:rsid w:val="007A3FEC"/>
    <w:rPr>
      <w:u w:val="single"/>
    </w:rPr>
  </w:style>
  <w:style w:type="paragraph" w:customStyle="1" w:styleId="TableBodyTextRight">
    <w:name w:val="Table Body Text Right"/>
    <w:basedOn w:val="TableBodyText"/>
    <w:rsid w:val="007A3FEC"/>
    <w:pPr>
      <w:widowControl w:val="0"/>
      <w:autoSpaceDE w:val="0"/>
      <w:autoSpaceDN w:val="0"/>
      <w:adjustRightInd w:val="0"/>
      <w:jc w:val="right"/>
    </w:pPr>
    <w:rPr>
      <w:rFonts w:cs="Arial"/>
      <w:szCs w:val="18"/>
    </w:rPr>
  </w:style>
  <w:style w:type="paragraph" w:customStyle="1" w:styleId="CopyrightText">
    <w:name w:val="Copyright Text"/>
    <w:basedOn w:val="BodyText"/>
    <w:rsid w:val="007A3FEC"/>
    <w:rPr>
      <w:sz w:val="18"/>
    </w:rPr>
  </w:style>
  <w:style w:type="paragraph" w:customStyle="1" w:styleId="BodySmallRight">
    <w:name w:val="Body Small Right"/>
    <w:basedOn w:val="BodyTextRight"/>
    <w:rsid w:val="007A3FEC"/>
    <w:rPr>
      <w:sz w:val="18"/>
      <w:szCs w:val="18"/>
    </w:rPr>
  </w:style>
  <w:style w:type="paragraph" w:customStyle="1" w:styleId="MarginEdition">
    <w:name w:val="Margin Edition"/>
    <w:basedOn w:val="MarginNote"/>
    <w:rsid w:val="007A3FEC"/>
    <w:pPr>
      <w:spacing w:before="0" w:after="0"/>
    </w:pPr>
    <w:rPr>
      <w:rFonts w:ascii="Times New Roman" w:hAnsi="Times New Roman"/>
      <w:color w:val="999999"/>
    </w:rPr>
  </w:style>
  <w:style w:type="paragraph" w:customStyle="1" w:styleId="Spacer">
    <w:name w:val="Spacer"/>
    <w:basedOn w:val="Normal"/>
    <w:rsid w:val="007A3FEC"/>
    <w:rPr>
      <w:sz w:val="2"/>
      <w:szCs w:val="2"/>
    </w:rPr>
  </w:style>
  <w:style w:type="character" w:customStyle="1" w:styleId="Small">
    <w:name w:val="Small"/>
    <w:basedOn w:val="DefaultParagraphFont"/>
    <w:rsid w:val="007A3FEC"/>
    <w:rPr>
      <w:sz w:val="16"/>
    </w:rPr>
  </w:style>
  <w:style w:type="paragraph" w:customStyle="1" w:styleId="WideTable">
    <w:name w:val="Wide Table"/>
    <w:basedOn w:val="Normal"/>
    <w:rsid w:val="007A3FEC"/>
    <w:pPr>
      <w:ind w:left="-1418"/>
    </w:pPr>
    <w:rPr>
      <w:sz w:val="2"/>
      <w:szCs w:val="2"/>
    </w:rPr>
  </w:style>
  <w:style w:type="character" w:styleId="PageNumber">
    <w:name w:val="page number"/>
    <w:basedOn w:val="DefaultParagraphFont"/>
    <w:rsid w:val="007A3FEC"/>
  </w:style>
  <w:style w:type="paragraph" w:styleId="Quote">
    <w:name w:val="Quote"/>
    <w:basedOn w:val="Heading1"/>
    <w:link w:val="QuoteChar"/>
    <w:qFormat/>
    <w:rsid w:val="007A3FEC"/>
    <w:rPr>
      <w:b w:val="0"/>
      <w:sz w:val="72"/>
      <w:szCs w:val="72"/>
      <w:lang w:val="en-NZ"/>
    </w:rPr>
  </w:style>
  <w:style w:type="character" w:customStyle="1" w:styleId="QuoteChar">
    <w:name w:val="Quote Char"/>
    <w:basedOn w:val="DefaultParagraphFont"/>
    <w:link w:val="Quote"/>
    <w:rsid w:val="007A3F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FEC"/>
    <w:pPr>
      <w:pageBreakBefore/>
    </w:pPr>
  </w:style>
  <w:style w:type="paragraph" w:customStyle="1" w:styleId="Border">
    <w:name w:val="Border"/>
    <w:basedOn w:val="Normal"/>
    <w:qFormat/>
    <w:rsid w:val="007A3F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FEC"/>
    <w:rPr>
      <w:b/>
      <w:bCs/>
      <w:i/>
      <w:iCs/>
      <w:color w:val="auto"/>
    </w:rPr>
  </w:style>
  <w:style w:type="paragraph" w:styleId="IntenseQuote">
    <w:name w:val="Intense Quote"/>
    <w:basedOn w:val="Normal"/>
    <w:next w:val="Normal"/>
    <w:link w:val="IntenseQuoteChar"/>
    <w:uiPriority w:val="30"/>
    <w:qFormat/>
    <w:rsid w:val="007A3F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F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3FEC"/>
    <w:rPr>
      <w:smallCaps/>
      <w:color w:val="auto"/>
      <w:u w:val="single"/>
    </w:rPr>
  </w:style>
  <w:style w:type="character" w:styleId="IntenseReference">
    <w:name w:val="Intense Reference"/>
    <w:basedOn w:val="DefaultParagraphFont"/>
    <w:uiPriority w:val="32"/>
    <w:qFormat/>
    <w:rsid w:val="007A3FEC"/>
    <w:rPr>
      <w:b/>
      <w:bCs/>
      <w:smallCaps/>
      <w:color w:val="auto"/>
      <w:spacing w:val="5"/>
      <w:u w:val="single"/>
    </w:rPr>
  </w:style>
  <w:style w:type="paragraph" w:customStyle="1" w:styleId="2ColumnHeading">
    <w:name w:val="2Column Heading"/>
    <w:basedOn w:val="BodyText"/>
    <w:qFormat/>
    <w:rsid w:val="007A3FEC"/>
    <w:pPr>
      <w:spacing w:after="60"/>
      <w:ind w:left="-2268"/>
    </w:pPr>
    <w:rPr>
      <w:b/>
    </w:rPr>
  </w:style>
  <w:style w:type="paragraph" w:customStyle="1" w:styleId="Heading1TOC">
    <w:name w:val="Heading1 TOC"/>
    <w:basedOn w:val="Normal"/>
    <w:qFormat/>
    <w:rsid w:val="007A3FEC"/>
    <w:pPr>
      <w:spacing w:before="240" w:after="120"/>
    </w:pPr>
    <w:rPr>
      <w:rFonts w:ascii="Times New Roman" w:hAnsi="Times New Roman"/>
      <w:b/>
      <w:sz w:val="32"/>
    </w:rPr>
  </w:style>
  <w:style w:type="paragraph" w:customStyle="1" w:styleId="Heading2TOC">
    <w:name w:val="Heading2 TOC"/>
    <w:basedOn w:val="Normal"/>
    <w:qFormat/>
    <w:rsid w:val="007A3FEC"/>
    <w:pPr>
      <w:spacing w:before="240" w:after="60"/>
    </w:pPr>
    <w:rPr>
      <w:rFonts w:ascii="Times New Roman" w:hAnsi="Times New Roman"/>
      <w:b/>
      <w:sz w:val="28"/>
    </w:rPr>
  </w:style>
  <w:style w:type="character" w:customStyle="1" w:styleId="Underline">
    <w:name w:val="Underline"/>
    <w:basedOn w:val="DefaultParagraphFont"/>
    <w:qFormat/>
    <w:rsid w:val="007A3FEC"/>
    <w:rPr>
      <w:u w:val="single"/>
    </w:rPr>
  </w:style>
  <w:style w:type="paragraph" w:styleId="BalloonText">
    <w:name w:val="Balloon Text"/>
    <w:basedOn w:val="Normal"/>
    <w:link w:val="BalloonTextChar"/>
    <w:rsid w:val="007A3FEC"/>
    <w:rPr>
      <w:rFonts w:ascii="Tahoma" w:hAnsi="Tahoma" w:cs="Tahoma"/>
      <w:sz w:val="16"/>
      <w:szCs w:val="16"/>
    </w:rPr>
  </w:style>
  <w:style w:type="character" w:customStyle="1" w:styleId="BalloonTextChar">
    <w:name w:val="Balloon Text Char"/>
    <w:basedOn w:val="DefaultParagraphFont"/>
    <w:link w:val="BalloonText"/>
    <w:rsid w:val="007A3F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3F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3F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1543</Words>
  <Characters>9810</Characters>
  <Application>Microsoft Office Word</Application>
  <DocSecurity>0</DocSecurity>
  <Lines>344</Lines>
  <Paragraphs>182</Paragraphs>
  <ScaleCrop>false</ScaleCrop>
  <Company>Author-it Software Corporation Ltd.</Company>
  <LinksUpToDate>false</LinksUpToDate>
  <CharactersWithSpaces>11278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LMFSL2001B Assemble leadlight and stained glass components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2012-05-26T17:46:00Z</dcterms:created>
  <dcterms:modified xsi:type="dcterms:W3CDTF">2012-05-26T17:46:00Z</dcterms:modified>
</cp:coreProperties>
</file>