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323A" w:rsidP="0042323A">
      <w:pPr>
        <w:pStyle w:val="Title"/>
      </w:pPr>
      <w:r>
        <w:fldChar w:fldCharType="begin"/>
      </w:r>
      <w:r>
        <w:instrText xml:space="preserve"> TITLE   \* MERGEFORMAT </w:instrText>
      </w:r>
      <w:r>
        <w:fldChar w:fldCharType="separate"/>
      </w:r>
      <w:r>
        <w:t>LMFID5003A Evaluate site for interior design brief</w:t>
      </w:r>
      <w:r>
        <w:fldChar w:fldCharType="end"/>
      </w:r>
    </w:p>
    <w:p w:rsidR="0042323A" w:rsidP="0042323A">
      <w:pPr>
        <w:pStyle w:val="Version"/>
        <w:sectPr w:rsidSect="00C00D1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00D12" w:rsidP="00C00D12">
      <w:pPr>
        <w:pStyle w:val="SuperHeading"/>
      </w:pPr>
      <w:r w:rsidRPr="00C00D12">
        <w:t>LMFID5003A Evaluate site for interior design brief</w:t>
      </w:r>
    </w:p>
    <w:p w:rsidR="00000000" w:rsidRPr="00C00D12" w:rsidP="00C00D12">
      <w:pPr>
        <w:pStyle w:val="SuperHeading"/>
      </w:pPr>
    </w:p>
    <w:p w:rsidR="00000000" w:rsidRPr="00C00D12" w:rsidP="00C00D12">
      <w:pPr>
        <w:pStyle w:val="Heading1"/>
      </w:pPr>
      <w:bookmarkStart w:id="1" w:name="O_90519"/>
      <w:bookmarkEnd w:id="1"/>
      <w:r w:rsidRPr="00C00D12">
        <w:t>Modification History</w:t>
      </w:r>
    </w:p>
    <w:p w:rsidR="00000000" w:rsidRPr="00C00D12" w:rsidP="00C00D12">
      <w:pPr>
        <w:pStyle w:val="BodyText"/>
      </w:pPr>
      <w:r w:rsidRPr="00C00D12">
        <w:t>Not applicable.</w:t>
      </w:r>
    </w:p>
    <w:p w:rsidR="00000000" w:rsidRPr="00C00D12" w:rsidP="00C00D12">
      <w:pPr>
        <w:pStyle w:val="AllowPageBreak"/>
      </w:pPr>
    </w:p>
    <w:p w:rsidR="00000000" w:rsidRPr="00C00D12" w:rsidP="00C00D12">
      <w:pPr>
        <w:pStyle w:val="Heading1"/>
      </w:pPr>
      <w:bookmarkStart w:id="2" w:name="O_90520"/>
      <w:bookmarkEnd w:id="2"/>
      <w:r w:rsidRPr="00C00D12">
        <w:t>Unit Descriptor</w:t>
      </w:r>
    </w:p>
    <w:tbl>
      <w:tblPr>
        <w:tblW w:w="0" w:type="auto"/>
        <w:tblLayout w:type="fixed"/>
        <w:tblCellMar>
          <w:left w:w="62" w:type="dxa"/>
          <w:right w:w="62" w:type="dxa"/>
        </w:tblCellMar>
        <w:tblLook w:val="0000"/>
      </w:tblPr>
      <w:tblGrid>
        <w:gridCol w:w="2671"/>
        <w:gridCol w:w="5851"/>
      </w:tblGrid>
      <w:tr w:rsidTr="0042323A">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D12">
            <w:pPr>
              <w:pStyle w:val="BodyText"/>
              <w:rPr>
                <w:lang w:val="en-NZ"/>
              </w:rPr>
            </w:pPr>
            <w:r w:rsidRPr="00C00D12">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0D12" w:rsidP="00C00D12">
            <w:pPr>
              <w:pStyle w:val="BodyText"/>
            </w:pPr>
            <w:r w:rsidRPr="00C00D12">
              <w:t>This unit specifies the skills and knowledge required to evaluate materials and construction methods u</w:t>
            </w:r>
            <w:r w:rsidRPr="00C00D12">
              <w:t>sed on a site in order to determine their impact on the interior design brief.</w:t>
            </w:r>
          </w:p>
        </w:tc>
      </w:tr>
    </w:tbl>
    <w:p w:rsidR="00000000" w:rsidRPr="00C00D12" w:rsidP="00C00D12">
      <w:pPr>
        <w:pStyle w:val="BodyText"/>
      </w:pPr>
    </w:p>
    <w:p w:rsidR="00000000" w:rsidRPr="00C00D12" w:rsidP="00C00D12">
      <w:pPr>
        <w:pStyle w:val="AllowPageBreak"/>
      </w:pPr>
    </w:p>
    <w:p w:rsidR="00000000" w:rsidRPr="00C00D12" w:rsidP="00C00D12">
      <w:pPr>
        <w:pStyle w:val="Heading1"/>
      </w:pPr>
      <w:bookmarkStart w:id="3" w:name="O_90521"/>
      <w:bookmarkEnd w:id="3"/>
      <w:r w:rsidRPr="00C00D12">
        <w:t>Application of the Unit</w:t>
      </w:r>
    </w:p>
    <w:tbl>
      <w:tblPr>
        <w:tblW w:w="0" w:type="auto"/>
        <w:tblLayout w:type="fixed"/>
        <w:tblCellMar>
          <w:left w:w="62" w:type="dxa"/>
          <w:right w:w="62" w:type="dxa"/>
        </w:tblCellMar>
        <w:tblLook w:val="0000"/>
      </w:tblPr>
      <w:tblGrid>
        <w:gridCol w:w="2749"/>
        <w:gridCol w:w="5773"/>
      </w:tblGrid>
      <w:tr w:rsidTr="0042323A">
        <w:tblPrEx>
          <w:tblW w:w="0" w:type="auto"/>
          <w:tblLayout w:type="fixed"/>
          <w:tblCellMar>
            <w:left w:w="62" w:type="dxa"/>
            <w:right w:w="62" w:type="dxa"/>
          </w:tblCellMar>
          <w:tblLook w:val="0000"/>
        </w:tblPrEx>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D12">
            <w:pPr>
              <w:pStyle w:val="BodyText"/>
              <w:rPr>
                <w:lang w:val="en-NZ"/>
              </w:rPr>
            </w:pPr>
            <w:r w:rsidRPr="00C00D12">
              <w:rPr>
                <w:rStyle w:val="SpecialBold"/>
              </w:rPr>
              <w:t>Application of the unit</w:t>
            </w:r>
          </w:p>
        </w:tc>
        <w:tc>
          <w:tcPr>
            <w:tcW w:w="5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0D12" w:rsidP="00C00D12">
            <w:pPr>
              <w:pStyle w:val="BodyText"/>
            </w:pPr>
            <w:r w:rsidRPr="00C00D12">
              <w:t>This unit supports the attainment of skills and knowledge required to identify the features and implications associated with common structural techniques used for walls, ceilings and floors and the materials used. It also covers a simple assessment of main</w:t>
            </w:r>
            <w:r w:rsidRPr="00C00D12">
              <w:t xml:space="preserve"> services to determine suitability for design requirements.</w:t>
            </w:r>
          </w:p>
          <w:p w:rsidR="00000000" w:rsidRPr="00C00D12" w:rsidP="00C00D12">
            <w:pPr>
              <w:pStyle w:val="BodyText"/>
            </w:pPr>
            <w:r w:rsidRPr="00C00D12">
              <w:t xml:space="preserve">This unit requires employability skills in initiative and enterprise, planning and organising and problem solving in order to evaluate a site systematically and determine implications for design. </w:t>
            </w:r>
            <w:r w:rsidRPr="00C00D12">
              <w:t>Communication skills are used to access and interpret information. Self management and learning skills are applied to gain additional information to support evaluation findings.</w:t>
            </w:r>
          </w:p>
        </w:tc>
      </w:tr>
    </w:tbl>
    <w:p w:rsidR="00000000" w:rsidRPr="00C00D12" w:rsidP="00C00D12">
      <w:pPr>
        <w:pStyle w:val="BodyText"/>
      </w:pPr>
    </w:p>
    <w:p w:rsidR="00000000" w:rsidRPr="00C00D12" w:rsidP="00C00D12">
      <w:pPr>
        <w:pStyle w:val="AllowPageBreak"/>
      </w:pPr>
    </w:p>
    <w:p w:rsidR="00000000" w:rsidRPr="00C00D12" w:rsidP="00C00D12">
      <w:pPr>
        <w:pStyle w:val="Heading1"/>
      </w:pPr>
      <w:bookmarkStart w:id="4" w:name="O_90522"/>
      <w:bookmarkEnd w:id="4"/>
      <w:r w:rsidRPr="00C00D12">
        <w:t>Licensing/Regulatory Information</w:t>
      </w:r>
    </w:p>
    <w:p w:rsidR="00000000" w:rsidRPr="00C00D12" w:rsidP="00C00D12">
      <w:pPr>
        <w:pStyle w:val="BodyText"/>
      </w:pPr>
      <w:r w:rsidRPr="00C00D12">
        <w:t>Not applicable.</w:t>
      </w:r>
    </w:p>
    <w:p w:rsidR="00000000" w:rsidRPr="00C00D12" w:rsidP="00C00D12">
      <w:pPr>
        <w:pStyle w:val="AllowPageBreak"/>
      </w:pPr>
    </w:p>
    <w:p w:rsidR="00000000" w:rsidRPr="00C00D12" w:rsidP="00C00D12">
      <w:pPr>
        <w:pStyle w:val="Heading1"/>
      </w:pPr>
      <w:bookmarkStart w:id="5" w:name="O_90524"/>
      <w:bookmarkEnd w:id="5"/>
      <w:r w:rsidRPr="00C00D12">
        <w:t>Pre-Requisites</w:t>
      </w:r>
    </w:p>
    <w:tbl>
      <w:tblPr>
        <w:tblW w:w="0" w:type="auto"/>
        <w:tblLayout w:type="fixed"/>
        <w:tblCellMar>
          <w:left w:w="62" w:type="dxa"/>
          <w:right w:w="62" w:type="dxa"/>
        </w:tblCellMar>
        <w:tblLook w:val="0000"/>
      </w:tblPr>
      <w:tblGrid>
        <w:gridCol w:w="2775"/>
        <w:gridCol w:w="1295"/>
        <w:gridCol w:w="4452"/>
      </w:tblGrid>
      <w:tr w:rsidTr="0042323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D12">
            <w:pPr>
              <w:pStyle w:val="BodyText"/>
              <w:rPr>
                <w:lang w:val="en-NZ"/>
              </w:rPr>
            </w:pPr>
            <w:r w:rsidRPr="00C00D1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D12">
            <w:pPr>
              <w:pStyle w:val="BodyText"/>
              <w:rPr>
                <w:lang w:val="en-NZ"/>
              </w:rPr>
            </w:pPr>
          </w:p>
        </w:tc>
      </w:tr>
      <w:tr w:rsidTr="0042323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D12">
            <w:pPr>
              <w:pStyle w:val="BodyText"/>
              <w:rPr>
                <w:lang w:val="en-NZ"/>
              </w:rPr>
            </w:pPr>
          </w:p>
        </w:tc>
      </w:tr>
      <w:tr w:rsidTr="0042323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0D12" w:rsidP="00C00D12">
            <w:pPr>
              <w:pStyle w:val="BodyText"/>
            </w:pPr>
          </w:p>
        </w:tc>
      </w:tr>
    </w:tbl>
    <w:p w:rsidR="00000000" w:rsidRPr="00C00D12" w:rsidP="00C00D12">
      <w:pPr>
        <w:pStyle w:val="BodyText"/>
      </w:pPr>
    </w:p>
    <w:p w:rsidR="00000000" w:rsidRPr="00C00D12" w:rsidP="00C00D12">
      <w:pPr>
        <w:pStyle w:val="AllowPageBreak"/>
      </w:pPr>
    </w:p>
    <w:p w:rsidR="00000000" w:rsidRPr="00C00D12" w:rsidP="00C00D12">
      <w:pPr>
        <w:pStyle w:val="Heading1"/>
      </w:pPr>
      <w:bookmarkStart w:id="6" w:name="O_90523"/>
      <w:bookmarkEnd w:id="6"/>
      <w:r w:rsidRPr="00C00D12">
        <w:t>Employability Skills Information</w:t>
      </w:r>
    </w:p>
    <w:tbl>
      <w:tblPr>
        <w:tblW w:w="0" w:type="auto"/>
        <w:tblLayout w:type="fixed"/>
        <w:tblCellMar>
          <w:left w:w="62" w:type="dxa"/>
          <w:right w:w="62" w:type="dxa"/>
        </w:tblCellMar>
        <w:tblLook w:val="0000"/>
      </w:tblPr>
      <w:tblGrid>
        <w:gridCol w:w="2802"/>
        <w:gridCol w:w="5720"/>
      </w:tblGrid>
      <w:tr w:rsidTr="0042323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D12">
            <w:pPr>
              <w:pStyle w:val="BodyText"/>
              <w:rPr>
                <w:lang w:val="en-NZ"/>
              </w:rPr>
            </w:pPr>
            <w:r w:rsidRPr="00C00D1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0D12" w:rsidP="00C00D12">
            <w:pPr>
              <w:pStyle w:val="BodyText"/>
            </w:pPr>
            <w:r w:rsidRPr="00C00D12">
              <w:t>This unit contains employability skills.</w:t>
            </w:r>
          </w:p>
        </w:tc>
      </w:tr>
    </w:tbl>
    <w:p w:rsidR="00000000" w:rsidRPr="00C00D12" w:rsidP="00C00D12">
      <w:pPr>
        <w:pStyle w:val="BodyText"/>
      </w:pPr>
    </w:p>
    <w:p w:rsidR="00000000" w:rsidRPr="00C00D12" w:rsidP="00C00D12">
      <w:pPr>
        <w:pStyle w:val="AllowPageBreak"/>
      </w:pPr>
    </w:p>
    <w:p w:rsidR="00000000" w:rsidRPr="00C00D12" w:rsidP="00C00D12">
      <w:pPr>
        <w:pStyle w:val="Heading1"/>
      </w:pPr>
      <w:bookmarkStart w:id="7" w:name="O_90525"/>
      <w:bookmarkEnd w:id="7"/>
      <w:r w:rsidRPr="00C00D12">
        <w:t>Elements and Performance Criteria Pre-Content</w:t>
      </w:r>
    </w:p>
    <w:tbl>
      <w:tblPr>
        <w:tblW w:w="0" w:type="auto"/>
        <w:tblLayout w:type="fixed"/>
        <w:tblCellMar>
          <w:left w:w="62" w:type="dxa"/>
          <w:right w:w="62" w:type="dxa"/>
        </w:tblCellMar>
        <w:tblLook w:val="0000"/>
      </w:tblPr>
      <w:tblGrid>
        <w:gridCol w:w="2527"/>
        <w:gridCol w:w="5995"/>
      </w:tblGrid>
      <w:tr w:rsidTr="0042323A">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D12">
            <w:pPr>
              <w:pStyle w:val="BodyText"/>
              <w:rPr>
                <w:lang w:val="en-NZ"/>
              </w:rPr>
            </w:pPr>
            <w:r w:rsidRPr="00C00D12">
              <w:t>Elements describe the essential outcomes of a unit of competency.</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0D12" w:rsidP="00C00D12">
            <w:pPr>
              <w:pStyle w:val="BodyText"/>
            </w:pPr>
            <w:r w:rsidRPr="00C00D12">
              <w:t>Performance criteria describe the performance needed to demonstrate achievement of the element. Where bold italicised text is used, further information is detailed in the required skills and</w:t>
            </w:r>
            <w:r w:rsidRPr="00C00D12">
              <w:t xml:space="preserve"> knowledge section and the range statement. Assessment of performance is to be consistent with the evidence guide.</w:t>
            </w:r>
          </w:p>
        </w:tc>
      </w:tr>
    </w:tbl>
    <w:p w:rsidR="00000000" w:rsidRPr="00C00D12" w:rsidP="00C00D12">
      <w:pPr>
        <w:pStyle w:val="BodyText"/>
      </w:pPr>
    </w:p>
    <w:p w:rsidR="00000000" w:rsidRPr="00C00D12" w:rsidP="00C00D12">
      <w:pPr>
        <w:pStyle w:val="AllowPageBreak"/>
      </w:pPr>
    </w:p>
    <w:p w:rsidR="00000000" w:rsidRPr="00C00D12" w:rsidP="00C00D12">
      <w:pPr>
        <w:pStyle w:val="Heading1"/>
      </w:pPr>
      <w:bookmarkStart w:id="8" w:name="O_90526"/>
      <w:bookmarkEnd w:id="8"/>
      <w:r w:rsidRPr="00C00D12">
        <w:t>Elements and Performance Criteria</w:t>
      </w:r>
    </w:p>
    <w:tbl>
      <w:tblPr>
        <w:tblW w:w="0" w:type="auto"/>
        <w:tblLayout w:type="fixed"/>
        <w:tblCellMar>
          <w:left w:w="62" w:type="dxa"/>
          <w:right w:w="62" w:type="dxa"/>
        </w:tblCellMar>
        <w:tblLook w:val="0000"/>
      </w:tblPr>
      <w:tblGrid>
        <w:gridCol w:w="2527"/>
        <w:gridCol w:w="5995"/>
      </w:tblGrid>
      <w:tr w:rsidTr="0042323A">
        <w:tblPrEx>
          <w:tblW w:w="0" w:type="auto"/>
          <w:tblLayout w:type="fixed"/>
          <w:tblCellMar>
            <w:left w:w="62" w:type="dxa"/>
            <w:right w:w="62" w:type="dxa"/>
          </w:tblCellMar>
          <w:tblLook w:val="0000"/>
        </w:tblPrEx>
        <w:trPr>
          <w:tblHeader/>
        </w:trPr>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0D12" w:rsidP="00C00D12">
            <w:pPr>
              <w:pStyle w:val="BodyText"/>
            </w:pPr>
            <w:r w:rsidRPr="00C00D12">
              <w:rPr>
                <w:rStyle w:val="SpecialBold"/>
              </w:rPr>
              <w:t>ELEMENT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D12">
            <w:pPr>
              <w:pStyle w:val="BodyText"/>
              <w:rPr>
                <w:lang w:val="en-NZ"/>
              </w:rPr>
            </w:pPr>
            <w:r w:rsidRPr="00C00D12">
              <w:rPr>
                <w:rStyle w:val="SpecialBold"/>
              </w:rPr>
              <w:t>PERFORMANCE CRITERIA</w:t>
            </w:r>
          </w:p>
        </w:tc>
      </w:tr>
      <w:tr w:rsidTr="0042323A">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D12">
            <w:pPr>
              <w:pStyle w:val="List"/>
              <w:rPr>
                <w:lang w:val="en-NZ"/>
              </w:rPr>
            </w:pPr>
            <w:r w:rsidRPr="00C00D12">
              <w:t>1.</w:t>
            </w:r>
            <w:r w:rsidRPr="00C00D12">
              <w:tab/>
              <w:t>Prepare for site evaluation</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0D12" w:rsidP="00C00D12">
            <w:pPr>
              <w:pStyle w:val="List2"/>
            </w:pPr>
            <w:r w:rsidRPr="00C00D12">
              <w:t>1.1.</w:t>
            </w:r>
            <w:r w:rsidRPr="00C00D12">
              <w:tab/>
              <w:t xml:space="preserve">Applicable </w:t>
            </w:r>
            <w:r w:rsidRPr="00C00D12">
              <w:rPr>
                <w:rStyle w:val="BoldandItalics"/>
              </w:rPr>
              <w:t>OHS</w:t>
            </w:r>
            <w:r w:rsidRPr="00C00D12">
              <w:t xml:space="preserve">, </w:t>
            </w:r>
            <w:r w:rsidRPr="00C00D12">
              <w:rPr>
                <w:rStyle w:val="BoldandItalics"/>
              </w:rPr>
              <w:t>legislative</w:t>
            </w:r>
            <w:r w:rsidRPr="00C00D12">
              <w:t xml:space="preserve"> and </w:t>
            </w:r>
            <w:r w:rsidRPr="00C00D12">
              <w:rPr>
                <w:rStyle w:val="BoldandItalics"/>
              </w:rPr>
              <w:t>organisational</w:t>
            </w:r>
            <w:r w:rsidRPr="00C00D12">
              <w:t xml:space="preserve"> </w:t>
            </w:r>
            <w:r w:rsidRPr="00C00D12">
              <w:rPr>
                <w:rStyle w:val="BoldandItalics"/>
              </w:rPr>
              <w:t>requirements</w:t>
            </w:r>
            <w:r w:rsidRPr="00C00D12">
              <w:t xml:space="preserve"> relevant to conducting site visits are verified and complied with</w:t>
            </w:r>
          </w:p>
          <w:p w:rsidR="00000000" w:rsidRPr="00C00D12" w:rsidP="00C00D12">
            <w:pPr>
              <w:pStyle w:val="List2"/>
            </w:pPr>
            <w:r w:rsidRPr="00C00D12">
              <w:t>1.2.</w:t>
            </w:r>
            <w:r w:rsidRPr="00C00D12">
              <w:tab/>
            </w:r>
            <w:r w:rsidRPr="00C00D12">
              <w:rPr>
                <w:rStyle w:val="BoldandItalics"/>
              </w:rPr>
              <w:t>Scope of brief</w:t>
            </w:r>
            <w:r w:rsidRPr="00C00D12">
              <w:t xml:space="preserve"> is reviewed and any available drawings accessed</w:t>
            </w:r>
          </w:p>
          <w:p w:rsidR="00000000" w:rsidRPr="00C00D12" w:rsidP="00C00D12">
            <w:pPr>
              <w:pStyle w:val="List2"/>
            </w:pPr>
            <w:r w:rsidRPr="00C00D12">
              <w:t>1.3.</w:t>
            </w:r>
            <w:r w:rsidRPr="00C00D12">
              <w:tab/>
            </w:r>
            <w:r w:rsidRPr="00C00D12">
              <w:rPr>
                <w:rStyle w:val="BoldandItalics"/>
              </w:rPr>
              <w:t>Parameters</w:t>
            </w:r>
            <w:r w:rsidRPr="00C00D12">
              <w:t xml:space="preserve"> for the project are assessed and confirmed</w:t>
            </w:r>
          </w:p>
          <w:p w:rsidR="00000000" w:rsidRPr="00C00D12" w:rsidP="00C00D12">
            <w:pPr>
              <w:pStyle w:val="List2"/>
            </w:pPr>
            <w:r w:rsidRPr="00C00D12">
              <w:t>1.4.</w:t>
            </w:r>
            <w:r w:rsidRPr="00C00D12">
              <w:tab/>
              <w:t xml:space="preserve">Site visit is </w:t>
            </w:r>
            <w:r w:rsidRPr="00C00D12">
              <w:t xml:space="preserve">arranged with </w:t>
            </w:r>
            <w:r w:rsidRPr="00C00D12">
              <w:rPr>
                <w:rStyle w:val="BoldandItalics"/>
              </w:rPr>
              <w:t>client</w:t>
            </w:r>
          </w:p>
          <w:p w:rsidR="00000000" w:rsidP="00C00D12">
            <w:pPr>
              <w:pStyle w:val="List2"/>
              <w:rPr>
                <w:lang w:val="en-NZ"/>
              </w:rPr>
            </w:pPr>
            <w:r w:rsidRPr="00C00D12">
              <w:t>1.5.</w:t>
            </w:r>
            <w:r w:rsidRPr="00C00D12">
              <w:tab/>
            </w:r>
            <w:r w:rsidRPr="00C00D12">
              <w:rPr>
                <w:rStyle w:val="BoldandItalics"/>
              </w:rPr>
              <w:t>Tools</w:t>
            </w:r>
            <w:r w:rsidRPr="00C00D12">
              <w:t xml:space="preserve"> used to assist in site evaluation are prepared</w:t>
            </w:r>
          </w:p>
        </w:tc>
      </w:tr>
      <w:tr w:rsidTr="0042323A">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D12">
            <w:pPr>
              <w:pStyle w:val="List"/>
              <w:rPr>
                <w:lang w:val="en-NZ"/>
              </w:rPr>
            </w:pPr>
            <w:r w:rsidRPr="00C00D12">
              <w:t>2.</w:t>
            </w:r>
            <w:r w:rsidRPr="00C00D12">
              <w:tab/>
              <w:t xml:space="preserve">Assess structural aspects of interior space </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0D12" w:rsidP="00C00D12">
            <w:pPr>
              <w:pStyle w:val="List2"/>
            </w:pPr>
            <w:r w:rsidRPr="00C00D12">
              <w:t>2.1.</w:t>
            </w:r>
            <w:r w:rsidRPr="00C00D12">
              <w:tab/>
            </w:r>
            <w:r w:rsidRPr="00C00D12">
              <w:rPr>
                <w:rStyle w:val="BoldandItalics"/>
              </w:rPr>
              <w:t>Wall construction</w:t>
            </w:r>
            <w:r w:rsidRPr="00C00D12">
              <w:t xml:space="preserve"> and features are identified and suitability to design requirements are determined</w:t>
            </w:r>
          </w:p>
          <w:p w:rsidR="00000000" w:rsidRPr="00C00D12" w:rsidP="00C00D12">
            <w:pPr>
              <w:pStyle w:val="List2"/>
            </w:pPr>
            <w:r w:rsidRPr="00C00D12">
              <w:t>2.2.</w:t>
            </w:r>
            <w:r w:rsidRPr="00C00D12">
              <w:tab/>
            </w:r>
            <w:r w:rsidRPr="00C00D12">
              <w:rPr>
                <w:rStyle w:val="BoldandItalics"/>
              </w:rPr>
              <w:t>Flooring construct</w:t>
            </w:r>
            <w:r w:rsidRPr="00C00D12">
              <w:rPr>
                <w:rStyle w:val="BoldandItalics"/>
              </w:rPr>
              <w:t>ion</w:t>
            </w:r>
            <w:r w:rsidRPr="00C00D12">
              <w:t xml:space="preserve"> and features are identified and suitability to design requirements are determined</w:t>
            </w:r>
          </w:p>
          <w:p w:rsidR="00000000" w:rsidRPr="00C00D12" w:rsidP="00C00D12">
            <w:pPr>
              <w:pStyle w:val="List2"/>
            </w:pPr>
            <w:r w:rsidRPr="00C00D12">
              <w:t>2.3.</w:t>
            </w:r>
            <w:r w:rsidRPr="00C00D12">
              <w:tab/>
            </w:r>
            <w:r w:rsidRPr="00C00D12">
              <w:rPr>
                <w:rStyle w:val="BoldandItalics"/>
              </w:rPr>
              <w:t>Roof construction</w:t>
            </w:r>
            <w:r w:rsidRPr="00C00D12">
              <w:t xml:space="preserve"> and features are identified and suitability to design requirements are determined</w:t>
            </w:r>
          </w:p>
          <w:p w:rsidR="00000000" w:rsidRPr="00C00D12" w:rsidP="00C00D12">
            <w:pPr>
              <w:pStyle w:val="List2"/>
            </w:pPr>
            <w:r w:rsidRPr="00C00D12">
              <w:t>2.4.</w:t>
            </w:r>
            <w:r w:rsidRPr="00C00D12">
              <w:tab/>
            </w:r>
            <w:r w:rsidRPr="00C00D12">
              <w:rPr>
                <w:rStyle w:val="BoldandItalics"/>
              </w:rPr>
              <w:t>Other structures</w:t>
            </w:r>
            <w:r w:rsidRPr="00C00D12">
              <w:t xml:space="preserve"> and their features are analysed to determin</w:t>
            </w:r>
            <w:r w:rsidRPr="00C00D12">
              <w:t>e requirements to meet design brief</w:t>
            </w:r>
          </w:p>
          <w:p w:rsidR="00000000" w:rsidRPr="00C00D12" w:rsidP="00C00D12">
            <w:pPr>
              <w:pStyle w:val="List2"/>
            </w:pPr>
            <w:r w:rsidRPr="00C00D12">
              <w:t>2.5.</w:t>
            </w:r>
            <w:r w:rsidRPr="00C00D12">
              <w:tab/>
              <w:t>Changes required for structural aspects to meet design brief are identified and implications examined</w:t>
            </w:r>
          </w:p>
          <w:p w:rsidR="00000000" w:rsidRPr="00C00D12" w:rsidP="00C00D12">
            <w:pPr>
              <w:pStyle w:val="List2"/>
            </w:pPr>
            <w:r w:rsidRPr="00C00D12">
              <w:t>2.6.</w:t>
            </w:r>
            <w:r w:rsidRPr="00C00D12">
              <w:tab/>
              <w:t>Measurements are undertaken and recorded to inform budget calculations and design documentation</w:t>
            </w:r>
          </w:p>
          <w:p w:rsidR="00000000" w:rsidP="00C00D12">
            <w:pPr>
              <w:pStyle w:val="List2"/>
              <w:rPr>
                <w:lang w:val="en-NZ"/>
              </w:rPr>
            </w:pPr>
            <w:r w:rsidRPr="00C00D12">
              <w:t>2.7.</w:t>
            </w:r>
            <w:r w:rsidRPr="00C00D12">
              <w:tab/>
            </w:r>
            <w:r w:rsidRPr="00C00D12">
              <w:t>Costs associated with making structural changes are estimated</w:t>
            </w:r>
          </w:p>
        </w:tc>
      </w:tr>
      <w:tr w:rsidTr="0042323A">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D12">
            <w:pPr>
              <w:pStyle w:val="List"/>
              <w:rPr>
                <w:lang w:val="en-NZ"/>
              </w:rPr>
            </w:pPr>
            <w:r w:rsidRPr="00C00D12">
              <w:t>3.</w:t>
            </w:r>
            <w:r w:rsidRPr="00C00D12">
              <w:tab/>
              <w:t>Assess materials used in interior space</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0D12" w:rsidP="00C00D12">
            <w:pPr>
              <w:pStyle w:val="List2"/>
            </w:pPr>
            <w:r w:rsidRPr="00C00D12">
              <w:t>3.1.</w:t>
            </w:r>
            <w:r w:rsidRPr="00C00D12">
              <w:tab/>
            </w:r>
            <w:r w:rsidRPr="00C00D12">
              <w:rPr>
                <w:rStyle w:val="BoldandItalics"/>
              </w:rPr>
              <w:t>Materials used in interior walls</w:t>
            </w:r>
            <w:r w:rsidRPr="00C00D12">
              <w:t xml:space="preserve"> are identified and their features, applications and limitations assessed</w:t>
            </w:r>
          </w:p>
          <w:p w:rsidR="00000000" w:rsidRPr="00C00D12" w:rsidP="00C00D12">
            <w:pPr>
              <w:pStyle w:val="List2"/>
            </w:pPr>
            <w:r w:rsidRPr="00C00D12">
              <w:t>3.2.</w:t>
            </w:r>
            <w:r w:rsidRPr="00C00D12">
              <w:tab/>
            </w:r>
            <w:r w:rsidRPr="00C00D12">
              <w:rPr>
                <w:rStyle w:val="BoldandItalics"/>
              </w:rPr>
              <w:t>Materials used in flooring</w:t>
            </w:r>
            <w:r w:rsidRPr="00C00D12">
              <w:t xml:space="preserve"> are ide</w:t>
            </w:r>
            <w:r w:rsidRPr="00C00D12">
              <w:t>ntified and their features, applications and limitations assessed</w:t>
            </w:r>
          </w:p>
          <w:p w:rsidR="00000000" w:rsidRPr="00C00D12" w:rsidP="00C00D12">
            <w:pPr>
              <w:pStyle w:val="List2"/>
            </w:pPr>
            <w:r w:rsidRPr="00C00D12">
              <w:t>3.3.</w:t>
            </w:r>
            <w:r w:rsidRPr="00C00D12">
              <w:tab/>
              <w:t xml:space="preserve">Finishes and </w:t>
            </w:r>
            <w:r w:rsidRPr="00C00D12">
              <w:rPr>
                <w:rStyle w:val="BoldandItalics"/>
              </w:rPr>
              <w:t>other materials</w:t>
            </w:r>
            <w:r w:rsidRPr="00C00D12">
              <w:t xml:space="preserve"> used are assessed and implications for design brief are identified</w:t>
            </w:r>
          </w:p>
          <w:p w:rsidR="00000000" w:rsidP="00C00D12">
            <w:pPr>
              <w:pStyle w:val="List2"/>
              <w:rPr>
                <w:lang w:val="en-NZ"/>
              </w:rPr>
            </w:pPr>
            <w:r w:rsidRPr="00C00D12">
              <w:t>3.4.</w:t>
            </w:r>
            <w:r w:rsidRPr="00C00D12">
              <w:tab/>
            </w:r>
            <w:r w:rsidRPr="00C00D12">
              <w:rPr>
                <w:rStyle w:val="BoldandItalics"/>
              </w:rPr>
              <w:t>Properties</w:t>
            </w:r>
            <w:r w:rsidRPr="00C00D12">
              <w:t xml:space="preserve"> of the materials used in structures are analysed and evaluated</w:t>
            </w:r>
          </w:p>
        </w:tc>
      </w:tr>
      <w:tr w:rsidTr="0042323A">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D12">
            <w:pPr>
              <w:pStyle w:val="List"/>
              <w:rPr>
                <w:lang w:val="en-NZ"/>
              </w:rPr>
            </w:pPr>
            <w:r w:rsidRPr="00C00D12">
              <w:t>4.</w:t>
            </w:r>
            <w:r w:rsidRPr="00C00D12">
              <w:tab/>
              <w:t>Assess</w:t>
            </w:r>
            <w:r w:rsidRPr="00C00D12">
              <w:t xml:space="preserve"> services</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0D12" w:rsidP="00C00D12">
            <w:pPr>
              <w:pStyle w:val="List2"/>
            </w:pPr>
            <w:r w:rsidRPr="00C00D12">
              <w:t>4.1.</w:t>
            </w:r>
            <w:r w:rsidRPr="00C00D12">
              <w:tab/>
              <w:t>Plumbing, water and drainage features that may impact on design brief are identified and assessed</w:t>
            </w:r>
          </w:p>
          <w:p w:rsidR="00000000" w:rsidRPr="00C00D12" w:rsidP="00C00D12">
            <w:pPr>
              <w:pStyle w:val="List2"/>
            </w:pPr>
            <w:r w:rsidRPr="00C00D12">
              <w:t>4.2.</w:t>
            </w:r>
            <w:r w:rsidRPr="00C00D12">
              <w:tab/>
            </w:r>
            <w:r w:rsidRPr="00C00D12">
              <w:rPr>
                <w:rStyle w:val="BoldandItalics"/>
              </w:rPr>
              <w:t>Features of electrical service</w:t>
            </w:r>
            <w:r w:rsidRPr="00C00D12">
              <w:t xml:space="preserve"> are assessed to determine suitability for design requirements</w:t>
            </w:r>
          </w:p>
          <w:p w:rsidR="00000000" w:rsidP="00C00D12">
            <w:pPr>
              <w:pStyle w:val="List2"/>
              <w:rPr>
                <w:lang w:val="en-NZ"/>
              </w:rPr>
            </w:pPr>
            <w:r w:rsidRPr="00C00D12">
              <w:t>4.3.</w:t>
            </w:r>
            <w:r w:rsidRPr="00C00D12">
              <w:tab/>
            </w:r>
            <w:r w:rsidRPr="00C00D12">
              <w:rPr>
                <w:rStyle w:val="BoldandItalics"/>
              </w:rPr>
              <w:t>Other services</w:t>
            </w:r>
            <w:r w:rsidRPr="00C00D12">
              <w:t xml:space="preserve"> are assessed to determine</w:t>
            </w:r>
            <w:r w:rsidRPr="00C00D12">
              <w:t xml:space="preserve"> suitability for design requirements</w:t>
            </w:r>
          </w:p>
        </w:tc>
      </w:tr>
      <w:tr w:rsidTr="0042323A">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D12">
            <w:pPr>
              <w:pStyle w:val="List"/>
              <w:rPr>
                <w:lang w:val="en-NZ"/>
              </w:rPr>
            </w:pPr>
            <w:r w:rsidRPr="00C00D12">
              <w:t>5.</w:t>
            </w:r>
            <w:r w:rsidRPr="00C00D12">
              <w:tab/>
              <w:t>Conduct additional research to support site evaluation</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0D12" w:rsidP="00C00D12">
            <w:pPr>
              <w:pStyle w:val="List2"/>
            </w:pPr>
            <w:r w:rsidRPr="00C00D12">
              <w:t>5.1.</w:t>
            </w:r>
            <w:r w:rsidRPr="00C00D12">
              <w:tab/>
            </w:r>
            <w:r w:rsidRPr="00C00D12">
              <w:rPr>
                <w:rStyle w:val="BoldandItalics"/>
              </w:rPr>
              <w:t>Specialist professionals</w:t>
            </w:r>
            <w:r w:rsidRPr="00C00D12">
              <w:t xml:space="preserve"> are consulted to verify or further determine outcomes relevant to design requirements</w:t>
            </w:r>
          </w:p>
          <w:p w:rsidR="00000000" w:rsidRPr="00C00D12" w:rsidP="00C00D12">
            <w:pPr>
              <w:pStyle w:val="List2"/>
            </w:pPr>
            <w:r w:rsidRPr="00C00D12">
              <w:t>5.2.</w:t>
            </w:r>
            <w:r w:rsidRPr="00C00D12">
              <w:tab/>
              <w:t>Building information, plans, drawings a</w:t>
            </w:r>
            <w:r w:rsidRPr="00C00D12">
              <w:t>nd materials data is accessed to gain additional information relevant to the project</w:t>
            </w:r>
          </w:p>
          <w:p w:rsidR="00000000" w:rsidRPr="00C00D12" w:rsidP="00C00D12">
            <w:pPr>
              <w:pStyle w:val="List2"/>
            </w:pPr>
            <w:r w:rsidRPr="00C00D12">
              <w:t>5.3.</w:t>
            </w:r>
            <w:r w:rsidRPr="00C00D12">
              <w:tab/>
              <w:t>New technologies are researched to determine relevance to project</w:t>
            </w:r>
          </w:p>
          <w:p w:rsidR="00000000" w:rsidRPr="00C00D12" w:rsidP="00C00D12">
            <w:pPr>
              <w:pStyle w:val="List2"/>
            </w:pPr>
            <w:r w:rsidRPr="00C00D12">
              <w:t>5.4.</w:t>
            </w:r>
            <w:r w:rsidRPr="00C00D12">
              <w:tab/>
            </w:r>
            <w:r w:rsidRPr="00C00D12">
              <w:rPr>
                <w:rStyle w:val="BoldandItalics"/>
              </w:rPr>
              <w:t>Longevity and restorability</w:t>
            </w:r>
            <w:r w:rsidRPr="00C00D12">
              <w:t xml:space="preserve"> quality of structures and materials are researched</w:t>
            </w:r>
          </w:p>
          <w:p w:rsidR="00000000" w:rsidRPr="00C00D12" w:rsidP="00C00D12">
            <w:pPr>
              <w:pStyle w:val="List2"/>
            </w:pPr>
            <w:r w:rsidRPr="00C00D12">
              <w:t>5.5.</w:t>
            </w:r>
            <w:r w:rsidRPr="00C00D12">
              <w:tab/>
            </w:r>
            <w:r w:rsidRPr="00C00D12">
              <w:rPr>
                <w:rStyle w:val="BoldandItalics"/>
              </w:rPr>
              <w:t>Environmental considerations</w:t>
            </w:r>
            <w:r w:rsidRPr="00C00D12">
              <w:t xml:space="preserve"> for project are identified and further information accessed to ensure currency of knowledge</w:t>
            </w:r>
          </w:p>
        </w:tc>
      </w:tr>
    </w:tbl>
    <w:p w:rsidR="00000000" w:rsidRPr="00C00D12" w:rsidP="00C00D12">
      <w:pPr>
        <w:pStyle w:val="BodyText"/>
      </w:pPr>
    </w:p>
    <w:p w:rsidR="00000000" w:rsidRPr="00C00D12" w:rsidP="00C00D12">
      <w:pPr>
        <w:pStyle w:val="AllowPageBreak"/>
      </w:pPr>
    </w:p>
    <w:p w:rsidR="00000000" w:rsidRPr="00C00D12" w:rsidP="00C00D12">
      <w:pPr>
        <w:pStyle w:val="Heading1"/>
      </w:pPr>
      <w:bookmarkStart w:id="9" w:name="O_90527"/>
      <w:bookmarkEnd w:id="9"/>
      <w:r w:rsidRPr="00C00D12">
        <w:t>Required Skills and Knowledge</w:t>
      </w:r>
    </w:p>
    <w:tbl>
      <w:tblPr>
        <w:tblW w:w="0" w:type="auto"/>
        <w:tblLayout w:type="fixed"/>
        <w:tblCellMar>
          <w:left w:w="62" w:type="dxa"/>
          <w:right w:w="62" w:type="dxa"/>
        </w:tblCellMar>
        <w:tblLook w:val="0000"/>
      </w:tblPr>
      <w:tblGrid>
        <w:gridCol w:w="8522"/>
      </w:tblGrid>
      <w:tr w:rsidTr="0042323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00D12">
            <w:pPr>
              <w:pStyle w:val="BodyText"/>
              <w:rPr>
                <w:lang w:val="en-NZ"/>
              </w:rPr>
            </w:pPr>
            <w:r w:rsidRPr="00C00D12">
              <w:rPr>
                <w:rStyle w:val="SpecialBold"/>
              </w:rPr>
              <w:t>REQUIRED SKILLS AND KNOWLEDGE</w:t>
            </w:r>
          </w:p>
        </w:tc>
      </w:tr>
      <w:tr w:rsidTr="0042323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00D12">
            <w:pPr>
              <w:pStyle w:val="BodyText"/>
              <w:rPr>
                <w:lang w:val="en-NZ"/>
              </w:rPr>
            </w:pPr>
            <w:r w:rsidRPr="00C00D12">
              <w:t>This section describes the skills and knowledge required for this unit.</w:t>
            </w:r>
          </w:p>
        </w:tc>
      </w:tr>
      <w:tr w:rsidTr="004232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D12">
            <w:pPr>
              <w:pStyle w:val="BodyText"/>
              <w:rPr>
                <w:lang w:val="en-NZ"/>
              </w:rPr>
            </w:pPr>
            <w:r w:rsidRPr="00C00D12">
              <w:rPr>
                <w:rStyle w:val="SpecialBold"/>
              </w:rPr>
              <w:t>Required skills</w:t>
            </w:r>
          </w:p>
        </w:tc>
      </w:tr>
      <w:tr w:rsidTr="004232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0D12" w:rsidP="00C00D12">
            <w:pPr>
              <w:pStyle w:val="ListBullet"/>
            </w:pPr>
            <w:r w:rsidRPr="00C00D12">
              <w:t>measurement</w:t>
            </w:r>
          </w:p>
          <w:p w:rsidR="00000000" w:rsidRPr="00C00D12" w:rsidP="00C00D12">
            <w:pPr>
              <w:pStyle w:val="ListBullet"/>
            </w:pPr>
            <w:r w:rsidRPr="00C00D12">
              <w:t>observation</w:t>
            </w:r>
          </w:p>
          <w:p w:rsidR="00000000" w:rsidRPr="00C00D12" w:rsidP="00C00D12">
            <w:pPr>
              <w:pStyle w:val="ListBullet"/>
            </w:pPr>
            <w:r w:rsidRPr="00C00D12">
              <w:t>researching</w:t>
            </w:r>
          </w:p>
          <w:p w:rsidR="00000000" w:rsidRPr="00C00D12" w:rsidP="00C00D12">
            <w:pPr>
              <w:pStyle w:val="ListBullet"/>
            </w:pPr>
            <w:r w:rsidRPr="00C00D12">
              <w:t>ability to resource information</w:t>
            </w:r>
          </w:p>
          <w:p w:rsidR="00000000" w:rsidRPr="00C00D12" w:rsidP="00C00D12">
            <w:pPr>
              <w:pStyle w:val="ListBullet"/>
            </w:pPr>
            <w:r w:rsidRPr="00C00D12">
              <w:t>accessing and applying the Building Code of Australia</w:t>
            </w:r>
          </w:p>
          <w:p w:rsidR="00000000" w:rsidRPr="00C00D12" w:rsidP="00C00D12">
            <w:pPr>
              <w:pStyle w:val="ListBullet"/>
            </w:pPr>
            <w:r w:rsidRPr="00C00D12">
              <w:t>ability to resource information appropriate to interior construction</w:t>
            </w:r>
          </w:p>
          <w:p w:rsidR="00000000" w:rsidRPr="00C00D12" w:rsidP="00C00D12">
            <w:pPr>
              <w:pStyle w:val="ListBullet"/>
            </w:pPr>
            <w:r w:rsidRPr="00C00D12">
              <w:t>documentation skills/report writing</w:t>
            </w:r>
          </w:p>
          <w:p w:rsidR="00000000" w:rsidRPr="00C00D12" w:rsidP="00C00D12">
            <w:pPr>
              <w:pStyle w:val="ListBullet"/>
            </w:pPr>
            <w:r w:rsidRPr="00C00D12">
              <w:t>mathematical skills for estimating quantities</w:t>
            </w:r>
          </w:p>
          <w:p w:rsidR="00000000" w:rsidRPr="00C00D12" w:rsidP="00C00D12">
            <w:pPr>
              <w:pStyle w:val="ListBullet"/>
            </w:pPr>
            <w:r w:rsidRPr="00C00D12">
              <w:t>ability to establish drawing requirements</w:t>
            </w:r>
          </w:p>
          <w:p w:rsidR="00000000" w:rsidRPr="00C00D12" w:rsidP="00C00D12">
            <w:pPr>
              <w:pStyle w:val="ListBullet"/>
            </w:pPr>
            <w:r w:rsidRPr="00C00D12">
              <w:t>ability to document construction details in a range of scales</w:t>
            </w:r>
          </w:p>
          <w:p w:rsidR="00000000" w:rsidRPr="00C00D12" w:rsidP="00C00D12">
            <w:pPr>
              <w:pStyle w:val="ListBullet"/>
            </w:pPr>
            <w:r w:rsidRPr="00C00D12">
              <w:t>notation of materials, techniques and finishes</w:t>
            </w:r>
          </w:p>
          <w:p w:rsidR="00000000" w:rsidP="00C00D12">
            <w:pPr>
              <w:pStyle w:val="ListBullet"/>
              <w:rPr>
                <w:lang w:val="en-NZ"/>
              </w:rPr>
            </w:pPr>
            <w:r w:rsidRPr="00C00D12">
              <w:t>apply safety procedures</w:t>
            </w:r>
          </w:p>
        </w:tc>
      </w:tr>
      <w:tr w:rsidTr="004232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D12">
            <w:pPr>
              <w:pStyle w:val="BodyText"/>
              <w:rPr>
                <w:lang w:val="en-NZ"/>
              </w:rPr>
            </w:pPr>
            <w:r w:rsidRPr="00C00D12">
              <w:rPr>
                <w:rStyle w:val="SpecialBold"/>
              </w:rPr>
              <w:t>Required knowledge</w:t>
            </w:r>
          </w:p>
        </w:tc>
      </w:tr>
      <w:tr w:rsidTr="004232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0D12" w:rsidP="00C00D12">
            <w:pPr>
              <w:pStyle w:val="ListBullet"/>
            </w:pPr>
            <w:r w:rsidRPr="00C00D12">
              <w:t>State or Territory OHS legislation, regulations, standards and codes of practice relevant to the full range of processes for evaluating a site</w:t>
            </w:r>
          </w:p>
          <w:p w:rsidR="00000000" w:rsidRPr="00C00D12" w:rsidP="00C00D12">
            <w:pPr>
              <w:pStyle w:val="ListBullet"/>
            </w:pPr>
            <w:r w:rsidRPr="00C00D12">
              <w:t>organisational and s</w:t>
            </w:r>
            <w:r w:rsidRPr="00C00D12">
              <w:t>ite standards, requirements, policies and procedures for evaluating a site</w:t>
            </w:r>
          </w:p>
          <w:p w:rsidR="00000000" w:rsidRPr="00C00D12" w:rsidP="00C00D12">
            <w:pPr>
              <w:pStyle w:val="ListBullet"/>
            </w:pPr>
            <w:r w:rsidRPr="00C00D12">
              <w:t>the role of Australian Standards and the Building Code of Australia</w:t>
            </w:r>
          </w:p>
          <w:p w:rsidR="00000000" w:rsidRPr="00C00D12" w:rsidP="00C00D12">
            <w:pPr>
              <w:pStyle w:val="ListBullet"/>
            </w:pPr>
            <w:r w:rsidRPr="00C00D12">
              <w:t>elements and principles of design</w:t>
            </w:r>
          </w:p>
          <w:p w:rsidR="00000000" w:rsidRPr="00C00D12" w:rsidP="00C00D12">
            <w:pPr>
              <w:pStyle w:val="ListBullet"/>
            </w:pPr>
            <w:r w:rsidRPr="00C00D12">
              <w:t>characteristics of materials, products and defects</w:t>
            </w:r>
          </w:p>
          <w:p w:rsidR="00000000" w:rsidRPr="00C00D12" w:rsidP="00C00D12">
            <w:pPr>
              <w:pStyle w:val="ListBullet"/>
            </w:pPr>
            <w:r w:rsidRPr="00C00D12">
              <w:t>procedures for documenting w</w:t>
            </w:r>
            <w:r w:rsidRPr="00C00D12">
              <w:t>orkplace records and information</w:t>
            </w:r>
          </w:p>
          <w:p w:rsidR="00000000" w:rsidRPr="00C00D12" w:rsidP="00C00D12">
            <w:pPr>
              <w:pStyle w:val="ListBullet"/>
            </w:pPr>
            <w:r w:rsidRPr="00C00D12">
              <w:t>appropriate mathematical procedures for estimation and measurement</w:t>
            </w:r>
          </w:p>
          <w:p w:rsidR="00000000" w:rsidRPr="00C00D12" w:rsidP="00C00D12">
            <w:pPr>
              <w:pStyle w:val="ListBullet"/>
            </w:pPr>
            <w:r w:rsidRPr="00C00D12">
              <w:t>environmental protection requirements</w:t>
            </w:r>
          </w:p>
          <w:p w:rsidR="00000000" w:rsidRPr="00C00D12" w:rsidP="00C00D12">
            <w:pPr>
              <w:pStyle w:val="ListBullet"/>
            </w:pPr>
            <w:r w:rsidRPr="00C00D12">
              <w:t>established communication channels and protocols</w:t>
            </w:r>
          </w:p>
          <w:p w:rsidR="00000000" w:rsidRPr="00C00D12" w:rsidP="00C00D12">
            <w:pPr>
              <w:pStyle w:val="ListBullet"/>
            </w:pPr>
            <w:r w:rsidRPr="00C00D12">
              <w:t>problem identification and resolution techniques</w:t>
            </w:r>
          </w:p>
          <w:p w:rsidR="00000000" w:rsidRPr="00C00D12" w:rsidP="00C00D12">
            <w:pPr>
              <w:pStyle w:val="ListBullet"/>
            </w:pPr>
            <w:r w:rsidRPr="00C00D12">
              <w:t>bas</w:t>
            </w:r>
            <w:r w:rsidRPr="00C00D12">
              <w:t>ic building and architectural terminology</w:t>
            </w:r>
          </w:p>
          <w:p w:rsidR="00000000" w:rsidRPr="00C00D12" w:rsidP="00C00D12">
            <w:pPr>
              <w:pStyle w:val="ListBullet"/>
            </w:pPr>
            <w:r w:rsidRPr="00C00D12">
              <w:t>common structural and non-structural components of a residential building</w:t>
            </w:r>
          </w:p>
          <w:p w:rsidR="00000000" w:rsidRPr="00C00D12" w:rsidP="00C00D12">
            <w:pPr>
              <w:pStyle w:val="ListBullet"/>
            </w:pPr>
            <w:r w:rsidRPr="00C00D12">
              <w:t>materials and methods involved in interior refurbishment</w:t>
            </w:r>
          </w:p>
          <w:p w:rsidR="00000000" w:rsidRPr="00C00D12" w:rsidP="00C00D12">
            <w:pPr>
              <w:pStyle w:val="ListBullet"/>
            </w:pPr>
            <w:r w:rsidRPr="00C00D12">
              <w:t>local regulations/ councils etc</w:t>
            </w:r>
          </w:p>
          <w:p w:rsidR="00000000" w:rsidRPr="00C00D12" w:rsidP="00C00D12">
            <w:pPr>
              <w:pStyle w:val="ListBullet"/>
            </w:pPr>
            <w:r w:rsidRPr="00C00D12">
              <w:t>construction techniques/ technologies</w:t>
            </w:r>
          </w:p>
          <w:p w:rsidR="00000000" w:rsidRPr="00C00D12" w:rsidP="00C00D12">
            <w:pPr>
              <w:pStyle w:val="ListBullet"/>
            </w:pPr>
            <w:r w:rsidRPr="00C00D12">
              <w:t>statutory pla</w:t>
            </w:r>
            <w:r w:rsidRPr="00C00D12">
              <w:t>nning regulations affecting interior design</w:t>
            </w:r>
          </w:p>
          <w:p w:rsidR="00000000" w:rsidRPr="00C00D12" w:rsidP="00C00D12">
            <w:pPr>
              <w:pStyle w:val="ListBullet"/>
            </w:pPr>
            <w:r w:rsidRPr="00C00D12">
              <w:t>sub-contractors roles</w:t>
            </w:r>
          </w:p>
        </w:tc>
      </w:tr>
    </w:tbl>
    <w:p w:rsidR="00000000" w:rsidRPr="00C00D12" w:rsidP="00C00D12">
      <w:pPr>
        <w:pStyle w:val="BodyText"/>
      </w:pPr>
    </w:p>
    <w:p w:rsidR="00000000" w:rsidRPr="00C00D12" w:rsidP="00C00D12">
      <w:pPr>
        <w:pStyle w:val="AllowPageBreak"/>
      </w:pPr>
    </w:p>
    <w:p w:rsidR="00000000" w:rsidRPr="00C00D12" w:rsidP="00C00D12">
      <w:pPr>
        <w:pStyle w:val="Heading1"/>
      </w:pPr>
      <w:bookmarkStart w:id="10" w:name="O_90528"/>
      <w:bookmarkEnd w:id="10"/>
      <w:r w:rsidRPr="00C00D12">
        <w:t>Evidence Guide</w:t>
      </w:r>
    </w:p>
    <w:tbl>
      <w:tblPr>
        <w:tblW w:w="9570" w:type="dxa"/>
        <w:tblLayout w:type="fixed"/>
        <w:tblCellMar>
          <w:left w:w="62" w:type="dxa"/>
          <w:right w:w="62" w:type="dxa"/>
        </w:tblCellMar>
        <w:tblLook w:val="0000"/>
      </w:tblPr>
      <w:tblGrid>
        <w:gridCol w:w="3908"/>
        <w:gridCol w:w="5662"/>
      </w:tblGrid>
      <w:tr w:rsidTr="0042323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D12">
            <w:pPr>
              <w:pStyle w:val="BodyText"/>
              <w:rPr>
                <w:lang w:val="en-NZ"/>
              </w:rPr>
            </w:pPr>
            <w:r w:rsidRPr="00C00D12">
              <w:rPr>
                <w:rStyle w:val="SpecialBold"/>
              </w:rPr>
              <w:t>EVIDENCE GUIDE</w:t>
            </w:r>
          </w:p>
        </w:tc>
      </w:tr>
      <w:tr w:rsidTr="0042323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D12">
            <w:pPr>
              <w:pStyle w:val="BodyText"/>
              <w:rPr>
                <w:lang w:val="en-NZ"/>
              </w:rPr>
            </w:pPr>
            <w:r w:rsidRPr="00C00D12">
              <w:t>The Evidence Guide provides advice on assessment and must be read in conjunction with the perfo</w:t>
            </w:r>
            <w:r w:rsidRPr="00C00D12">
              <w:t>rmance criteria, required skills and knowledge, range statement and the Assessment Guidelines for the Training Package.</w:t>
            </w:r>
          </w:p>
        </w:tc>
      </w:tr>
      <w:tr w:rsidTr="0042323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D12">
            <w:pPr>
              <w:pStyle w:val="BodyText"/>
              <w:rPr>
                <w:lang w:val="en-NZ"/>
              </w:rPr>
            </w:pPr>
            <w:r w:rsidRPr="00C00D1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D12">
            <w:pPr>
              <w:pStyle w:val="BodyText"/>
              <w:rPr>
                <w:lang w:val="en-NZ"/>
              </w:rPr>
            </w:pPr>
          </w:p>
        </w:tc>
      </w:tr>
      <w:tr w:rsidTr="0042323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D12">
            <w:pPr>
              <w:pStyle w:val="BodyText"/>
              <w:rPr>
                <w:lang w:val="en-NZ"/>
              </w:rPr>
            </w:pPr>
            <w:r w:rsidRPr="00C00D1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0D12" w:rsidP="00C00D12">
            <w:pPr>
              <w:pStyle w:val="ListBullet"/>
            </w:pPr>
            <w:r w:rsidRPr="00C00D12">
              <w:t>Effectively ass</w:t>
            </w:r>
            <w:r w:rsidRPr="00C00D12">
              <w:t>ess structural and non structural elements of a site to determine implications for interior design</w:t>
            </w:r>
          </w:p>
          <w:p w:rsidR="00000000" w:rsidRPr="00C00D12" w:rsidP="00C00D12">
            <w:pPr>
              <w:pStyle w:val="ListBullet"/>
            </w:pPr>
            <w:r w:rsidRPr="00C00D12">
              <w:t>Identify the features and implications of construction techniques identified in the range of variables</w:t>
            </w:r>
          </w:p>
          <w:p w:rsidR="00000000" w:rsidRPr="00C00D12" w:rsidP="00C00D12">
            <w:pPr>
              <w:pStyle w:val="ListBullet"/>
            </w:pPr>
            <w:r w:rsidRPr="00C00D12">
              <w:t>Comply with legislation, regulations, standards, codes of practice and established safe practices and procedures for assessing a site</w:t>
            </w:r>
          </w:p>
          <w:p w:rsidR="00000000" w:rsidP="00C00D12">
            <w:pPr>
              <w:pStyle w:val="ListBullet"/>
              <w:rPr>
                <w:lang w:val="en-NZ"/>
              </w:rPr>
            </w:pPr>
            <w:r w:rsidRPr="00C00D12">
              <w:t>Communicate effectively and work safely with others in the work area</w:t>
            </w:r>
          </w:p>
        </w:tc>
      </w:tr>
      <w:tr w:rsidTr="0042323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D12">
            <w:pPr>
              <w:pStyle w:val="BodyText"/>
              <w:rPr>
                <w:lang w:val="en-NZ"/>
              </w:rPr>
            </w:pPr>
            <w:r w:rsidRPr="00C00D1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0D12" w:rsidP="00C00D12">
            <w:pPr>
              <w:pStyle w:val="ListBullet"/>
            </w:pPr>
            <w:r w:rsidRPr="00C00D12">
              <w:t>Th</w:t>
            </w:r>
            <w:r w:rsidRPr="00C00D12">
              <w:t>e application of competency is to be assessed in the workplace or realistically simulated workplace</w:t>
            </w:r>
          </w:p>
          <w:p w:rsidR="00000000" w:rsidRPr="00C00D12" w:rsidP="00C00D12">
            <w:pPr>
              <w:pStyle w:val="ListBullet"/>
            </w:pPr>
            <w:r w:rsidRPr="00C00D12">
              <w:t>Assessment is to occur under standard and authorised work practices, safety requirements and environmental constraints</w:t>
            </w:r>
          </w:p>
          <w:p w:rsidR="00000000" w:rsidRPr="00C00D12" w:rsidP="00C00D12">
            <w:pPr>
              <w:pStyle w:val="ListBullet"/>
            </w:pPr>
            <w:r w:rsidRPr="00C00D12">
              <w:t xml:space="preserve">Assessment of essential underpinning </w:t>
            </w:r>
            <w:r w:rsidRPr="00C00D12">
              <w:t>knowledge, other than confirmatory questions, will usually be conducted in an off-site context</w:t>
            </w:r>
          </w:p>
          <w:p w:rsidR="00000000" w:rsidRPr="00C00D12" w:rsidP="00C00D12">
            <w:pPr>
              <w:pStyle w:val="ListBullet"/>
            </w:pPr>
            <w:r w:rsidRPr="00C00D12">
              <w:t>Assessment is to comply with relevant regulatory or Australian Standards requirements</w:t>
            </w:r>
          </w:p>
          <w:p w:rsidR="00000000" w:rsidRPr="00C00D12" w:rsidP="00C00D12">
            <w:pPr>
              <w:pStyle w:val="ListBullet"/>
            </w:pPr>
            <w:r w:rsidRPr="00C00D12">
              <w:t>The following resources should be made available:</w:t>
            </w:r>
          </w:p>
          <w:p w:rsidR="00000000" w:rsidRPr="00C00D12" w:rsidP="00C00D12">
            <w:pPr>
              <w:pStyle w:val="ListBullet2"/>
            </w:pPr>
            <w:r w:rsidRPr="00C00D12">
              <w:t>workplace location or si</w:t>
            </w:r>
            <w:r w:rsidRPr="00C00D12">
              <w:t>mulated workplace</w:t>
            </w:r>
          </w:p>
          <w:p w:rsidR="00000000" w:rsidRPr="00C00D12" w:rsidP="00C00D12">
            <w:pPr>
              <w:pStyle w:val="ListBullet2"/>
            </w:pPr>
            <w:r w:rsidRPr="00C00D12">
              <w:t>materials and equipment relevant to assessing viability of structures for domestic properties</w:t>
            </w:r>
          </w:p>
          <w:p w:rsidR="00000000" w:rsidP="00C00D12">
            <w:pPr>
              <w:pStyle w:val="ListBullet2"/>
              <w:rPr>
                <w:lang w:val="en-NZ"/>
              </w:rPr>
            </w:pPr>
            <w:r w:rsidRPr="00C00D12">
              <w:t>specifications and work instructions</w:t>
            </w:r>
          </w:p>
        </w:tc>
      </w:tr>
      <w:tr w:rsidTr="0042323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D12">
            <w:pPr>
              <w:pStyle w:val="BodyText"/>
              <w:rPr>
                <w:lang w:val="en-NZ"/>
              </w:rPr>
            </w:pPr>
            <w:r w:rsidRPr="00C00D1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0D12" w:rsidP="00C00D12">
            <w:pPr>
              <w:pStyle w:val="ListBullet"/>
            </w:pPr>
            <w:r w:rsidRPr="00C00D12">
              <w:t>Assessment must satisfy the endorsed assessment guidelines of the Furnishing Industry Training Package</w:t>
            </w:r>
          </w:p>
          <w:p w:rsidR="00000000" w:rsidRPr="00C00D12" w:rsidP="00C00D12">
            <w:pPr>
              <w:pStyle w:val="ListBullet"/>
            </w:pPr>
            <w:r w:rsidRPr="00C00D12">
              <w:t>Assessment methods must confirm consistency and accuracy of performance (over time and in a range of workplace relevant contexts) together with applicati</w:t>
            </w:r>
            <w:r w:rsidRPr="00C00D12">
              <w:t>on of underpinning knowledge</w:t>
            </w:r>
          </w:p>
          <w:p w:rsidR="00000000" w:rsidRPr="00C00D12" w:rsidP="00C00D12">
            <w:pPr>
              <w:pStyle w:val="ListBullet"/>
            </w:pPr>
            <w:r w:rsidRPr="00C00D12">
              <w:t>Assessment methods must be by direct observation of tasks and include questioning on underpinning knowledge to ensure its correct interpretation and application</w:t>
            </w:r>
          </w:p>
          <w:p w:rsidR="00000000" w:rsidRPr="00C00D12" w:rsidP="00C00D12">
            <w:pPr>
              <w:pStyle w:val="ListBullet"/>
            </w:pPr>
            <w:r w:rsidRPr="00C00D12">
              <w:t>Assessment may be applied under project related conditions (real or simulated) and require evidence of process</w:t>
            </w:r>
          </w:p>
          <w:p w:rsidR="00000000" w:rsidRPr="00C00D12" w:rsidP="00C00D12">
            <w:pPr>
              <w:pStyle w:val="ListBullet"/>
            </w:pPr>
            <w:r w:rsidRPr="00C00D12">
              <w:t>Assessment must confirm a reasonable inference that competency is able not only to be satisfied under the particular circumstance, but is able to</w:t>
            </w:r>
            <w:r w:rsidRPr="00C00D12">
              <w:t xml:space="preserve"> be transferred to other circumstances</w:t>
            </w:r>
          </w:p>
          <w:p w:rsidR="00000000" w:rsidP="00C00D12">
            <w:pPr>
              <w:pStyle w:val="ListBullet"/>
              <w:rPr>
                <w:lang w:val="en-NZ"/>
              </w:rPr>
            </w:pPr>
            <w:r w:rsidRPr="00C00D12">
              <w:t>Assessment may be in conjunction with assessment of other units of competency</w:t>
            </w:r>
          </w:p>
        </w:tc>
      </w:tr>
      <w:tr w:rsidTr="0042323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D12">
            <w:pPr>
              <w:pStyle w:val="BodyText"/>
              <w:rPr>
                <w:lang w:val="en-NZ"/>
              </w:rPr>
            </w:pPr>
            <w:r w:rsidRPr="00C00D1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0D12" w:rsidP="00C00D12">
            <w:pPr>
              <w:pStyle w:val="BodyText"/>
            </w:pPr>
          </w:p>
        </w:tc>
      </w:tr>
    </w:tbl>
    <w:p w:rsidR="00000000" w:rsidRPr="00C00D12" w:rsidP="00C00D12">
      <w:pPr>
        <w:pStyle w:val="BodyText"/>
      </w:pPr>
    </w:p>
    <w:p w:rsidR="00000000" w:rsidRPr="00C00D12" w:rsidP="00C00D12">
      <w:pPr>
        <w:pStyle w:val="AllowPageBreak"/>
      </w:pPr>
    </w:p>
    <w:p w:rsidR="00000000" w:rsidRPr="00C00D12" w:rsidP="00C00D12">
      <w:pPr>
        <w:pStyle w:val="Heading1"/>
      </w:pPr>
      <w:bookmarkStart w:id="11" w:name="O_90529"/>
      <w:bookmarkEnd w:id="11"/>
      <w:r w:rsidRPr="00C00D12">
        <w:t>Range Statement</w:t>
      </w:r>
    </w:p>
    <w:tbl>
      <w:tblPr>
        <w:tblW w:w="0" w:type="auto"/>
        <w:tblLayout w:type="fixed"/>
        <w:tblCellMar>
          <w:left w:w="62" w:type="dxa"/>
          <w:right w:w="62" w:type="dxa"/>
        </w:tblCellMar>
        <w:tblLook w:val="0000"/>
      </w:tblPr>
      <w:tblGrid>
        <w:gridCol w:w="3545"/>
        <w:gridCol w:w="4977"/>
      </w:tblGrid>
      <w:tr w:rsidTr="0042323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D12">
            <w:pPr>
              <w:pStyle w:val="BodyText"/>
              <w:rPr>
                <w:lang w:val="en-NZ"/>
              </w:rPr>
            </w:pPr>
            <w:r w:rsidRPr="00C00D12">
              <w:rPr>
                <w:rStyle w:val="SpecialBold"/>
              </w:rPr>
              <w:t>RANGE STATEMENT</w:t>
            </w:r>
          </w:p>
        </w:tc>
      </w:tr>
      <w:tr w:rsidTr="0042323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D12">
            <w:pPr>
              <w:pStyle w:val="BodyText"/>
              <w:rPr>
                <w:lang w:val="en-NZ"/>
              </w:rPr>
            </w:pPr>
            <w:r w:rsidRPr="00C00D12">
              <w:t>The range statement relates to the unit of competency as a whole. It allows for different work environments and situations that may affect performance. Bold italicised wording, if used in the performance criteria, is detailed below. Essential operating con</w:t>
            </w:r>
            <w:r w:rsidRPr="00C00D12">
              <w:t>ditions that may be present with training and assessment (depending on the work situation, needs of the candidate, accessibility of the item, and local industry and regional contexts) may also be included.</w:t>
            </w:r>
          </w:p>
        </w:tc>
      </w:tr>
      <w:tr w:rsidTr="0042323A">
        <w:tblPrEx>
          <w:tblW w:w="0" w:type="auto"/>
          <w:tblLayout w:type="fixed"/>
          <w:tblCellMar>
            <w:left w:w="62" w:type="dxa"/>
            <w:right w:w="62" w:type="dxa"/>
          </w:tblCellMar>
          <w:tblLook w:val="0000"/>
        </w:tblPrEx>
        <w:tc>
          <w:tcPr>
            <w:tcW w:w="3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D12">
            <w:pPr>
              <w:pStyle w:val="BodyText"/>
              <w:rPr>
                <w:lang w:val="en-NZ"/>
              </w:rPr>
            </w:pPr>
            <w:r w:rsidRPr="00C00D12">
              <w:rPr>
                <w:rStyle w:val="SpecialBold"/>
              </w:rPr>
              <w:t>OHS requirements</w:t>
            </w:r>
          </w:p>
        </w:tc>
        <w:tc>
          <w:tcPr>
            <w:tcW w:w="4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D12">
            <w:pPr>
              <w:pStyle w:val="ListBullet"/>
              <w:rPr>
                <w:lang w:val="en-NZ"/>
              </w:rPr>
            </w:pPr>
            <w:r w:rsidRPr="00C00D12">
              <w:t>are to be in accordance with C</w:t>
            </w:r>
            <w:r w:rsidRPr="00C00D12">
              <w:t xml:space="preserve">ommonwealth, State or Territory legislation and regulations, organisational safety policies and procedures. Requirements may include but not be limited to the use of personal protective equipment and clothing, fire fighting equipment, first aid equipment, </w:t>
            </w:r>
            <w:r w:rsidRPr="00C00D12">
              <w:t>hazard and risk control and elimination of hazardous materials and substances, manual handling including lifting and carrying</w:t>
            </w:r>
          </w:p>
        </w:tc>
      </w:tr>
      <w:tr w:rsidTr="0042323A">
        <w:tblPrEx>
          <w:tblW w:w="0" w:type="auto"/>
          <w:tblLayout w:type="fixed"/>
          <w:tblCellMar>
            <w:left w:w="62" w:type="dxa"/>
            <w:right w:w="62" w:type="dxa"/>
          </w:tblCellMar>
          <w:tblLook w:val="0000"/>
        </w:tblPrEx>
        <w:tc>
          <w:tcPr>
            <w:tcW w:w="3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D12">
            <w:pPr>
              <w:pStyle w:val="BodyText"/>
              <w:rPr>
                <w:lang w:val="en-NZ"/>
              </w:rPr>
            </w:pPr>
            <w:r w:rsidRPr="00C00D12">
              <w:rPr>
                <w:rStyle w:val="SpecialBold"/>
              </w:rPr>
              <w:t>Legislative requirements</w:t>
            </w:r>
          </w:p>
        </w:tc>
        <w:tc>
          <w:tcPr>
            <w:tcW w:w="4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D12">
            <w:pPr>
              <w:pStyle w:val="ListBullet"/>
              <w:rPr>
                <w:lang w:val="en-NZ"/>
              </w:rPr>
            </w:pPr>
            <w:r w:rsidRPr="00C00D12">
              <w:t xml:space="preserve">are to be in accordance with applicable legislation from all levels of government </w:t>
            </w:r>
            <w:r w:rsidRPr="00C00D12">
              <w:t>that affect organisational operation. Requirements may include but not be limited to award and enterprise agreements, industrial relations, Australian Standards, confidentiality and privacy, OHS, the environment, equal opportunity, anti-discrimination, rel</w:t>
            </w:r>
            <w:r w:rsidRPr="00C00D12">
              <w:t>evant industry codes of practice, duty of care and heritage</w:t>
            </w:r>
          </w:p>
        </w:tc>
      </w:tr>
      <w:tr w:rsidTr="0042323A">
        <w:tblPrEx>
          <w:tblW w:w="0" w:type="auto"/>
          <w:tblLayout w:type="fixed"/>
          <w:tblCellMar>
            <w:left w:w="62" w:type="dxa"/>
            <w:right w:w="62" w:type="dxa"/>
          </w:tblCellMar>
          <w:tblLook w:val="0000"/>
        </w:tblPrEx>
        <w:tc>
          <w:tcPr>
            <w:tcW w:w="3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D12">
            <w:pPr>
              <w:pStyle w:val="BodyText"/>
              <w:rPr>
                <w:lang w:val="en-NZ"/>
              </w:rPr>
            </w:pPr>
            <w:r w:rsidRPr="00C00D12">
              <w:rPr>
                <w:rStyle w:val="SpecialBold"/>
              </w:rPr>
              <w:t>Organisational requirements</w:t>
            </w:r>
          </w:p>
        </w:tc>
        <w:tc>
          <w:tcPr>
            <w:tcW w:w="4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D12">
            <w:pPr>
              <w:pStyle w:val="ListBullet"/>
              <w:rPr>
                <w:lang w:val="en-NZ"/>
              </w:rPr>
            </w:pPr>
            <w:r w:rsidRPr="00C00D12">
              <w:t>may include but not be limited to legal, organisational and site guidelines, policies and procedures relating to own role and responsibility, quality assurance, proce</w:t>
            </w:r>
            <w:r w:rsidRPr="00C00D12">
              <w:t>dural manuals, quality and continuous improvement processes and standards, OHS, emergency and evacuation, ethical standards, recording and reporting, access and equity principles and practices, equipment use, maintenance and storage, environmental manageme</w:t>
            </w:r>
            <w:r w:rsidRPr="00C00D12">
              <w:t>nt (waste disposal, recycling and re-use guidelines)</w:t>
            </w:r>
          </w:p>
        </w:tc>
      </w:tr>
      <w:tr w:rsidTr="0042323A">
        <w:tblPrEx>
          <w:tblW w:w="0" w:type="auto"/>
          <w:tblLayout w:type="fixed"/>
          <w:tblCellMar>
            <w:left w:w="62" w:type="dxa"/>
            <w:right w:w="62" w:type="dxa"/>
          </w:tblCellMar>
          <w:tblLook w:val="0000"/>
        </w:tblPrEx>
        <w:tc>
          <w:tcPr>
            <w:tcW w:w="3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D12">
            <w:pPr>
              <w:pStyle w:val="BodyText"/>
              <w:rPr>
                <w:lang w:val="en-NZ"/>
              </w:rPr>
            </w:pPr>
            <w:r w:rsidRPr="00C00D12">
              <w:rPr>
                <w:rStyle w:val="SpecialBold"/>
              </w:rPr>
              <w:t>Scope of brief</w:t>
            </w:r>
          </w:p>
        </w:tc>
        <w:tc>
          <w:tcPr>
            <w:tcW w:w="4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D12">
            <w:pPr>
              <w:pStyle w:val="ListBullet"/>
              <w:rPr>
                <w:lang w:val="en-NZ"/>
              </w:rPr>
            </w:pPr>
            <w:r w:rsidRPr="00C00D12">
              <w:t>may include but not be limited to the aims, objectives, milestones for the project, the point of reference for everyone, elements and principles of design, organisational or personal pro</w:t>
            </w:r>
            <w:r w:rsidRPr="00C00D12">
              <w:t>files, target audience, budget, timeline, consultation requirements, colour requirements, image requirements and function</w:t>
            </w:r>
          </w:p>
        </w:tc>
      </w:tr>
      <w:tr w:rsidTr="0042323A">
        <w:tblPrEx>
          <w:tblW w:w="0" w:type="auto"/>
          <w:tblLayout w:type="fixed"/>
          <w:tblCellMar>
            <w:left w:w="62" w:type="dxa"/>
            <w:right w:w="62" w:type="dxa"/>
          </w:tblCellMar>
          <w:tblLook w:val="0000"/>
        </w:tblPrEx>
        <w:tc>
          <w:tcPr>
            <w:tcW w:w="3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D12">
            <w:pPr>
              <w:pStyle w:val="BodyText"/>
              <w:rPr>
                <w:lang w:val="en-NZ"/>
              </w:rPr>
            </w:pPr>
            <w:r w:rsidRPr="00C00D12">
              <w:rPr>
                <w:rStyle w:val="SpecialBold"/>
              </w:rPr>
              <w:t>Client</w:t>
            </w:r>
          </w:p>
        </w:tc>
        <w:tc>
          <w:tcPr>
            <w:tcW w:w="4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D12">
            <w:pPr>
              <w:pStyle w:val="ListBullet"/>
              <w:rPr>
                <w:lang w:val="en-NZ"/>
              </w:rPr>
            </w:pPr>
            <w:r w:rsidRPr="00C00D12">
              <w:t>may include but not be limited to suppliers, manufacturers, private clients, colleagues, retailers or the public</w:t>
            </w:r>
          </w:p>
        </w:tc>
      </w:tr>
      <w:tr w:rsidTr="0042323A">
        <w:tblPrEx>
          <w:tblW w:w="0" w:type="auto"/>
          <w:tblLayout w:type="fixed"/>
          <w:tblCellMar>
            <w:left w:w="62" w:type="dxa"/>
            <w:right w:w="62" w:type="dxa"/>
          </w:tblCellMar>
          <w:tblLook w:val="0000"/>
        </w:tblPrEx>
        <w:tc>
          <w:tcPr>
            <w:tcW w:w="3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D12">
            <w:pPr>
              <w:pStyle w:val="BodyText"/>
              <w:rPr>
                <w:lang w:val="en-NZ"/>
              </w:rPr>
            </w:pPr>
            <w:r w:rsidRPr="00C00D12">
              <w:rPr>
                <w:rStyle w:val="SpecialBold"/>
              </w:rPr>
              <w:t>Parameters</w:t>
            </w:r>
          </w:p>
        </w:tc>
        <w:tc>
          <w:tcPr>
            <w:tcW w:w="4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D12">
            <w:pPr>
              <w:pStyle w:val="ListBullet"/>
              <w:rPr>
                <w:lang w:val="en-NZ"/>
              </w:rPr>
            </w:pPr>
            <w:r w:rsidRPr="00C00D12">
              <w:t>may include but not be limited to scope of brief, approval to make changes (legislative and planning), effect or feel trying to be achieved, functionality (short and long term), budget restrictions and established timelines</w:t>
            </w:r>
          </w:p>
        </w:tc>
      </w:tr>
      <w:tr w:rsidTr="0042323A">
        <w:tblPrEx>
          <w:tblW w:w="0" w:type="auto"/>
          <w:tblLayout w:type="fixed"/>
          <w:tblCellMar>
            <w:left w:w="62" w:type="dxa"/>
            <w:right w:w="62" w:type="dxa"/>
          </w:tblCellMar>
          <w:tblLook w:val="0000"/>
        </w:tblPrEx>
        <w:tc>
          <w:tcPr>
            <w:tcW w:w="3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D12">
            <w:pPr>
              <w:pStyle w:val="BodyText"/>
              <w:rPr>
                <w:lang w:val="en-NZ"/>
              </w:rPr>
            </w:pPr>
            <w:r w:rsidRPr="00C00D12">
              <w:rPr>
                <w:rStyle w:val="SpecialBold"/>
              </w:rPr>
              <w:t>Tools</w:t>
            </w:r>
            <w:r w:rsidRPr="00C00D12">
              <w:t xml:space="preserve"> </w:t>
            </w:r>
          </w:p>
        </w:tc>
        <w:tc>
          <w:tcPr>
            <w:tcW w:w="4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D12">
            <w:pPr>
              <w:pStyle w:val="ListBullet"/>
              <w:rPr>
                <w:lang w:val="en-NZ"/>
              </w:rPr>
            </w:pPr>
            <w:r w:rsidRPr="00C00D12">
              <w:t xml:space="preserve">may include but not be limited to measuring devices, cameras, colour charts and note taking equipment </w:t>
            </w:r>
          </w:p>
        </w:tc>
      </w:tr>
      <w:tr w:rsidTr="0042323A">
        <w:tblPrEx>
          <w:tblW w:w="0" w:type="auto"/>
          <w:tblLayout w:type="fixed"/>
          <w:tblCellMar>
            <w:left w:w="62" w:type="dxa"/>
            <w:right w:w="62" w:type="dxa"/>
          </w:tblCellMar>
          <w:tblLook w:val="0000"/>
        </w:tblPrEx>
        <w:tc>
          <w:tcPr>
            <w:tcW w:w="3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D12">
            <w:pPr>
              <w:pStyle w:val="BodyText"/>
              <w:rPr>
                <w:lang w:val="en-NZ"/>
              </w:rPr>
            </w:pPr>
            <w:r w:rsidRPr="00C00D12">
              <w:rPr>
                <w:rStyle w:val="SpecialBold"/>
              </w:rPr>
              <w:t>Wall construction</w:t>
            </w:r>
          </w:p>
        </w:tc>
        <w:tc>
          <w:tcPr>
            <w:tcW w:w="4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D12">
            <w:pPr>
              <w:pStyle w:val="ListBullet"/>
              <w:rPr>
                <w:lang w:val="en-NZ"/>
              </w:rPr>
            </w:pPr>
            <w:r w:rsidRPr="00C00D12">
              <w:t>may include but not be limited to solid masonry, stud frame, load bearing, non-load bearing and bracing</w:t>
            </w:r>
          </w:p>
        </w:tc>
      </w:tr>
      <w:tr w:rsidTr="0042323A">
        <w:tblPrEx>
          <w:tblW w:w="0" w:type="auto"/>
          <w:tblLayout w:type="fixed"/>
          <w:tblCellMar>
            <w:left w:w="62" w:type="dxa"/>
            <w:right w:w="62" w:type="dxa"/>
          </w:tblCellMar>
          <w:tblLook w:val="0000"/>
        </w:tblPrEx>
        <w:tc>
          <w:tcPr>
            <w:tcW w:w="3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D12">
            <w:pPr>
              <w:pStyle w:val="BodyText"/>
              <w:rPr>
                <w:lang w:val="en-NZ"/>
              </w:rPr>
            </w:pPr>
            <w:r w:rsidRPr="00C00D12">
              <w:rPr>
                <w:rStyle w:val="SpecialBold"/>
              </w:rPr>
              <w:t>Flooring construction</w:t>
            </w:r>
            <w:r w:rsidRPr="00C00D12">
              <w:t xml:space="preserve"> </w:t>
            </w:r>
          </w:p>
        </w:tc>
        <w:tc>
          <w:tcPr>
            <w:tcW w:w="4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D12">
            <w:pPr>
              <w:pStyle w:val="ListBullet"/>
              <w:rPr>
                <w:lang w:val="en-NZ"/>
              </w:rPr>
            </w:pPr>
            <w:r w:rsidRPr="00C00D12">
              <w:t xml:space="preserve">may </w:t>
            </w:r>
            <w:r w:rsidRPr="00C00D12">
              <w:t>include but not be limited to concrete slab, timber, steel and under floor access</w:t>
            </w:r>
          </w:p>
        </w:tc>
      </w:tr>
      <w:tr w:rsidTr="0042323A">
        <w:tblPrEx>
          <w:tblW w:w="0" w:type="auto"/>
          <w:tblLayout w:type="fixed"/>
          <w:tblCellMar>
            <w:left w:w="62" w:type="dxa"/>
            <w:right w:w="62" w:type="dxa"/>
          </w:tblCellMar>
          <w:tblLook w:val="0000"/>
        </w:tblPrEx>
        <w:tc>
          <w:tcPr>
            <w:tcW w:w="3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D12">
            <w:pPr>
              <w:pStyle w:val="BodyText"/>
              <w:rPr>
                <w:lang w:val="en-NZ"/>
              </w:rPr>
            </w:pPr>
            <w:r w:rsidRPr="00C00D12">
              <w:rPr>
                <w:rStyle w:val="SpecialBold"/>
              </w:rPr>
              <w:t>Roof construction</w:t>
            </w:r>
          </w:p>
        </w:tc>
        <w:tc>
          <w:tcPr>
            <w:tcW w:w="4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D12">
            <w:pPr>
              <w:pStyle w:val="ListBullet"/>
              <w:rPr>
                <w:lang w:val="en-NZ"/>
              </w:rPr>
            </w:pPr>
            <w:r w:rsidRPr="00C00D12">
              <w:t>may include but not be limited to rafter and truss construction, sheeted, suspended and underside of floor of level above</w:t>
            </w:r>
          </w:p>
        </w:tc>
      </w:tr>
      <w:tr w:rsidTr="0042323A">
        <w:tblPrEx>
          <w:tblW w:w="0" w:type="auto"/>
          <w:tblLayout w:type="fixed"/>
          <w:tblCellMar>
            <w:left w:w="62" w:type="dxa"/>
            <w:right w:w="62" w:type="dxa"/>
          </w:tblCellMar>
          <w:tblLook w:val="0000"/>
        </w:tblPrEx>
        <w:tc>
          <w:tcPr>
            <w:tcW w:w="3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D12">
            <w:pPr>
              <w:pStyle w:val="BodyText"/>
              <w:rPr>
                <w:lang w:val="en-NZ"/>
              </w:rPr>
            </w:pPr>
            <w:r w:rsidRPr="00C00D12">
              <w:rPr>
                <w:rStyle w:val="SpecialBold"/>
              </w:rPr>
              <w:t>Other structures</w:t>
            </w:r>
            <w:r w:rsidRPr="00C00D12">
              <w:t xml:space="preserve"> </w:t>
            </w:r>
          </w:p>
        </w:tc>
        <w:tc>
          <w:tcPr>
            <w:tcW w:w="4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D12">
            <w:pPr>
              <w:pStyle w:val="ListBullet"/>
              <w:rPr>
                <w:lang w:val="en-NZ"/>
              </w:rPr>
            </w:pPr>
            <w:r w:rsidRPr="00C00D12">
              <w:t xml:space="preserve">may include </w:t>
            </w:r>
            <w:r w:rsidRPr="00C00D12">
              <w:t>but not be limited to beams, lintels and columns</w:t>
            </w:r>
          </w:p>
        </w:tc>
      </w:tr>
      <w:tr w:rsidTr="0042323A">
        <w:tblPrEx>
          <w:tblW w:w="0" w:type="auto"/>
          <w:tblLayout w:type="fixed"/>
          <w:tblCellMar>
            <w:left w:w="62" w:type="dxa"/>
            <w:right w:w="62" w:type="dxa"/>
          </w:tblCellMar>
          <w:tblLook w:val="0000"/>
        </w:tblPrEx>
        <w:tc>
          <w:tcPr>
            <w:tcW w:w="3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D12">
            <w:pPr>
              <w:pStyle w:val="BodyText"/>
              <w:rPr>
                <w:lang w:val="en-NZ"/>
              </w:rPr>
            </w:pPr>
            <w:r w:rsidRPr="00C00D12">
              <w:rPr>
                <w:rStyle w:val="SpecialBold"/>
              </w:rPr>
              <w:t>Materials used in interior walls</w:t>
            </w:r>
          </w:p>
        </w:tc>
        <w:tc>
          <w:tcPr>
            <w:tcW w:w="4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D12">
            <w:pPr>
              <w:pStyle w:val="ListBullet"/>
              <w:rPr>
                <w:lang w:val="en-NZ"/>
              </w:rPr>
            </w:pPr>
            <w:r w:rsidRPr="00C00D12">
              <w:t xml:space="preserve">may include but not be limited to timber (softwood, hardwood), concrete block, brick, </w:t>
            </w:r>
            <w:r w:rsidRPr="00C00D12">
              <w:t>concrete, aerated concrete, plasterboard, fibrous cement products, manufactured timber products, metals, acrylic sheeting and laminate sheeting</w:t>
            </w:r>
          </w:p>
        </w:tc>
      </w:tr>
      <w:tr w:rsidTr="0042323A">
        <w:tblPrEx>
          <w:tblW w:w="0" w:type="auto"/>
          <w:tblLayout w:type="fixed"/>
          <w:tblCellMar>
            <w:left w:w="62" w:type="dxa"/>
            <w:right w:w="62" w:type="dxa"/>
          </w:tblCellMar>
          <w:tblLook w:val="0000"/>
        </w:tblPrEx>
        <w:tc>
          <w:tcPr>
            <w:tcW w:w="3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D12">
            <w:pPr>
              <w:pStyle w:val="BodyText"/>
              <w:rPr>
                <w:lang w:val="en-NZ"/>
              </w:rPr>
            </w:pPr>
            <w:r w:rsidRPr="00C00D12">
              <w:rPr>
                <w:rStyle w:val="SpecialBold"/>
              </w:rPr>
              <w:t>Materials used in flooring</w:t>
            </w:r>
          </w:p>
        </w:tc>
        <w:tc>
          <w:tcPr>
            <w:tcW w:w="4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D12">
            <w:pPr>
              <w:pStyle w:val="ListBullet"/>
              <w:rPr>
                <w:lang w:val="en-NZ"/>
              </w:rPr>
            </w:pPr>
            <w:r w:rsidRPr="00C00D12">
              <w:t>may include but not be limited to concrete, timber, manufactured timber products, h</w:t>
            </w:r>
            <w:r w:rsidRPr="00C00D12">
              <w:t>ard floor finishes (types including ceramic tiles and floating floor systems) and soft floor coverings</w:t>
            </w:r>
          </w:p>
        </w:tc>
      </w:tr>
      <w:tr w:rsidTr="0042323A">
        <w:tblPrEx>
          <w:tblW w:w="0" w:type="auto"/>
          <w:tblLayout w:type="fixed"/>
          <w:tblCellMar>
            <w:left w:w="62" w:type="dxa"/>
            <w:right w:w="62" w:type="dxa"/>
          </w:tblCellMar>
          <w:tblLook w:val="0000"/>
        </w:tblPrEx>
        <w:tc>
          <w:tcPr>
            <w:tcW w:w="3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D12">
            <w:pPr>
              <w:pStyle w:val="BodyText"/>
              <w:rPr>
                <w:lang w:val="en-NZ"/>
              </w:rPr>
            </w:pPr>
            <w:r w:rsidRPr="00C00D12">
              <w:rPr>
                <w:rStyle w:val="SpecialBold"/>
              </w:rPr>
              <w:t>Other materials</w:t>
            </w:r>
          </w:p>
        </w:tc>
        <w:tc>
          <w:tcPr>
            <w:tcW w:w="4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D12">
            <w:pPr>
              <w:pStyle w:val="ListBullet"/>
              <w:rPr>
                <w:lang w:val="en-NZ"/>
              </w:rPr>
            </w:pPr>
            <w:r w:rsidRPr="00C00D12">
              <w:t>may include but not be limited to building products of all types used for the manufacture of beams, columns, windows, doors, railings a</w:t>
            </w:r>
            <w:r w:rsidRPr="00C00D12">
              <w:t>nd finishing trims, manufactured from solid timber (native and imported), manufactured timber products, plastic, metal, alloys, stones, glass, fibreglass, foam, cardboard, paper products or any other manipulable substance</w:t>
            </w:r>
          </w:p>
        </w:tc>
      </w:tr>
      <w:tr w:rsidTr="0042323A">
        <w:tblPrEx>
          <w:tblW w:w="0" w:type="auto"/>
          <w:tblLayout w:type="fixed"/>
          <w:tblCellMar>
            <w:left w:w="62" w:type="dxa"/>
            <w:right w:w="62" w:type="dxa"/>
          </w:tblCellMar>
          <w:tblLook w:val="0000"/>
        </w:tblPrEx>
        <w:tc>
          <w:tcPr>
            <w:tcW w:w="3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D12">
            <w:pPr>
              <w:pStyle w:val="BodyText"/>
              <w:rPr>
                <w:lang w:val="en-NZ"/>
              </w:rPr>
            </w:pPr>
            <w:r w:rsidRPr="00C00D12">
              <w:rPr>
                <w:rStyle w:val="SpecialBold"/>
              </w:rPr>
              <w:t>Properties</w:t>
            </w:r>
          </w:p>
        </w:tc>
        <w:tc>
          <w:tcPr>
            <w:tcW w:w="4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D12">
            <w:pPr>
              <w:pStyle w:val="ListBullet"/>
              <w:rPr>
                <w:lang w:val="en-NZ"/>
              </w:rPr>
            </w:pPr>
            <w:r w:rsidRPr="00C00D12">
              <w:t>may include bu</w:t>
            </w:r>
            <w:r w:rsidRPr="00C00D12">
              <w:t>t not be limited to principles of structural systems, terminology, modification capability, compression, tension, shear, bending, twisting, wind forces, durability, level of fire retardancy, fibre make up, composition, material use, finishes, quality, envi</w:t>
            </w:r>
            <w:r w:rsidRPr="00C00D12">
              <w:t>ronmental sustainability, ergonomics, flammability, maintenance requirements, wear and tear and construction methods</w:t>
            </w:r>
          </w:p>
        </w:tc>
      </w:tr>
      <w:tr w:rsidTr="0042323A">
        <w:tblPrEx>
          <w:tblW w:w="0" w:type="auto"/>
          <w:tblLayout w:type="fixed"/>
          <w:tblCellMar>
            <w:left w:w="62" w:type="dxa"/>
            <w:right w:w="62" w:type="dxa"/>
          </w:tblCellMar>
          <w:tblLook w:val="0000"/>
        </w:tblPrEx>
        <w:tc>
          <w:tcPr>
            <w:tcW w:w="3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D12">
            <w:pPr>
              <w:pStyle w:val="BodyText"/>
              <w:rPr>
                <w:lang w:val="en-NZ"/>
              </w:rPr>
            </w:pPr>
            <w:r w:rsidRPr="00C00D12">
              <w:rPr>
                <w:rStyle w:val="SpecialBold"/>
              </w:rPr>
              <w:t>Features of electrical service</w:t>
            </w:r>
          </w:p>
        </w:tc>
        <w:tc>
          <w:tcPr>
            <w:tcW w:w="4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D12">
            <w:pPr>
              <w:pStyle w:val="ListBullet"/>
              <w:rPr>
                <w:lang w:val="en-NZ"/>
              </w:rPr>
            </w:pPr>
            <w:r w:rsidRPr="00C00D12">
              <w:t>may include but not be limited to approximate age of electrical distribution board, number of circuits, sa</w:t>
            </w:r>
            <w:r w:rsidRPr="00C00D12">
              <w:t>fety switches, circuit breakers, signs of rewiring, position and number of power outlets, position and number of lights, data and communications cabling</w:t>
            </w:r>
          </w:p>
        </w:tc>
      </w:tr>
      <w:tr w:rsidTr="0042323A">
        <w:tblPrEx>
          <w:tblW w:w="0" w:type="auto"/>
          <w:tblLayout w:type="fixed"/>
          <w:tblCellMar>
            <w:left w:w="62" w:type="dxa"/>
            <w:right w:w="62" w:type="dxa"/>
          </w:tblCellMar>
          <w:tblLook w:val="0000"/>
        </w:tblPrEx>
        <w:tc>
          <w:tcPr>
            <w:tcW w:w="3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D12">
            <w:pPr>
              <w:pStyle w:val="BodyText"/>
              <w:rPr>
                <w:lang w:val="en-NZ"/>
              </w:rPr>
            </w:pPr>
            <w:r w:rsidRPr="00C00D12">
              <w:rPr>
                <w:rStyle w:val="SpecialBold"/>
              </w:rPr>
              <w:t>Other services</w:t>
            </w:r>
          </w:p>
        </w:tc>
        <w:tc>
          <w:tcPr>
            <w:tcW w:w="4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D12">
            <w:pPr>
              <w:pStyle w:val="ListBullet"/>
              <w:rPr>
                <w:lang w:val="en-NZ"/>
              </w:rPr>
            </w:pPr>
            <w:r w:rsidRPr="00C00D12">
              <w:t xml:space="preserve">may include but not be limited to gas, data, communications, air extraction and </w:t>
            </w:r>
            <w:r w:rsidRPr="00C00D12">
              <w:t>conditioning</w:t>
            </w:r>
          </w:p>
        </w:tc>
      </w:tr>
      <w:tr w:rsidTr="0042323A">
        <w:tblPrEx>
          <w:tblW w:w="0" w:type="auto"/>
          <w:tblLayout w:type="fixed"/>
          <w:tblCellMar>
            <w:left w:w="62" w:type="dxa"/>
            <w:right w:w="62" w:type="dxa"/>
          </w:tblCellMar>
          <w:tblLook w:val="0000"/>
        </w:tblPrEx>
        <w:tc>
          <w:tcPr>
            <w:tcW w:w="3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D12">
            <w:pPr>
              <w:pStyle w:val="BodyText"/>
              <w:rPr>
                <w:lang w:val="en-NZ"/>
              </w:rPr>
            </w:pPr>
            <w:r w:rsidRPr="00C00D12">
              <w:rPr>
                <w:rStyle w:val="SpecialBold"/>
              </w:rPr>
              <w:t>Specialist professionals</w:t>
            </w:r>
            <w:r w:rsidRPr="00C00D12">
              <w:t xml:space="preserve"> </w:t>
            </w:r>
          </w:p>
        </w:tc>
        <w:tc>
          <w:tcPr>
            <w:tcW w:w="4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D12">
            <w:pPr>
              <w:pStyle w:val="ListBullet"/>
              <w:rPr>
                <w:lang w:val="en-NZ"/>
              </w:rPr>
            </w:pPr>
            <w:r w:rsidRPr="00C00D12">
              <w:t xml:space="preserve">may include but not be limited to engineers, plumbers, electricians, communications consultants, licensed builders and architects </w:t>
            </w:r>
          </w:p>
        </w:tc>
      </w:tr>
      <w:tr w:rsidTr="0042323A">
        <w:tblPrEx>
          <w:tblW w:w="0" w:type="auto"/>
          <w:tblLayout w:type="fixed"/>
          <w:tblCellMar>
            <w:left w:w="62" w:type="dxa"/>
            <w:right w:w="62" w:type="dxa"/>
          </w:tblCellMar>
          <w:tblLook w:val="0000"/>
        </w:tblPrEx>
        <w:tc>
          <w:tcPr>
            <w:tcW w:w="3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D12">
            <w:pPr>
              <w:pStyle w:val="BodyText"/>
              <w:rPr>
                <w:lang w:val="en-NZ"/>
              </w:rPr>
            </w:pPr>
            <w:r w:rsidRPr="00C00D12">
              <w:rPr>
                <w:rStyle w:val="SpecialBold"/>
              </w:rPr>
              <w:t>Longevity and restorability</w:t>
            </w:r>
          </w:p>
        </w:tc>
        <w:tc>
          <w:tcPr>
            <w:tcW w:w="4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D12">
            <w:pPr>
              <w:pStyle w:val="ListBullet"/>
              <w:rPr>
                <w:lang w:val="en-NZ"/>
              </w:rPr>
            </w:pPr>
            <w:r w:rsidRPr="00C00D12">
              <w:t>may include but not be limited to an analysis of how l</w:t>
            </w:r>
            <w:r w:rsidRPr="00C00D12">
              <w:t>ong the material is expected to maintain its structure and colour, while maintaining quality of aesthetic value and how readily the material can be repaired or replaced</w:t>
            </w:r>
          </w:p>
        </w:tc>
      </w:tr>
      <w:tr w:rsidTr="0042323A">
        <w:tblPrEx>
          <w:tblW w:w="0" w:type="auto"/>
          <w:tblLayout w:type="fixed"/>
          <w:tblCellMar>
            <w:left w:w="62" w:type="dxa"/>
            <w:right w:w="62" w:type="dxa"/>
          </w:tblCellMar>
          <w:tblLook w:val="0000"/>
        </w:tblPrEx>
        <w:tc>
          <w:tcPr>
            <w:tcW w:w="3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D12">
            <w:pPr>
              <w:pStyle w:val="BodyText"/>
              <w:rPr>
                <w:lang w:val="en-NZ"/>
              </w:rPr>
            </w:pPr>
            <w:r w:rsidRPr="00C00D12">
              <w:rPr>
                <w:rStyle w:val="SpecialBold"/>
              </w:rPr>
              <w:t>Environmental considerations</w:t>
            </w:r>
          </w:p>
        </w:tc>
        <w:tc>
          <w:tcPr>
            <w:tcW w:w="4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0D12" w:rsidP="00C00D12">
            <w:pPr>
              <w:pStyle w:val="ListBullet"/>
            </w:pPr>
            <w:r w:rsidRPr="00C00D12">
              <w:t>may include but not be limited to design sustainability,</w:t>
            </w:r>
            <w:r w:rsidRPr="00C00D12">
              <w:t xml:space="preserve"> how the use of raw materials effects the ecology and environment and how its continued use will effect the area it has been sourced from, energy consumption in achieving the material, green house gases created, waste levels, resource utilisation and trans</w:t>
            </w:r>
            <w:r w:rsidRPr="00C00D12">
              <w:t>port effects. Similarly what impact will be felt by reducing or stopping material from the source</w:t>
            </w:r>
          </w:p>
        </w:tc>
      </w:tr>
    </w:tbl>
    <w:p w:rsidR="0042323A" w:rsidP="00C00D12">
      <w:pPr>
        <w:pStyle w:val="BodyText"/>
      </w:pPr>
    </w:p>
    <w:p w:rsidR="0042323A" w:rsidP="00C00D12">
      <w:pPr>
        <w:pStyle w:val="BodyText"/>
      </w:pPr>
    </w:p>
    <w:p w:rsidR="00000000" w:rsidRPr="00C00D12" w:rsidP="00C00D12">
      <w:pPr>
        <w:pStyle w:val="Heading1"/>
      </w:pPr>
      <w:bookmarkStart w:id="12" w:name="O_90530"/>
      <w:bookmarkEnd w:id="12"/>
      <w:r w:rsidRPr="00C00D12">
        <w:t>Unit Sector(s)</w:t>
      </w:r>
    </w:p>
    <w:tbl>
      <w:tblPr>
        <w:tblW w:w="0" w:type="auto"/>
        <w:tblLayout w:type="fixed"/>
        <w:tblCellMar>
          <w:left w:w="62" w:type="dxa"/>
          <w:right w:w="62" w:type="dxa"/>
        </w:tblCellMar>
        <w:tblLook w:val="0000"/>
      </w:tblPr>
      <w:tblGrid>
        <w:gridCol w:w="2620"/>
        <w:gridCol w:w="5902"/>
      </w:tblGrid>
      <w:tr w:rsidTr="0042323A">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D12">
            <w:pPr>
              <w:pStyle w:val="BodyText"/>
              <w:rPr>
                <w:lang w:val="en-NZ"/>
              </w:rPr>
            </w:pPr>
            <w:r w:rsidRPr="00C00D12">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0D12" w:rsidP="00C00D12">
            <w:pPr>
              <w:pStyle w:val="BodyText"/>
            </w:pPr>
            <w:r w:rsidRPr="00C00D12">
              <w:t>Interior decoration and design.</w:t>
            </w:r>
          </w:p>
        </w:tc>
      </w:tr>
    </w:tbl>
    <w:p w:rsidR="00000000" w:rsidRPr="00C00D12" w:rsidP="00C00D12">
      <w:pPr>
        <w:pStyle w:val="BodyText"/>
      </w:pPr>
    </w:p>
    <w:p w:rsidR="00000000" w:rsidRPr="00C00D12" w:rsidP="00C00D12">
      <w:pPr>
        <w:pStyle w:val="AllowPageBreak"/>
      </w:pPr>
    </w:p>
    <w:p w:rsidR="00000000" w:rsidRPr="00C00D12" w:rsidP="00C00D12">
      <w:pPr>
        <w:pStyle w:val="Heading1"/>
      </w:pPr>
      <w:bookmarkStart w:id="13" w:name="O_158310"/>
      <w:bookmarkEnd w:id="13"/>
      <w:r w:rsidRPr="00C00D12">
        <w:t>Competency field</w:t>
      </w:r>
    </w:p>
    <w:tbl>
      <w:tblPr>
        <w:tblW w:w="0" w:type="auto"/>
        <w:tblLayout w:type="fixed"/>
        <w:tblCellMar>
          <w:left w:w="62" w:type="dxa"/>
          <w:right w:w="62" w:type="dxa"/>
        </w:tblCellMar>
        <w:tblLook w:val="0000"/>
      </w:tblPr>
      <w:tblGrid>
        <w:gridCol w:w="2784"/>
        <w:gridCol w:w="5738"/>
      </w:tblGrid>
      <w:tr w:rsidTr="0042323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D12">
            <w:pPr>
              <w:pStyle w:val="BodyText"/>
              <w:rPr>
                <w:lang w:val="en-NZ"/>
              </w:rPr>
            </w:pPr>
            <w:r w:rsidRPr="00C00D1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0D12" w:rsidP="00C00D12">
            <w:pPr>
              <w:pStyle w:val="BodyText"/>
            </w:pPr>
          </w:p>
        </w:tc>
      </w:tr>
    </w:tbl>
    <w:p w:rsidR="00000000" w:rsidRPr="00C00D12" w:rsidP="00C00D12">
      <w:pPr>
        <w:pStyle w:val="BodyText"/>
      </w:pPr>
    </w:p>
    <w:p w:rsidR="00000000" w:rsidRPr="00C00D12" w:rsidP="00C00D12">
      <w:pPr>
        <w:pStyle w:val="AllowPageBreak"/>
      </w:pPr>
    </w:p>
    <w:p w:rsidR="00000000" w:rsidRPr="00C00D12" w:rsidP="00C00D12">
      <w:pPr>
        <w:pStyle w:val="Heading1"/>
      </w:pPr>
      <w:bookmarkStart w:id="14" w:name="O_158309"/>
      <w:bookmarkEnd w:id="14"/>
      <w:r w:rsidRPr="00C00D12">
        <w:t>Co-requisite units</w:t>
      </w:r>
    </w:p>
    <w:tbl>
      <w:tblPr>
        <w:tblW w:w="0" w:type="auto"/>
        <w:tblLayout w:type="fixed"/>
        <w:tblCellMar>
          <w:left w:w="62" w:type="dxa"/>
          <w:right w:w="62" w:type="dxa"/>
        </w:tblCellMar>
        <w:tblLook w:val="0000"/>
      </w:tblPr>
      <w:tblGrid>
        <w:gridCol w:w="2641"/>
        <w:gridCol w:w="1322"/>
        <w:gridCol w:w="4559"/>
      </w:tblGrid>
      <w:tr w:rsidTr="0042323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D12">
            <w:pPr>
              <w:pStyle w:val="BodyText"/>
              <w:rPr>
                <w:lang w:val="en-NZ"/>
              </w:rPr>
            </w:pPr>
            <w:r w:rsidRPr="00C00D1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D12">
            <w:pPr>
              <w:pStyle w:val="BodyText"/>
              <w:rPr>
                <w:lang w:val="en-NZ"/>
              </w:rPr>
            </w:pPr>
          </w:p>
        </w:tc>
      </w:tr>
      <w:tr w:rsidTr="0042323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D12">
            <w:pPr>
              <w:pStyle w:val="BodyText"/>
              <w:rPr>
                <w:lang w:val="en-NZ"/>
              </w:rPr>
            </w:pPr>
          </w:p>
        </w:tc>
      </w:tr>
      <w:tr w:rsidTr="0042323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0D12" w:rsidP="00C00D12">
            <w:pPr>
              <w:pStyle w:val="BodyText"/>
            </w:pPr>
          </w:p>
        </w:tc>
      </w:tr>
    </w:tbl>
    <w:p w:rsidR="00000000" w:rsidRPr="00C00D12" w:rsidP="00C00D12">
      <w:pPr>
        <w:pStyle w:val="BodyText"/>
      </w:pPr>
    </w:p>
    <w:p w:rsidR="00000000" w:rsidRPr="00C00D12" w:rsidP="00C00D12"/>
    <w:sectPr w:rsidSect="00C00D1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D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2323A" w:rsidP="004232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D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23A" w:rsidP="00C00D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2323A" w:rsidP="00C00D1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2323A" w:rsidP="00C00D1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D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2323A" w:rsidP="0042323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D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23A" w:rsidP="00C00D12">
    <w:pPr>
      <w:pStyle w:val="Header"/>
      <w:framePr w:wrap="around"/>
    </w:pPr>
    <w:r>
      <w:fldChar w:fldCharType="begin"/>
    </w:r>
    <w:r>
      <w:instrText xml:space="preserve"> TITLE   \* MERGEFORMAT </w:instrText>
    </w:r>
    <w:r>
      <w:fldChar w:fldCharType="separate"/>
    </w:r>
    <w:r>
      <w:t>LMFID5003A Evaluate site for interior design brief</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2323A" w:rsidP="00C00D1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590D3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06047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AAEAF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0D1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00D12"/>
    <w:pPr>
      <w:spacing w:before="360" w:after="60"/>
      <w:outlineLvl w:val="0"/>
    </w:pPr>
    <w:rPr>
      <w:sz w:val="32"/>
    </w:rPr>
  </w:style>
  <w:style w:type="paragraph" w:styleId="Heading2">
    <w:name w:val="heading 2"/>
    <w:basedOn w:val="HeadingBase"/>
    <w:next w:val="BodyText"/>
    <w:link w:val="Heading2Char"/>
    <w:qFormat/>
    <w:rsid w:val="00C00D12"/>
    <w:pPr>
      <w:keepLines/>
      <w:spacing w:before="240" w:after="120"/>
      <w:outlineLvl w:val="1"/>
    </w:pPr>
    <w:rPr>
      <w:sz w:val="28"/>
      <w:szCs w:val="40"/>
    </w:rPr>
  </w:style>
  <w:style w:type="paragraph" w:styleId="Heading3">
    <w:name w:val="heading 3"/>
    <w:basedOn w:val="HeadingBase"/>
    <w:next w:val="BodyText"/>
    <w:link w:val="Heading3Char"/>
    <w:qFormat/>
    <w:rsid w:val="00C00D12"/>
    <w:pPr>
      <w:spacing w:before="180" w:after="120"/>
      <w:outlineLvl w:val="2"/>
    </w:pPr>
    <w:rPr>
      <w:spacing w:val="-10"/>
      <w:kern w:val="32"/>
    </w:rPr>
  </w:style>
  <w:style w:type="paragraph" w:styleId="Heading4">
    <w:name w:val="heading 4"/>
    <w:basedOn w:val="HeadingBase"/>
    <w:next w:val="BodyText"/>
    <w:link w:val="Heading4Char"/>
    <w:qFormat/>
    <w:rsid w:val="00C00D12"/>
    <w:pPr>
      <w:spacing w:before="160" w:after="120"/>
      <w:outlineLvl w:val="3"/>
    </w:pPr>
    <w:rPr>
      <w:sz w:val="22"/>
    </w:rPr>
  </w:style>
  <w:style w:type="paragraph" w:styleId="Heading5">
    <w:name w:val="heading 5"/>
    <w:basedOn w:val="HeadingBase"/>
    <w:next w:val="Normal"/>
    <w:link w:val="Heading5Char"/>
    <w:qFormat/>
    <w:rsid w:val="00C00D12"/>
    <w:pPr>
      <w:spacing w:before="80"/>
      <w:outlineLvl w:val="4"/>
    </w:pPr>
    <w:rPr>
      <w:color w:val="918585"/>
      <w:sz w:val="20"/>
    </w:rPr>
  </w:style>
  <w:style w:type="paragraph" w:styleId="Heading6">
    <w:name w:val="heading 6"/>
    <w:basedOn w:val="HeadingBase"/>
    <w:next w:val="Normal"/>
    <w:link w:val="Heading6Char"/>
    <w:qFormat/>
    <w:rsid w:val="00C00D12"/>
    <w:pPr>
      <w:spacing w:before="60"/>
      <w:outlineLvl w:val="5"/>
    </w:pPr>
    <w:rPr>
      <w:color w:val="918585"/>
      <w:sz w:val="20"/>
    </w:rPr>
  </w:style>
  <w:style w:type="paragraph" w:styleId="Heading7">
    <w:name w:val="heading 7"/>
    <w:basedOn w:val="Normal"/>
    <w:next w:val="Normal"/>
    <w:link w:val="Heading7Char"/>
    <w:qFormat/>
    <w:rsid w:val="00C00D12"/>
    <w:pPr>
      <w:ind w:left="720"/>
      <w:outlineLvl w:val="6"/>
    </w:pPr>
    <w:rPr>
      <w:i/>
    </w:rPr>
  </w:style>
  <w:style w:type="paragraph" w:styleId="Heading8">
    <w:name w:val="heading 8"/>
    <w:basedOn w:val="Normal"/>
    <w:next w:val="Normal"/>
    <w:link w:val="Heading8Char"/>
    <w:qFormat/>
    <w:rsid w:val="00C00D12"/>
    <w:pPr>
      <w:ind w:left="720"/>
      <w:outlineLvl w:val="7"/>
    </w:pPr>
    <w:rPr>
      <w:i/>
    </w:rPr>
  </w:style>
  <w:style w:type="paragraph" w:styleId="Heading9">
    <w:name w:val="heading 9"/>
    <w:basedOn w:val="Normal"/>
    <w:next w:val="Normal"/>
    <w:link w:val="Heading9Char"/>
    <w:qFormat/>
    <w:rsid w:val="00C00D12"/>
    <w:pPr>
      <w:ind w:left="720"/>
      <w:outlineLvl w:val="8"/>
    </w:pPr>
    <w:rPr>
      <w:i/>
    </w:rPr>
  </w:style>
  <w:style w:type="character" w:default="1" w:styleId="DefaultParagraphFont">
    <w:name w:val="Default Paragraph Font"/>
    <w:uiPriority w:val="1"/>
    <w:unhideWhenUsed/>
    <w:rsid w:val="00C00D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0D12"/>
  </w:style>
  <w:style w:type="character" w:customStyle="1" w:styleId="Heading1Char">
    <w:name w:val="Heading 1 Char"/>
    <w:basedOn w:val="DefaultParagraphFont"/>
    <w:link w:val="Heading1"/>
    <w:rsid w:val="00C00D12"/>
    <w:rPr>
      <w:rFonts w:ascii="Times New Roman" w:eastAsia="Times New Roman" w:hAnsi="Times New Roman" w:cs="Times New Roman"/>
      <w:b/>
      <w:sz w:val="32"/>
      <w:szCs w:val="20"/>
      <w:lang w:eastAsia="en-US"/>
    </w:rPr>
  </w:style>
  <w:style w:type="paragraph" w:styleId="BodyText">
    <w:name w:val="Body Text"/>
    <w:basedOn w:val="Normal"/>
    <w:link w:val="BodyTextChar"/>
    <w:rsid w:val="00C00D1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00D12"/>
    <w:rPr>
      <w:rFonts w:ascii="Times New Roman" w:eastAsia="Times New Roman" w:hAnsi="Times New Roman" w:cs="Times New Roman"/>
      <w:sz w:val="24"/>
      <w:lang w:val="en-US" w:eastAsia="en-US"/>
    </w:rPr>
  </w:style>
  <w:style w:type="paragraph" w:styleId="Footer">
    <w:name w:val="footer"/>
    <w:basedOn w:val="Normal"/>
    <w:link w:val="FooterChar"/>
    <w:rsid w:val="00C00D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0D12"/>
    <w:rPr>
      <w:rFonts w:ascii="Times New Roman" w:eastAsia="Times New Roman" w:hAnsi="Times New Roman" w:cs="Times New Roman"/>
      <w:sz w:val="16"/>
      <w:lang w:val="en-US" w:eastAsia="en-US"/>
    </w:rPr>
  </w:style>
  <w:style w:type="paragraph" w:styleId="List">
    <w:name w:val="List"/>
    <w:basedOn w:val="BodyText"/>
    <w:next w:val="BodyText"/>
    <w:rsid w:val="00C00D12"/>
    <w:pPr>
      <w:tabs>
        <w:tab w:val="left" w:pos="340"/>
      </w:tabs>
      <w:spacing w:before="60" w:after="60"/>
      <w:ind w:left="340" w:hanging="340"/>
    </w:pPr>
  </w:style>
  <w:style w:type="paragraph" w:styleId="ListBullet">
    <w:name w:val="List Bullet"/>
    <w:basedOn w:val="List"/>
    <w:rsid w:val="00C00D12"/>
    <w:pPr>
      <w:numPr>
        <w:numId w:val="13"/>
      </w:numPr>
      <w:tabs>
        <w:tab w:val="clear" w:pos="340"/>
      </w:tabs>
      <w:spacing w:before="40" w:after="40"/>
    </w:pPr>
  </w:style>
  <w:style w:type="character" w:customStyle="1" w:styleId="SpecialBold">
    <w:name w:val="Special Bold"/>
    <w:basedOn w:val="DefaultParagraphFont"/>
    <w:rsid w:val="00C00D12"/>
    <w:rPr>
      <w:b/>
      <w:spacing w:val="0"/>
    </w:rPr>
  </w:style>
  <w:style w:type="paragraph" w:styleId="ListBullet2">
    <w:name w:val="List Bullet 2"/>
    <w:basedOn w:val="List2"/>
    <w:rsid w:val="00C00D12"/>
    <w:pPr>
      <w:numPr>
        <w:numId w:val="14"/>
      </w:numPr>
      <w:tabs>
        <w:tab w:val="clear" w:pos="680"/>
      </w:tabs>
    </w:pPr>
  </w:style>
  <w:style w:type="paragraph" w:styleId="Header">
    <w:name w:val="header"/>
    <w:basedOn w:val="Normal"/>
    <w:link w:val="HeaderChar"/>
    <w:rsid w:val="00C00D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0D1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00D12"/>
    <w:pPr>
      <w:spacing w:before="240" w:after="120"/>
      <w:outlineLvl w:val="0"/>
    </w:pPr>
    <w:rPr>
      <w:rFonts w:ascii="Times New Roman" w:hAnsi="Times New Roman"/>
      <w:b/>
      <w:sz w:val="28"/>
    </w:rPr>
  </w:style>
  <w:style w:type="paragraph" w:customStyle="1" w:styleId="AllowPageBreak">
    <w:name w:val="AllowPageBreak"/>
    <w:rsid w:val="00C00D1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00D12"/>
    <w:pPr>
      <w:tabs>
        <w:tab w:val="left" w:pos="680"/>
      </w:tabs>
      <w:spacing w:before="60" w:after="60"/>
      <w:ind w:left="680" w:hanging="340"/>
    </w:pPr>
  </w:style>
  <w:style w:type="character" w:customStyle="1" w:styleId="BoldandItalics">
    <w:name w:val="Bold and Italics"/>
    <w:qFormat/>
    <w:rsid w:val="00C00D12"/>
    <w:rPr>
      <w:b/>
      <w:i/>
      <w:u w:val="none"/>
    </w:rPr>
  </w:style>
  <w:style w:type="character" w:customStyle="1" w:styleId="Heading2Char">
    <w:name w:val="Heading 2 Char"/>
    <w:basedOn w:val="DefaultParagraphFont"/>
    <w:link w:val="Heading2"/>
    <w:rsid w:val="00C00D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0D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0D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0D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0D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0D1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00D1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00D12"/>
    <w:rPr>
      <w:rFonts w:ascii="Courier New" w:eastAsia="Times New Roman" w:hAnsi="Courier New" w:cs="Times New Roman"/>
      <w:i/>
      <w:szCs w:val="20"/>
      <w:lang w:val="en-US" w:eastAsia="en-US"/>
    </w:rPr>
  </w:style>
  <w:style w:type="paragraph" w:customStyle="1" w:styleId="HeadingBase">
    <w:name w:val="Heading Base"/>
    <w:rsid w:val="00C00D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0D12"/>
    <w:pPr>
      <w:tabs>
        <w:tab w:val="right" w:leader="dot" w:pos="9072"/>
      </w:tabs>
      <w:ind w:left="567"/>
    </w:pPr>
    <w:rPr>
      <w:szCs w:val="22"/>
    </w:rPr>
  </w:style>
  <w:style w:type="paragraph" w:customStyle="1" w:styleId="TOCBase">
    <w:name w:val="TOC Base"/>
    <w:rsid w:val="00C00D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0D12"/>
    <w:pPr>
      <w:tabs>
        <w:tab w:val="right" w:leader="dot" w:pos="9072"/>
      </w:tabs>
      <w:spacing w:before="40" w:after="40"/>
      <w:ind w:left="284"/>
    </w:pPr>
    <w:rPr>
      <w:rFonts w:ascii="Times New Roman" w:hAnsi="Times New Roman"/>
    </w:rPr>
  </w:style>
  <w:style w:type="paragraph" w:styleId="TOC1">
    <w:name w:val="toc 1"/>
    <w:basedOn w:val="TOCBase"/>
    <w:next w:val="Normal"/>
    <w:rsid w:val="00C00D1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00D12"/>
    <w:pPr>
      <w:spacing w:before="5040"/>
      <w:jc w:val="center"/>
    </w:pPr>
    <w:rPr>
      <w:sz w:val="48"/>
      <w:szCs w:val="72"/>
      <w:lang w:val="en-US"/>
    </w:rPr>
  </w:style>
  <w:style w:type="character" w:customStyle="1" w:styleId="TitleChar">
    <w:name w:val="Title Char"/>
    <w:basedOn w:val="DefaultParagraphFont"/>
    <w:link w:val="Title"/>
    <w:rsid w:val="00C00D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0D12"/>
    <w:pPr>
      <w:tabs>
        <w:tab w:val="left" w:pos="3600"/>
        <w:tab w:val="left" w:pos="3958"/>
      </w:tabs>
    </w:pPr>
  </w:style>
  <w:style w:type="paragraph" w:customStyle="1" w:styleId="Note">
    <w:name w:val="Note"/>
    <w:basedOn w:val="BodyText"/>
    <w:rsid w:val="00C00D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0D12"/>
    <w:pPr>
      <w:framePr w:wrap="auto" w:hAnchor="text" w:y="6049"/>
    </w:pPr>
    <w:rPr>
      <w:color w:val="000000"/>
      <w:sz w:val="40"/>
    </w:rPr>
  </w:style>
  <w:style w:type="paragraph" w:customStyle="1" w:styleId="TOCTitle">
    <w:name w:val="TOCTitle"/>
    <w:basedOn w:val="Heading1"/>
    <w:rsid w:val="00C00D12"/>
    <w:pPr>
      <w:spacing w:after="240"/>
      <w:jc w:val="center"/>
      <w:outlineLvl w:val="9"/>
    </w:pPr>
    <w:rPr>
      <w:caps/>
    </w:rPr>
  </w:style>
  <w:style w:type="paragraph" w:customStyle="1" w:styleId="Version">
    <w:name w:val="Version"/>
    <w:rsid w:val="00C00D1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0D12"/>
    <w:pPr>
      <w:keepNext w:val="0"/>
      <w:tabs>
        <w:tab w:val="right" w:pos="4176"/>
      </w:tabs>
      <w:ind w:left="198" w:hanging="198"/>
    </w:pPr>
    <w:rPr>
      <w:rFonts w:ascii="Garamond" w:hAnsi="Garamond"/>
    </w:rPr>
  </w:style>
  <w:style w:type="paragraph" w:styleId="IndexHeading">
    <w:name w:val="index heading"/>
    <w:basedOn w:val="Normal"/>
    <w:next w:val="Index1"/>
    <w:semiHidden/>
    <w:rsid w:val="00C00D12"/>
    <w:pPr>
      <w:spacing w:before="120" w:after="120"/>
    </w:pPr>
    <w:rPr>
      <w:rFonts w:ascii="Arial" w:hAnsi="Arial"/>
      <w:b/>
      <w:color w:val="918585"/>
      <w:sz w:val="24"/>
    </w:rPr>
  </w:style>
  <w:style w:type="paragraph" w:customStyle="1" w:styleId="Chapter">
    <w:name w:val="Chapter"/>
    <w:basedOn w:val="Normal"/>
    <w:rsid w:val="00C00D12"/>
    <w:pPr>
      <w:spacing w:before="240"/>
    </w:pPr>
    <w:rPr>
      <w:rFonts w:ascii="Times New Roman" w:hAnsi="Times New Roman"/>
      <w:smallCaps/>
      <w:spacing w:val="80"/>
      <w:sz w:val="28"/>
    </w:rPr>
  </w:style>
  <w:style w:type="paragraph" w:customStyle="1" w:styleId="InChapter">
    <w:name w:val="InChapter"/>
    <w:basedOn w:val="Heading3"/>
    <w:rsid w:val="00C00D12"/>
    <w:pPr>
      <w:spacing w:after="240"/>
      <w:outlineLvl w:val="9"/>
    </w:pPr>
    <w:rPr>
      <w:noProof/>
    </w:rPr>
  </w:style>
  <w:style w:type="paragraph" w:styleId="Index2">
    <w:name w:val="index 2"/>
    <w:basedOn w:val="Normal"/>
    <w:next w:val="Normal"/>
    <w:semiHidden/>
    <w:rsid w:val="00C00D12"/>
    <w:pPr>
      <w:tabs>
        <w:tab w:val="right" w:pos="4176"/>
      </w:tabs>
      <w:ind w:left="568" w:hanging="284"/>
    </w:pPr>
    <w:rPr>
      <w:rFonts w:ascii="Garamond" w:hAnsi="Garamond"/>
    </w:rPr>
  </w:style>
  <w:style w:type="paragraph" w:customStyle="1" w:styleId="Byline">
    <w:name w:val="Byline"/>
    <w:rsid w:val="00C00D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0D12"/>
    <w:pPr>
      <w:tabs>
        <w:tab w:val="clear" w:pos="3600"/>
        <w:tab w:val="clear" w:pos="3958"/>
      </w:tabs>
      <w:jc w:val="right"/>
    </w:pPr>
  </w:style>
  <w:style w:type="character" w:styleId="Emphasis">
    <w:name w:val="Emphasis"/>
    <w:basedOn w:val="DefaultParagraphFont"/>
    <w:qFormat/>
    <w:rsid w:val="00C00D12"/>
    <w:rPr>
      <w:i/>
    </w:rPr>
  </w:style>
  <w:style w:type="paragraph" w:styleId="Caption">
    <w:name w:val="caption"/>
    <w:basedOn w:val="BodyText"/>
    <w:next w:val="Normal"/>
    <w:qFormat/>
    <w:rsid w:val="00C00D12"/>
    <w:pPr>
      <w:framePr w:w="2268" w:hSpace="181" w:vSpace="181" w:wrap="around" w:vAnchor="text" w:hAnchor="page" w:x="1135" w:y="285" w:anchorLock="1"/>
    </w:pPr>
    <w:rPr>
      <w:i/>
    </w:rPr>
  </w:style>
  <w:style w:type="paragraph" w:customStyle="1" w:styleId="MiniTOCTitle">
    <w:name w:val="MiniTOCTitle"/>
    <w:basedOn w:val="Heading4"/>
    <w:rsid w:val="00C00D12"/>
    <w:pPr>
      <w:spacing w:before="240"/>
      <w:outlineLvl w:val="9"/>
    </w:pPr>
    <w:rPr>
      <w:noProof/>
      <w:sz w:val="24"/>
    </w:rPr>
  </w:style>
  <w:style w:type="paragraph" w:customStyle="1" w:styleId="MiniTOCItem">
    <w:name w:val="MiniTOCItem"/>
    <w:basedOn w:val="ListBullet"/>
    <w:rsid w:val="00C00D12"/>
    <w:pPr>
      <w:numPr>
        <w:numId w:val="0"/>
      </w:numPr>
      <w:tabs>
        <w:tab w:val="right" w:leader="dot" w:pos="6521"/>
      </w:tabs>
      <w:spacing w:before="0" w:after="0"/>
    </w:pPr>
  </w:style>
  <w:style w:type="paragraph" w:customStyle="1" w:styleId="TOFTitle">
    <w:name w:val="TOFTitle"/>
    <w:basedOn w:val="TOCTitle"/>
    <w:rsid w:val="00C00D12"/>
  </w:style>
  <w:style w:type="paragraph" w:styleId="TableofFigures">
    <w:name w:val="table of figures"/>
    <w:basedOn w:val="Normal"/>
    <w:next w:val="Normal"/>
    <w:semiHidden/>
    <w:rsid w:val="00C00D12"/>
    <w:pPr>
      <w:tabs>
        <w:tab w:val="right" w:leader="dot" w:pos="9072"/>
      </w:tabs>
      <w:ind w:left="970" w:hanging="403"/>
    </w:pPr>
    <w:rPr>
      <w:rFonts w:ascii="Times New Roman" w:hAnsi="Times New Roman"/>
      <w:b/>
    </w:rPr>
  </w:style>
  <w:style w:type="paragraph" w:styleId="ListNumber">
    <w:name w:val="List Number"/>
    <w:basedOn w:val="List"/>
    <w:rsid w:val="00C00D12"/>
    <w:pPr>
      <w:numPr>
        <w:numId w:val="11"/>
      </w:numPr>
    </w:pPr>
  </w:style>
  <w:style w:type="character" w:customStyle="1" w:styleId="WingdingSymbols">
    <w:name w:val="Wingding Symbols"/>
    <w:rsid w:val="00C00D12"/>
    <w:rPr>
      <w:rFonts w:ascii="Wingdings" w:hAnsi="Wingdings"/>
    </w:rPr>
  </w:style>
  <w:style w:type="paragraph" w:customStyle="1" w:styleId="TableHeading">
    <w:name w:val="Table Heading"/>
    <w:basedOn w:val="HeadingBase"/>
    <w:rsid w:val="00C00D12"/>
    <w:pPr>
      <w:keepLines/>
      <w:pBdr>
        <w:bottom w:val="single" w:sz="6" w:space="1" w:color="918585"/>
      </w:pBdr>
      <w:spacing w:before="240"/>
    </w:pPr>
  </w:style>
  <w:style w:type="character" w:customStyle="1" w:styleId="HotSpot">
    <w:name w:val="HotSpot"/>
    <w:rsid w:val="00C00D12"/>
    <w:rPr>
      <w:color w:val="0033CC"/>
      <w:u w:val="none"/>
    </w:rPr>
  </w:style>
  <w:style w:type="paragraph" w:customStyle="1" w:styleId="BodyTextRight">
    <w:name w:val="Body Text Right"/>
    <w:basedOn w:val="BodyText"/>
    <w:rsid w:val="00C00D12"/>
    <w:pPr>
      <w:spacing w:before="0" w:after="0"/>
      <w:jc w:val="right"/>
    </w:pPr>
  </w:style>
  <w:style w:type="paragraph" w:styleId="Index3">
    <w:name w:val="index 3"/>
    <w:basedOn w:val="ListNumber2"/>
    <w:next w:val="Normal"/>
    <w:semiHidden/>
    <w:rsid w:val="00C00D12"/>
    <w:pPr>
      <w:numPr>
        <w:numId w:val="0"/>
      </w:numPr>
      <w:tabs>
        <w:tab w:val="right" w:leader="dot" w:pos="4176"/>
      </w:tabs>
    </w:pPr>
  </w:style>
  <w:style w:type="paragraph" w:styleId="ListNumber2">
    <w:name w:val="List Number 2"/>
    <w:basedOn w:val="List2"/>
    <w:rsid w:val="00C00D12"/>
    <w:pPr>
      <w:numPr>
        <w:numId w:val="10"/>
      </w:numPr>
      <w:tabs>
        <w:tab w:val="clear" w:pos="1060"/>
      </w:tabs>
    </w:pPr>
  </w:style>
  <w:style w:type="paragraph" w:customStyle="1" w:styleId="MarginNote">
    <w:name w:val="Margin Note"/>
    <w:basedOn w:val="BodyText"/>
    <w:rsid w:val="00C00D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0D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0D1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00D12"/>
    <w:rPr>
      <w:sz w:val="32"/>
    </w:rPr>
  </w:style>
  <w:style w:type="paragraph" w:customStyle="1" w:styleId="HeadingProcedure">
    <w:name w:val="Heading Procedure"/>
    <w:basedOn w:val="HeadingBase"/>
    <w:next w:val="Normal"/>
    <w:rsid w:val="00C00D12"/>
    <w:pPr>
      <w:tabs>
        <w:tab w:val="left" w:pos="0"/>
      </w:tabs>
      <w:spacing w:before="120" w:after="60"/>
    </w:pPr>
    <w:rPr>
      <w:i/>
      <w:color w:val="918585"/>
      <w:sz w:val="22"/>
    </w:rPr>
  </w:style>
  <w:style w:type="paragraph" w:customStyle="1" w:styleId="TableBodyText">
    <w:name w:val="Table Body Text"/>
    <w:basedOn w:val="BodyText"/>
    <w:rsid w:val="00C00D12"/>
    <w:pPr>
      <w:spacing w:before="60" w:after="60"/>
    </w:pPr>
  </w:style>
  <w:style w:type="paragraph" w:styleId="ListContinue">
    <w:name w:val="List Continue"/>
    <w:basedOn w:val="List"/>
    <w:rsid w:val="00C00D12"/>
    <w:pPr>
      <w:ind w:firstLine="0"/>
    </w:pPr>
  </w:style>
  <w:style w:type="paragraph" w:customStyle="1" w:styleId="ListNote">
    <w:name w:val="List Note"/>
    <w:basedOn w:val="List"/>
    <w:rsid w:val="00C00D12"/>
    <w:pPr>
      <w:pBdr>
        <w:top w:val="single" w:sz="6" w:space="2" w:color="918585"/>
        <w:bottom w:val="single" w:sz="6" w:space="2" w:color="918585"/>
      </w:pBdr>
      <w:tabs>
        <w:tab w:val="left" w:pos="1021"/>
      </w:tabs>
      <w:ind w:firstLine="0"/>
    </w:pPr>
  </w:style>
  <w:style w:type="paragraph" w:customStyle="1" w:styleId="Warning">
    <w:name w:val="Warning"/>
    <w:basedOn w:val="BodyText"/>
    <w:rsid w:val="00C00D12"/>
    <w:pPr>
      <w:shd w:val="clear" w:color="auto" w:fill="D9D9D9"/>
      <w:tabs>
        <w:tab w:val="left" w:pos="992"/>
      </w:tabs>
      <w:ind w:left="119" w:right="119"/>
    </w:pPr>
    <w:rPr>
      <w:sz w:val="20"/>
    </w:rPr>
  </w:style>
  <w:style w:type="paragraph" w:customStyle="1" w:styleId="MarginIcons">
    <w:name w:val="Margin Icons"/>
    <w:basedOn w:val="BodyText"/>
    <w:rsid w:val="00C00D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0D12"/>
    <w:rPr>
      <w:rFonts w:ascii="Courier New" w:hAnsi="Courier New"/>
    </w:rPr>
  </w:style>
  <w:style w:type="paragraph" w:customStyle="1" w:styleId="NoteBullet">
    <w:name w:val="Note Bullet"/>
    <w:basedOn w:val="Note"/>
    <w:rsid w:val="00C00D12"/>
    <w:pPr>
      <w:tabs>
        <w:tab w:val="clear" w:pos="680"/>
      </w:tabs>
      <w:spacing w:before="60" w:after="60"/>
    </w:pPr>
  </w:style>
  <w:style w:type="paragraph" w:customStyle="1" w:styleId="SubHeading2">
    <w:name w:val="SubHeading2"/>
    <w:basedOn w:val="HeadingBase"/>
    <w:rsid w:val="00C00D12"/>
    <w:pPr>
      <w:spacing w:before="240" w:after="60"/>
    </w:pPr>
    <w:rPr>
      <w:sz w:val="20"/>
    </w:rPr>
  </w:style>
  <w:style w:type="paragraph" w:customStyle="1" w:styleId="SubHeading1">
    <w:name w:val="SubHeading1"/>
    <w:basedOn w:val="HeadingBase"/>
    <w:rsid w:val="00C00D12"/>
    <w:pPr>
      <w:spacing w:before="240" w:after="60"/>
    </w:pPr>
    <w:rPr>
      <w:color w:val="918585"/>
      <w:sz w:val="22"/>
    </w:rPr>
  </w:style>
  <w:style w:type="paragraph" w:customStyle="1" w:styleId="SideHeading">
    <w:name w:val="Side Heading"/>
    <w:basedOn w:val="HeadingBase"/>
    <w:rsid w:val="00C00D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0D12"/>
    <w:pPr>
      <w:numPr>
        <w:numId w:val="12"/>
      </w:numPr>
    </w:pPr>
  </w:style>
  <w:style w:type="paragraph" w:styleId="PlainText">
    <w:name w:val="Plain Text"/>
    <w:basedOn w:val="Normal"/>
    <w:link w:val="PlainTextChar"/>
    <w:rsid w:val="00C00D12"/>
    <w:rPr>
      <w:sz w:val="20"/>
    </w:rPr>
  </w:style>
  <w:style w:type="character" w:customStyle="1" w:styleId="PlainTextChar">
    <w:name w:val="Plain Text Char"/>
    <w:basedOn w:val="DefaultParagraphFont"/>
    <w:link w:val="PlainText"/>
    <w:rsid w:val="00C00D1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00D12"/>
    <w:rPr>
      <w:b/>
      <w:smallCaps/>
    </w:rPr>
  </w:style>
  <w:style w:type="paragraph" w:customStyle="1" w:styleId="TableListNumber">
    <w:name w:val="Table List Number"/>
    <w:basedOn w:val="ListNumber"/>
    <w:rsid w:val="00C00D12"/>
    <w:pPr>
      <w:numPr>
        <w:numId w:val="0"/>
      </w:numPr>
    </w:pPr>
  </w:style>
  <w:style w:type="paragraph" w:styleId="TOC4">
    <w:name w:val="toc 4"/>
    <w:basedOn w:val="TOCBase"/>
    <w:next w:val="Normal"/>
    <w:semiHidden/>
    <w:rsid w:val="00C00D12"/>
    <w:pPr>
      <w:tabs>
        <w:tab w:val="right" w:leader="dot" w:pos="9071"/>
      </w:tabs>
      <w:ind w:left="1701"/>
    </w:pPr>
  </w:style>
  <w:style w:type="paragraph" w:customStyle="1" w:styleId="ListAlpha">
    <w:name w:val="List Alpha"/>
    <w:basedOn w:val="List"/>
    <w:rsid w:val="00C00D12"/>
    <w:pPr>
      <w:numPr>
        <w:numId w:val="9"/>
      </w:numPr>
    </w:pPr>
  </w:style>
  <w:style w:type="paragraph" w:customStyle="1" w:styleId="ListAlpha2">
    <w:name w:val="List Alpha 2"/>
    <w:basedOn w:val="List2"/>
    <w:rsid w:val="00C00D12"/>
    <w:pPr>
      <w:numPr>
        <w:numId w:val="8"/>
      </w:numPr>
    </w:pPr>
  </w:style>
  <w:style w:type="paragraph" w:styleId="List3">
    <w:name w:val="List 3"/>
    <w:basedOn w:val="BodyText"/>
    <w:rsid w:val="00C00D12"/>
    <w:pPr>
      <w:tabs>
        <w:tab w:val="left" w:pos="1021"/>
      </w:tabs>
      <w:spacing w:before="60" w:after="60"/>
      <w:ind w:left="1020" w:hanging="340"/>
    </w:pPr>
  </w:style>
  <w:style w:type="paragraph" w:styleId="List4">
    <w:name w:val="List 4"/>
    <w:basedOn w:val="BodyText"/>
    <w:rsid w:val="00C00D12"/>
    <w:pPr>
      <w:tabs>
        <w:tab w:val="left" w:pos="1361"/>
      </w:tabs>
      <w:spacing w:before="60" w:after="60"/>
      <w:ind w:left="1361" w:hanging="340"/>
    </w:pPr>
  </w:style>
  <w:style w:type="paragraph" w:styleId="List5">
    <w:name w:val="List 5"/>
    <w:basedOn w:val="BodyText"/>
    <w:rsid w:val="00C00D12"/>
    <w:pPr>
      <w:tabs>
        <w:tab w:val="left" w:pos="1701"/>
      </w:tabs>
      <w:spacing w:before="60" w:after="60"/>
      <w:ind w:left="1701" w:hanging="340"/>
    </w:pPr>
  </w:style>
  <w:style w:type="paragraph" w:styleId="ListBullet3">
    <w:name w:val="List Bullet 3"/>
    <w:basedOn w:val="List3"/>
    <w:rsid w:val="00C00D12"/>
    <w:pPr>
      <w:numPr>
        <w:numId w:val="15"/>
      </w:numPr>
      <w:tabs>
        <w:tab w:val="clear" w:pos="1021"/>
      </w:tabs>
      <w:ind w:left="1037" w:hanging="357"/>
    </w:pPr>
  </w:style>
  <w:style w:type="paragraph" w:styleId="ListBullet4">
    <w:name w:val="List Bullet 4"/>
    <w:basedOn w:val="List4"/>
    <w:rsid w:val="00C00D12"/>
    <w:pPr>
      <w:numPr>
        <w:numId w:val="3"/>
      </w:numPr>
    </w:pPr>
  </w:style>
  <w:style w:type="paragraph" w:styleId="ListBullet5">
    <w:name w:val="List Bullet 5"/>
    <w:basedOn w:val="List5"/>
    <w:rsid w:val="00C00D12"/>
    <w:pPr>
      <w:numPr>
        <w:numId w:val="4"/>
      </w:numPr>
    </w:pPr>
  </w:style>
  <w:style w:type="paragraph" w:styleId="ListContinue2">
    <w:name w:val="List Continue 2"/>
    <w:basedOn w:val="List2"/>
    <w:rsid w:val="00C00D12"/>
    <w:pPr>
      <w:ind w:firstLine="0"/>
    </w:pPr>
  </w:style>
  <w:style w:type="paragraph" w:styleId="ListContinue3">
    <w:name w:val="List Continue 3"/>
    <w:basedOn w:val="List3"/>
    <w:rsid w:val="00C00D12"/>
    <w:pPr>
      <w:ind w:left="1021" w:firstLine="0"/>
    </w:pPr>
  </w:style>
  <w:style w:type="paragraph" w:styleId="ListContinue4">
    <w:name w:val="List Continue 4"/>
    <w:basedOn w:val="List4"/>
    <w:rsid w:val="00C00D12"/>
    <w:pPr>
      <w:ind w:firstLine="0"/>
    </w:pPr>
  </w:style>
  <w:style w:type="paragraph" w:styleId="ListContinue5">
    <w:name w:val="List Continue 5"/>
    <w:basedOn w:val="List5"/>
    <w:rsid w:val="00C00D12"/>
    <w:pPr>
      <w:ind w:firstLine="0"/>
    </w:pPr>
  </w:style>
  <w:style w:type="paragraph" w:styleId="ListNumber3">
    <w:name w:val="List Number 3"/>
    <w:basedOn w:val="List3"/>
    <w:rsid w:val="00C00D12"/>
    <w:pPr>
      <w:numPr>
        <w:numId w:val="5"/>
      </w:numPr>
    </w:pPr>
  </w:style>
  <w:style w:type="paragraph" w:styleId="ListNumber4">
    <w:name w:val="List Number 4"/>
    <w:basedOn w:val="List4"/>
    <w:rsid w:val="00C00D12"/>
    <w:pPr>
      <w:numPr>
        <w:numId w:val="6"/>
      </w:numPr>
    </w:pPr>
  </w:style>
  <w:style w:type="paragraph" w:styleId="ListNumber5">
    <w:name w:val="List Number 5"/>
    <w:basedOn w:val="List5"/>
    <w:rsid w:val="00C00D12"/>
    <w:pPr>
      <w:numPr>
        <w:numId w:val="7"/>
      </w:numPr>
    </w:pPr>
  </w:style>
  <w:style w:type="paragraph" w:styleId="BlockText">
    <w:name w:val="Block Text"/>
    <w:basedOn w:val="Normal"/>
    <w:rsid w:val="00C00D12"/>
    <w:pPr>
      <w:spacing w:after="120"/>
      <w:ind w:left="1440" w:right="1440"/>
    </w:pPr>
  </w:style>
  <w:style w:type="character" w:customStyle="1" w:styleId="Subscript">
    <w:name w:val="Subscript"/>
    <w:basedOn w:val="DefaultParagraphFont"/>
    <w:rsid w:val="00C00D12"/>
    <w:rPr>
      <w:sz w:val="16"/>
      <w:vertAlign w:val="subscript"/>
    </w:rPr>
  </w:style>
  <w:style w:type="character" w:customStyle="1" w:styleId="Superscript">
    <w:name w:val="Superscript"/>
    <w:basedOn w:val="DefaultParagraphFont"/>
    <w:rsid w:val="00C00D12"/>
    <w:rPr>
      <w:sz w:val="16"/>
      <w:vertAlign w:val="superscript"/>
    </w:rPr>
  </w:style>
  <w:style w:type="character" w:customStyle="1" w:styleId="Symbols">
    <w:name w:val="Symbols"/>
    <w:basedOn w:val="DefaultParagraphFont"/>
    <w:rsid w:val="00C00D12"/>
    <w:rPr>
      <w:rFonts w:ascii="Symbol" w:hAnsi="Symbol"/>
    </w:rPr>
  </w:style>
  <w:style w:type="character" w:customStyle="1" w:styleId="MenuOptions">
    <w:name w:val="Menu Options"/>
    <w:basedOn w:val="DefaultParagraphFont"/>
    <w:rsid w:val="00C00D12"/>
    <w:rPr>
      <w:rFonts w:ascii="Arial Narrow" w:hAnsi="Arial Narrow"/>
      <w:smallCaps/>
    </w:rPr>
  </w:style>
  <w:style w:type="character" w:customStyle="1" w:styleId="Buttons">
    <w:name w:val="Buttons"/>
    <w:basedOn w:val="DefaultParagraphFont"/>
    <w:rsid w:val="00C00D12"/>
    <w:rPr>
      <w:b/>
    </w:rPr>
  </w:style>
  <w:style w:type="character" w:customStyle="1" w:styleId="Underlined">
    <w:name w:val="Underlined"/>
    <w:basedOn w:val="DefaultParagraphFont"/>
    <w:rsid w:val="00C00D12"/>
    <w:rPr>
      <w:u w:val="single"/>
    </w:rPr>
  </w:style>
  <w:style w:type="paragraph" w:customStyle="1" w:styleId="TableBodyTextRight">
    <w:name w:val="Table Body Text Right"/>
    <w:basedOn w:val="TableBodyText"/>
    <w:rsid w:val="00C00D12"/>
    <w:pPr>
      <w:widowControl w:val="0"/>
      <w:autoSpaceDE w:val="0"/>
      <w:autoSpaceDN w:val="0"/>
      <w:adjustRightInd w:val="0"/>
      <w:jc w:val="right"/>
    </w:pPr>
    <w:rPr>
      <w:rFonts w:cs="Arial"/>
      <w:szCs w:val="18"/>
    </w:rPr>
  </w:style>
  <w:style w:type="paragraph" w:customStyle="1" w:styleId="CopyrightText">
    <w:name w:val="Copyright Text"/>
    <w:basedOn w:val="BodyText"/>
    <w:rsid w:val="00C00D12"/>
    <w:rPr>
      <w:sz w:val="18"/>
    </w:rPr>
  </w:style>
  <w:style w:type="paragraph" w:customStyle="1" w:styleId="BodySmallRight">
    <w:name w:val="Body Small Right"/>
    <w:basedOn w:val="BodyTextRight"/>
    <w:rsid w:val="00C00D12"/>
    <w:rPr>
      <w:sz w:val="18"/>
      <w:szCs w:val="18"/>
    </w:rPr>
  </w:style>
  <w:style w:type="paragraph" w:customStyle="1" w:styleId="MarginEdition">
    <w:name w:val="Margin Edition"/>
    <w:basedOn w:val="MarginNote"/>
    <w:rsid w:val="00C00D12"/>
    <w:pPr>
      <w:spacing w:before="0" w:after="0"/>
    </w:pPr>
    <w:rPr>
      <w:rFonts w:ascii="Times New Roman" w:hAnsi="Times New Roman"/>
      <w:color w:val="999999"/>
    </w:rPr>
  </w:style>
  <w:style w:type="paragraph" w:customStyle="1" w:styleId="Spacer">
    <w:name w:val="Spacer"/>
    <w:basedOn w:val="Normal"/>
    <w:rsid w:val="00C00D12"/>
    <w:rPr>
      <w:sz w:val="2"/>
      <w:szCs w:val="2"/>
    </w:rPr>
  </w:style>
  <w:style w:type="character" w:customStyle="1" w:styleId="Small">
    <w:name w:val="Small"/>
    <w:basedOn w:val="DefaultParagraphFont"/>
    <w:rsid w:val="00C00D12"/>
    <w:rPr>
      <w:sz w:val="16"/>
    </w:rPr>
  </w:style>
  <w:style w:type="paragraph" w:customStyle="1" w:styleId="WideTable">
    <w:name w:val="Wide Table"/>
    <w:basedOn w:val="Normal"/>
    <w:rsid w:val="00C00D12"/>
    <w:pPr>
      <w:ind w:left="-1418"/>
    </w:pPr>
    <w:rPr>
      <w:sz w:val="2"/>
      <w:szCs w:val="2"/>
    </w:rPr>
  </w:style>
  <w:style w:type="character" w:styleId="PageNumber">
    <w:name w:val="page number"/>
    <w:basedOn w:val="DefaultParagraphFont"/>
    <w:rsid w:val="00C00D12"/>
  </w:style>
  <w:style w:type="paragraph" w:styleId="Quote">
    <w:name w:val="Quote"/>
    <w:basedOn w:val="Heading1"/>
    <w:link w:val="QuoteChar"/>
    <w:qFormat/>
    <w:rsid w:val="00C00D12"/>
    <w:rPr>
      <w:b w:val="0"/>
      <w:sz w:val="72"/>
      <w:szCs w:val="72"/>
      <w:lang w:val="en-NZ"/>
    </w:rPr>
  </w:style>
  <w:style w:type="character" w:customStyle="1" w:styleId="QuoteChar">
    <w:name w:val="Quote Char"/>
    <w:basedOn w:val="DefaultParagraphFont"/>
    <w:link w:val="Quote"/>
    <w:rsid w:val="00C00D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0D12"/>
    <w:pPr>
      <w:pageBreakBefore/>
    </w:pPr>
  </w:style>
  <w:style w:type="paragraph" w:customStyle="1" w:styleId="Border">
    <w:name w:val="Border"/>
    <w:basedOn w:val="Normal"/>
    <w:qFormat/>
    <w:rsid w:val="00C00D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0D12"/>
    <w:rPr>
      <w:b/>
      <w:bCs/>
      <w:i/>
      <w:iCs/>
      <w:color w:val="auto"/>
    </w:rPr>
  </w:style>
  <w:style w:type="paragraph" w:styleId="IntenseQuote">
    <w:name w:val="Intense Quote"/>
    <w:basedOn w:val="Normal"/>
    <w:next w:val="Normal"/>
    <w:link w:val="IntenseQuoteChar"/>
    <w:uiPriority w:val="30"/>
    <w:qFormat/>
    <w:rsid w:val="00C00D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0D1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00D12"/>
    <w:rPr>
      <w:smallCaps/>
      <w:color w:val="auto"/>
      <w:u w:val="single"/>
    </w:rPr>
  </w:style>
  <w:style w:type="character" w:styleId="IntenseReference">
    <w:name w:val="Intense Reference"/>
    <w:basedOn w:val="DefaultParagraphFont"/>
    <w:uiPriority w:val="32"/>
    <w:qFormat/>
    <w:rsid w:val="00C00D12"/>
    <w:rPr>
      <w:b/>
      <w:bCs/>
      <w:smallCaps/>
      <w:color w:val="auto"/>
      <w:spacing w:val="5"/>
      <w:u w:val="single"/>
    </w:rPr>
  </w:style>
  <w:style w:type="paragraph" w:customStyle="1" w:styleId="2ColumnHeading">
    <w:name w:val="2Column Heading"/>
    <w:basedOn w:val="BodyText"/>
    <w:qFormat/>
    <w:rsid w:val="00C00D12"/>
    <w:pPr>
      <w:spacing w:after="60"/>
      <w:ind w:left="-2268"/>
    </w:pPr>
    <w:rPr>
      <w:b/>
    </w:rPr>
  </w:style>
  <w:style w:type="paragraph" w:customStyle="1" w:styleId="Heading1TOC">
    <w:name w:val="Heading1 TOC"/>
    <w:basedOn w:val="Normal"/>
    <w:qFormat/>
    <w:rsid w:val="00C00D12"/>
    <w:pPr>
      <w:spacing w:before="240" w:after="120"/>
    </w:pPr>
    <w:rPr>
      <w:rFonts w:ascii="Times New Roman" w:hAnsi="Times New Roman"/>
      <w:b/>
      <w:sz w:val="32"/>
    </w:rPr>
  </w:style>
  <w:style w:type="paragraph" w:customStyle="1" w:styleId="Heading2TOC">
    <w:name w:val="Heading2 TOC"/>
    <w:basedOn w:val="Normal"/>
    <w:qFormat/>
    <w:rsid w:val="00C00D12"/>
    <w:pPr>
      <w:spacing w:before="240" w:after="60"/>
    </w:pPr>
    <w:rPr>
      <w:rFonts w:ascii="Times New Roman" w:hAnsi="Times New Roman"/>
      <w:b/>
      <w:sz w:val="28"/>
    </w:rPr>
  </w:style>
  <w:style w:type="character" w:customStyle="1" w:styleId="Underline">
    <w:name w:val="Underline"/>
    <w:basedOn w:val="DefaultParagraphFont"/>
    <w:qFormat/>
    <w:rsid w:val="00C00D12"/>
    <w:rPr>
      <w:u w:val="single"/>
    </w:rPr>
  </w:style>
  <w:style w:type="paragraph" w:styleId="BalloonText">
    <w:name w:val="Balloon Text"/>
    <w:basedOn w:val="Normal"/>
    <w:link w:val="BalloonTextChar"/>
    <w:rsid w:val="00C00D12"/>
    <w:rPr>
      <w:rFonts w:ascii="Tahoma" w:hAnsi="Tahoma" w:cs="Tahoma"/>
      <w:sz w:val="16"/>
      <w:szCs w:val="16"/>
    </w:rPr>
  </w:style>
  <w:style w:type="character" w:customStyle="1" w:styleId="BalloonTextChar">
    <w:name w:val="Balloon Text Char"/>
    <w:basedOn w:val="DefaultParagraphFont"/>
    <w:link w:val="BalloonText"/>
    <w:rsid w:val="00C00D1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00D1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00D1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1906</Words>
  <Characters>12049</Characters>
  <Application>Microsoft Office Word</Application>
  <DocSecurity>0</DocSecurity>
  <Lines>398</Lines>
  <Paragraphs>164</Paragraphs>
  <ScaleCrop>false</ScaleCrop>
  <Company>Author-it Software Corporation Ltd.</Company>
  <LinksUpToDate>false</LinksUpToDate>
  <CharactersWithSpaces>13864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LMFID5003A Evaluate site for interior design brief</dc:title>
  <dc:subject>Approved</dc:subject>
  <dc:creator>Manufacturing Skills Australia</dc:creator>
  <cp:keywords>Revision Number: 1</cp:keywords>
  <dc:description>Copyright © 1996-2007 Author-it Software Corporation Ltd., all rights reserved.</dc:description>
  <cp:lastModifiedBy>Craig Taylor</cp:lastModifiedBy>
  <cp:revision>3</cp:revision>
  <dcterms:created xsi:type="dcterms:W3CDTF">2012-05-26T17:37:00Z</dcterms:created>
  <dcterms:modified xsi:type="dcterms:W3CDTF">2012-05-26T17:37:00Z</dcterms:modified>
</cp:coreProperties>
</file>