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F79" w:rsidP="00C92F79">
      <w:pPr>
        <w:pStyle w:val="Title"/>
      </w:pPr>
      <w:bookmarkStart w:id="0" w:name="_GoBack"/>
      <w:bookmarkEnd w:id="0"/>
      <w:r>
        <w:fldChar w:fldCharType="begin"/>
      </w:r>
      <w:r>
        <w:instrText xml:space="preserve"> TITLE   \* MERGEFORMAT </w:instrText>
      </w:r>
      <w:r>
        <w:fldChar w:fldCharType="separate"/>
      </w:r>
      <w:r>
        <w:t>LMFID4011A Determine occupational health and safety implications of interior effects</w:t>
      </w:r>
      <w:r>
        <w:fldChar w:fldCharType="end"/>
      </w:r>
    </w:p>
    <w:p w:rsidR="00C92F79" w:rsidP="00C92F79">
      <w:pPr>
        <w:pStyle w:val="Version"/>
        <w:sectPr w:rsidSect="00E77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DAF" w:rsidP="00E77DAF">
      <w:pPr>
        <w:pStyle w:val="SuperHeading"/>
      </w:pPr>
      <w:r w:rsidRPr="00E77DAF">
        <w:t>LMFID4011A Determine occupational health and safety implications of interior effects</w:t>
      </w:r>
    </w:p>
    <w:p w:rsidR="00000000" w:rsidRPr="00E77DAF" w:rsidP="00E77DAF">
      <w:pPr>
        <w:pStyle w:val="Heading1"/>
      </w:pPr>
      <w:bookmarkStart w:id="1" w:name="O_90483"/>
      <w:bookmarkEnd w:id="1"/>
      <w:r w:rsidRPr="00E77DAF">
        <w:t>Modification History</w:t>
      </w:r>
    </w:p>
    <w:p w:rsidR="00000000" w:rsidRPr="00E77DAF" w:rsidP="00E77DAF">
      <w:pPr>
        <w:pStyle w:val="BodyText"/>
      </w:pPr>
      <w:r w:rsidRPr="00E77DAF">
        <w:t>Not applicable.</w:t>
      </w:r>
    </w:p>
    <w:p w:rsidR="00000000" w:rsidRPr="00E77DAF" w:rsidP="00E77DAF">
      <w:pPr>
        <w:pStyle w:val="AllowPageBreak"/>
      </w:pPr>
    </w:p>
    <w:p w:rsidR="00000000" w:rsidRPr="00E77DAF" w:rsidP="00E77DAF">
      <w:pPr>
        <w:pStyle w:val="Heading1"/>
      </w:pPr>
      <w:bookmarkStart w:id="2" w:name="O_90484"/>
      <w:bookmarkEnd w:id="2"/>
      <w:r w:rsidRPr="00E77DAF">
        <w:t>Unit Descriptor</w:t>
      </w:r>
    </w:p>
    <w:tbl>
      <w:tblPr>
        <w:tblW w:w="0" w:type="auto"/>
        <w:tblLayout w:type="fixed"/>
        <w:tblCellMar>
          <w:left w:w="62" w:type="dxa"/>
          <w:right w:w="62" w:type="dxa"/>
        </w:tblCellMar>
        <w:tblLook w:val="0000"/>
      </w:tblPr>
      <w:tblGrid>
        <w:gridCol w:w="2670"/>
        <w:gridCol w:w="5852"/>
      </w:tblGrid>
      <w:tr w:rsidTr="00C92F7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This unit covers the competency to identify and assess the occupational health and safety (OHS) implications of effects used in interior decoration and design.</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3" w:name="O_90485"/>
      <w:bookmarkEnd w:id="3"/>
      <w:r w:rsidRPr="00E77DAF">
        <w:t>Application of the Unit</w:t>
      </w:r>
    </w:p>
    <w:tbl>
      <w:tblPr>
        <w:tblW w:w="0" w:type="auto"/>
        <w:tblLayout w:type="fixed"/>
        <w:tblCellMar>
          <w:left w:w="62" w:type="dxa"/>
          <w:right w:w="62" w:type="dxa"/>
        </w:tblCellMar>
        <w:tblLook w:val="0000"/>
      </w:tblPr>
      <w:tblGrid>
        <w:gridCol w:w="2752"/>
        <w:gridCol w:w="5770"/>
      </w:tblGrid>
      <w:tr w:rsidTr="00C92F7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This unit supports the attainment of skills and knowledge required for the assessment of interior decoration and design effects, including furniture, hard and soft materials and accessories, to determine potential hazards for a range of customer groups.</w:t>
            </w:r>
          </w:p>
          <w:p w:rsidR="00000000" w:rsidRPr="00E77DAF" w:rsidP="00E77DAF">
            <w:pPr>
              <w:pStyle w:val="BodyText"/>
            </w:pPr>
            <w:r w:rsidRPr="00E77DAF">
              <w:t>Th</w:t>
            </w:r>
            <w:r w:rsidRPr="00E77DAF">
              <w:t>is unit requires the application of employability skills associated with self management to assess and apply principles of OHS to operations. Communication skills are required to interpret and understand what is required to provide a safe environment.  Tea</w:t>
            </w:r>
            <w:r w:rsidRPr="00E77DAF">
              <w:t>mwork skills are required to understand the impact of own decoration and design ideas on the safety of others. This unit also requires the ability to use initiative and enterprise and problem solving strategies to identify and act upon hazards and risks, a</w:t>
            </w:r>
            <w:r w:rsidRPr="00E77DAF">
              <w:t>nd learning skills to research OHS information.</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4" w:name="O_90486"/>
      <w:bookmarkEnd w:id="4"/>
      <w:r w:rsidRPr="00E77DAF">
        <w:t>Licensing/Regulatory Information</w:t>
      </w:r>
    </w:p>
    <w:p w:rsidR="00000000" w:rsidRPr="00E77DAF" w:rsidP="00E77DAF">
      <w:pPr>
        <w:pStyle w:val="BodyText"/>
      </w:pPr>
      <w:r w:rsidRPr="00E77DAF">
        <w:t>Not applicable.</w:t>
      </w:r>
    </w:p>
    <w:p w:rsidR="00000000" w:rsidRPr="00E77DAF" w:rsidP="00E77DAF">
      <w:pPr>
        <w:pStyle w:val="AllowPageBreak"/>
      </w:pPr>
    </w:p>
    <w:p w:rsidR="00000000" w:rsidRPr="00E77DAF" w:rsidP="00E77DAF">
      <w:pPr>
        <w:pStyle w:val="Heading1"/>
      </w:pPr>
      <w:bookmarkStart w:id="5" w:name="O_90487"/>
      <w:bookmarkEnd w:id="5"/>
      <w:r w:rsidRPr="00E77DAF">
        <w:t>Pre-Requisites</w:t>
      </w:r>
    </w:p>
    <w:tbl>
      <w:tblPr>
        <w:tblW w:w="0" w:type="auto"/>
        <w:tblLayout w:type="fixed"/>
        <w:tblCellMar>
          <w:left w:w="62" w:type="dxa"/>
          <w:right w:w="62" w:type="dxa"/>
        </w:tblCellMar>
        <w:tblLook w:val="0000"/>
      </w:tblPr>
      <w:tblGrid>
        <w:gridCol w:w="2775"/>
        <w:gridCol w:w="1295"/>
        <w:gridCol w:w="4452"/>
      </w:tblGrid>
      <w:tr w:rsidTr="00C92F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p>
        </w:tc>
      </w:tr>
      <w:tr w:rsidTr="00C92F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p>
        </w:tc>
      </w:tr>
      <w:tr w:rsidTr="00C92F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6" w:name="O_90488"/>
      <w:bookmarkEnd w:id="6"/>
      <w:r w:rsidRPr="00E77DAF">
        <w:t>Employability Skills Information</w:t>
      </w:r>
    </w:p>
    <w:tbl>
      <w:tblPr>
        <w:tblW w:w="0" w:type="auto"/>
        <w:tblLayout w:type="fixed"/>
        <w:tblCellMar>
          <w:left w:w="62" w:type="dxa"/>
          <w:right w:w="62" w:type="dxa"/>
        </w:tblCellMar>
        <w:tblLook w:val="0000"/>
      </w:tblPr>
      <w:tblGrid>
        <w:gridCol w:w="2802"/>
        <w:gridCol w:w="5720"/>
      </w:tblGrid>
      <w:tr w:rsidTr="00C92F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This unit contains employability skills.</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7" w:name="O_90489"/>
      <w:bookmarkEnd w:id="7"/>
      <w:r w:rsidRPr="00E77DAF">
        <w:t>Elements and Performance Criteria Pre-Content</w:t>
      </w:r>
    </w:p>
    <w:tbl>
      <w:tblPr>
        <w:tblW w:w="0" w:type="auto"/>
        <w:tblLayout w:type="fixed"/>
        <w:tblCellMar>
          <w:left w:w="62" w:type="dxa"/>
          <w:right w:w="62" w:type="dxa"/>
        </w:tblCellMar>
        <w:tblLook w:val="0000"/>
      </w:tblPr>
      <w:tblGrid>
        <w:gridCol w:w="2532"/>
        <w:gridCol w:w="5990"/>
      </w:tblGrid>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Performance criteria describe the performance needed to demonstrate achievement of the</w:t>
            </w:r>
            <w:r w:rsidRPr="00E77DA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8" w:name="O_90490"/>
      <w:bookmarkEnd w:id="8"/>
      <w:r w:rsidRPr="00E77DAF">
        <w:t>Elements and Performance Criteria</w:t>
      </w:r>
    </w:p>
    <w:tbl>
      <w:tblPr>
        <w:tblW w:w="0" w:type="auto"/>
        <w:tblLayout w:type="fixed"/>
        <w:tblCellMar>
          <w:left w:w="62" w:type="dxa"/>
          <w:right w:w="62" w:type="dxa"/>
        </w:tblCellMar>
        <w:tblLook w:val="0000"/>
      </w:tblPr>
      <w:tblGrid>
        <w:gridCol w:w="2532"/>
        <w:gridCol w:w="5990"/>
      </w:tblGrid>
      <w:tr w:rsidTr="00C92F7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PERFORMANCE CRITERIA</w:t>
            </w:r>
          </w:p>
        </w:tc>
      </w:tr>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
              <w:rPr>
                <w:lang w:val="en-NZ"/>
              </w:rPr>
            </w:pPr>
            <w:r w:rsidRPr="00E77DAF">
              <w:t>1.</w:t>
            </w:r>
            <w:r w:rsidRPr="00E77DAF">
              <w:tab/>
              <w:t>Identify principles of OHS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2"/>
            </w:pPr>
            <w:r w:rsidRPr="00E77DAF">
              <w:t>1.1.</w:t>
            </w:r>
            <w:r w:rsidRPr="00E77DAF">
              <w:tab/>
            </w:r>
            <w:r w:rsidRPr="00E77DAF">
              <w:rPr>
                <w:rStyle w:val="BoldandItalics"/>
              </w:rPr>
              <w:t>Duty of care</w:t>
            </w:r>
            <w:r w:rsidRPr="00E77DAF">
              <w:t xml:space="preserve"> and </w:t>
            </w:r>
            <w:r w:rsidRPr="00E77DAF">
              <w:rPr>
                <w:rStyle w:val="BoldandItalics"/>
              </w:rPr>
              <w:t>responsibilities of individuals and organisations</w:t>
            </w:r>
            <w:r w:rsidRPr="00E77DAF">
              <w:t xml:space="preserve"> are defined</w:t>
            </w:r>
          </w:p>
          <w:p w:rsidR="00000000" w:rsidRPr="00E77DAF" w:rsidP="00E77DAF">
            <w:pPr>
              <w:pStyle w:val="List2"/>
            </w:pPr>
            <w:r w:rsidRPr="00E77DAF">
              <w:t>1.2.</w:t>
            </w:r>
            <w:r w:rsidRPr="00E77DAF">
              <w:tab/>
              <w:t xml:space="preserve">Concepts of </w:t>
            </w:r>
            <w:r w:rsidRPr="00E77DAF">
              <w:rPr>
                <w:rStyle w:val="BoldandItalics"/>
              </w:rPr>
              <w:t>hierarchy of control</w:t>
            </w:r>
            <w:r w:rsidRPr="00E77DAF">
              <w:t xml:space="preserve"> are identified and related to the workplace</w:t>
            </w:r>
          </w:p>
          <w:p w:rsidR="00000000" w:rsidRPr="00E77DAF" w:rsidP="00E77DAF">
            <w:pPr>
              <w:pStyle w:val="List2"/>
            </w:pPr>
            <w:r w:rsidRPr="00E77DAF">
              <w:t>1.3.</w:t>
            </w:r>
            <w:r w:rsidRPr="00E77DAF">
              <w:tab/>
              <w:t xml:space="preserve">Codes of practice relating to specific workplace risks are identified </w:t>
            </w:r>
          </w:p>
          <w:p w:rsidR="00000000" w:rsidRPr="00E77DAF" w:rsidP="00E77DAF">
            <w:pPr>
              <w:pStyle w:val="List2"/>
            </w:pPr>
            <w:r w:rsidRPr="00E77DAF">
              <w:t>1.4.</w:t>
            </w:r>
            <w:r w:rsidRPr="00E77DAF">
              <w:tab/>
              <w:t xml:space="preserve">Importance of a </w:t>
            </w:r>
            <w:r w:rsidRPr="00E77DAF">
              <w:rPr>
                <w:rStyle w:val="BoldandItalics"/>
              </w:rPr>
              <w:t>systematic approach</w:t>
            </w:r>
            <w:r w:rsidRPr="00E77DAF">
              <w:t xml:space="preserve"> to OHS is understood</w:t>
            </w:r>
          </w:p>
          <w:p w:rsidR="00000000" w:rsidP="00E77DAF">
            <w:pPr>
              <w:pStyle w:val="List2"/>
              <w:rPr>
                <w:lang w:val="en-NZ"/>
              </w:rPr>
            </w:pPr>
            <w:r w:rsidRPr="00E77DAF">
              <w:t>1.5.</w:t>
            </w:r>
            <w:r w:rsidRPr="00E77DAF">
              <w:tab/>
              <w:t xml:space="preserve">Applicable </w:t>
            </w:r>
            <w:r w:rsidRPr="00E77DAF">
              <w:rPr>
                <w:rStyle w:val="BoldandItalics"/>
              </w:rPr>
              <w:t>legislative</w:t>
            </w:r>
            <w:r w:rsidRPr="00E77DAF">
              <w:t xml:space="preserve">, </w:t>
            </w:r>
            <w:r w:rsidRPr="00E77DAF">
              <w:rPr>
                <w:rStyle w:val="BoldandItalics"/>
              </w:rPr>
              <w:t>OHS</w:t>
            </w:r>
            <w:r w:rsidRPr="00E77DAF">
              <w:t xml:space="preserve"> and </w:t>
            </w:r>
            <w:r w:rsidRPr="00E77DAF">
              <w:rPr>
                <w:rStyle w:val="BoldandItalics"/>
              </w:rPr>
              <w:t>organisational requirements</w:t>
            </w:r>
            <w:r w:rsidRPr="00E77DAF">
              <w:t xml:space="preserve"> relevant</w:t>
            </w:r>
            <w:r w:rsidRPr="00E77DAF">
              <w:t xml:space="preserve"> to interior decoration and design are identified</w:t>
            </w:r>
          </w:p>
        </w:tc>
      </w:tr>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
              <w:rPr>
                <w:lang w:val="en-NZ"/>
              </w:rPr>
            </w:pPr>
            <w:r w:rsidRPr="00E77DAF">
              <w:t>2.</w:t>
            </w:r>
            <w:r w:rsidRPr="00E77DAF">
              <w:tab/>
              <w:t xml:space="preserve">Assess OHS implications for interior decoration and design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2"/>
            </w:pPr>
            <w:r w:rsidRPr="00E77DAF">
              <w:t>2.1.</w:t>
            </w:r>
            <w:r w:rsidRPr="00E77DAF">
              <w:tab/>
            </w:r>
            <w:r w:rsidRPr="00E77DAF">
              <w:rPr>
                <w:rStyle w:val="BoldandItalics"/>
              </w:rPr>
              <w:t>Hazards associated with materials</w:t>
            </w:r>
            <w:r w:rsidRPr="00E77DAF">
              <w:t xml:space="preserve"> used in interiors are identified</w:t>
            </w:r>
          </w:p>
          <w:p w:rsidR="00000000" w:rsidRPr="00E77DAF" w:rsidP="00E77DAF">
            <w:pPr>
              <w:pStyle w:val="List2"/>
            </w:pPr>
            <w:r w:rsidRPr="00E77DAF">
              <w:t>2.2.</w:t>
            </w:r>
            <w:r w:rsidRPr="00E77DAF">
              <w:tab/>
            </w:r>
            <w:r w:rsidRPr="00E77DAF">
              <w:rPr>
                <w:rStyle w:val="BoldandItalics"/>
              </w:rPr>
              <w:t>Hazards associated with effects</w:t>
            </w:r>
            <w:r w:rsidRPr="00E77DAF">
              <w:t xml:space="preserve"> are identified</w:t>
            </w:r>
          </w:p>
          <w:p w:rsidR="00000000" w:rsidRPr="00E77DAF" w:rsidP="00E77DAF">
            <w:pPr>
              <w:pStyle w:val="List2"/>
            </w:pPr>
            <w:r w:rsidRPr="00E77DAF">
              <w:t>2.3.</w:t>
            </w:r>
            <w:r w:rsidRPr="00E77DAF">
              <w:tab/>
              <w:t>Safety measur</w:t>
            </w:r>
            <w:r w:rsidRPr="00E77DAF">
              <w:t>es implemented to control hazards are identified and implications for interior decoration and design evaluated</w:t>
            </w:r>
          </w:p>
          <w:p w:rsidR="00000000" w:rsidRPr="00E77DAF" w:rsidP="00E77DAF">
            <w:pPr>
              <w:pStyle w:val="List2"/>
            </w:pPr>
            <w:r w:rsidRPr="00E77DAF">
              <w:t>2.4.</w:t>
            </w:r>
            <w:r w:rsidRPr="00E77DAF">
              <w:tab/>
              <w:t>Information resources on safety aspects of materials, effects and technology used in interior decoration and design are identified and acces</w:t>
            </w:r>
            <w:r w:rsidRPr="00E77DAF">
              <w:t xml:space="preserve">sed </w:t>
            </w:r>
          </w:p>
          <w:p w:rsidR="00000000" w:rsidP="00E77DAF">
            <w:pPr>
              <w:pStyle w:val="List2"/>
              <w:rPr>
                <w:lang w:val="en-NZ"/>
              </w:rPr>
            </w:pPr>
            <w:r w:rsidRPr="00E77DAF">
              <w:t>2.5.</w:t>
            </w:r>
            <w:r w:rsidRPr="00E77DAF">
              <w:tab/>
              <w:t>Furniture and joinery ergonomics are assessed</w:t>
            </w:r>
          </w:p>
        </w:tc>
      </w:tr>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
              <w:rPr>
                <w:lang w:val="en-NZ"/>
              </w:rPr>
            </w:pPr>
            <w:r w:rsidRPr="00E77DAF">
              <w:t>3.</w:t>
            </w:r>
            <w:r w:rsidRPr="00E77DAF">
              <w:tab/>
              <w:t>Assess OHS implications for customers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2"/>
            </w:pPr>
            <w:r w:rsidRPr="00E77DAF">
              <w:t>3.1.</w:t>
            </w:r>
            <w:r w:rsidRPr="00E77DAF">
              <w:tab/>
            </w:r>
            <w:r w:rsidRPr="00E77DAF">
              <w:rPr>
                <w:rStyle w:val="BoldandItalics"/>
              </w:rPr>
              <w:t>Range of customers</w:t>
            </w:r>
            <w:r w:rsidRPr="00E77DAF">
              <w:t xml:space="preserve"> for interior decoration and design are identified and </w:t>
            </w:r>
            <w:r w:rsidRPr="00E77DAF">
              <w:rPr>
                <w:rStyle w:val="BoldandItalics"/>
              </w:rPr>
              <w:t>potential hazards for customers</w:t>
            </w:r>
            <w:r w:rsidRPr="00E77DAF">
              <w:t xml:space="preserve"> determined</w:t>
            </w:r>
          </w:p>
          <w:p w:rsidR="00000000" w:rsidP="00E77DAF">
            <w:pPr>
              <w:pStyle w:val="List2"/>
              <w:rPr>
                <w:lang w:val="en-NZ"/>
              </w:rPr>
            </w:pPr>
            <w:r w:rsidRPr="00E77DAF">
              <w:t>3.2.</w:t>
            </w:r>
            <w:r w:rsidRPr="00E77DAF">
              <w:tab/>
            </w:r>
            <w:r w:rsidRPr="00E77DAF">
              <w:t>Safety measures implemented to control hazards to customers are identified and implications for decoration and design are evaluated</w:t>
            </w:r>
          </w:p>
        </w:tc>
      </w:tr>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
              <w:rPr>
                <w:lang w:val="en-NZ"/>
              </w:rPr>
            </w:pPr>
            <w:r w:rsidRPr="00E77DAF">
              <w:t>4.</w:t>
            </w:r>
            <w:r w:rsidRPr="00E77DAF">
              <w:tab/>
              <w:t>Assess risk</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2"/>
            </w:pPr>
            <w:r w:rsidRPr="00E77DAF">
              <w:t>4.1.</w:t>
            </w:r>
            <w:r w:rsidRPr="00E77DAF">
              <w:tab/>
              <w:t>Likelihood of hazards causing harm is considered and determined</w:t>
            </w:r>
          </w:p>
          <w:p w:rsidR="00000000" w:rsidRPr="00E77DAF" w:rsidP="00E77DAF">
            <w:pPr>
              <w:pStyle w:val="List2"/>
            </w:pPr>
            <w:r w:rsidRPr="00E77DAF">
              <w:t>4.2.</w:t>
            </w:r>
            <w:r w:rsidRPr="00E77DAF">
              <w:tab/>
              <w:t>Consequence if the event should oc</w:t>
            </w:r>
            <w:r w:rsidRPr="00E77DAF">
              <w:t>cur is evaluated and determined</w:t>
            </w:r>
          </w:p>
          <w:p w:rsidR="00000000" w:rsidP="00E77DAF">
            <w:pPr>
              <w:pStyle w:val="List2"/>
              <w:rPr>
                <w:lang w:val="en-NZ"/>
              </w:rPr>
            </w:pPr>
            <w:r w:rsidRPr="00E77DAF">
              <w:t>4.3.</w:t>
            </w:r>
            <w:r w:rsidRPr="00E77DAF">
              <w:tab/>
              <w:t>Risk level (likelihood and consequence combined) is considered and determined</w:t>
            </w:r>
          </w:p>
        </w:tc>
      </w:tr>
      <w:tr w:rsidTr="00C92F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
              <w:rPr>
                <w:lang w:val="en-NZ"/>
              </w:rPr>
            </w:pPr>
            <w:r w:rsidRPr="00E77DAF">
              <w:t>5.</w:t>
            </w:r>
            <w:r w:rsidRPr="00E77DAF">
              <w:tab/>
              <w:t>Apply risk control measures to decoration and design solutions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2"/>
            </w:pPr>
            <w:r w:rsidRPr="00E77DAF">
              <w:t>5.1.</w:t>
            </w:r>
            <w:r w:rsidRPr="00E77DAF">
              <w:tab/>
              <w:t>Project brief is analysed and potential safety issues identified</w:t>
            </w:r>
          </w:p>
          <w:p w:rsidR="00000000" w:rsidRPr="00E77DAF" w:rsidP="00E77DAF">
            <w:pPr>
              <w:pStyle w:val="List2"/>
            </w:pPr>
            <w:r w:rsidRPr="00E77DAF">
              <w:t>5.2.</w:t>
            </w:r>
            <w:r w:rsidRPr="00E77DAF">
              <w:tab/>
              <w:t>Solutions are evaluated for OHS implications</w:t>
            </w:r>
          </w:p>
          <w:p w:rsidR="00000000" w:rsidRPr="00E77DAF" w:rsidP="00E77DAF">
            <w:pPr>
              <w:pStyle w:val="List2"/>
            </w:pPr>
            <w:r w:rsidRPr="00E77DAF">
              <w:t>5.3.</w:t>
            </w:r>
            <w:r w:rsidRPr="00E77DAF">
              <w:tab/>
              <w:t>Range of options which may eliminate or minimise risks are identified</w:t>
            </w:r>
          </w:p>
          <w:p w:rsidR="00000000" w:rsidRPr="00E77DAF" w:rsidP="00E77DAF">
            <w:pPr>
              <w:pStyle w:val="List2"/>
            </w:pPr>
            <w:r w:rsidRPr="00E77DAF">
              <w:t>5.4.</w:t>
            </w:r>
            <w:r w:rsidRPr="00E77DAF">
              <w:tab/>
              <w:t>Most appropriate treatment for addressing risk is selected and applied to solution</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9" w:name="O_90491"/>
      <w:bookmarkEnd w:id="9"/>
      <w:r w:rsidRPr="00E77DAF">
        <w:t>Required Skills and Knowledge</w:t>
      </w:r>
    </w:p>
    <w:tbl>
      <w:tblPr>
        <w:tblW w:w="0" w:type="auto"/>
        <w:tblLayout w:type="fixed"/>
        <w:tblCellMar>
          <w:left w:w="62" w:type="dxa"/>
          <w:right w:w="62" w:type="dxa"/>
        </w:tblCellMar>
        <w:tblLook w:val="0000"/>
      </w:tblPr>
      <w:tblGrid>
        <w:gridCol w:w="8522"/>
      </w:tblGrid>
      <w:tr w:rsidTr="00C92F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REQUIRED SKILLS AND KNOWLEDGE</w:t>
            </w:r>
          </w:p>
        </w:tc>
      </w:tr>
      <w:tr w:rsidTr="00C92F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t>This section describes the skills and knowledge required for this unit.</w:t>
            </w:r>
          </w:p>
        </w:tc>
      </w:tr>
      <w:tr w:rsidTr="00C9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Required skills</w:t>
            </w:r>
          </w:p>
        </w:tc>
      </w:tr>
      <w:tr w:rsidTr="00C9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collecting, organising and understanding information related to work orders, basic plans and safety procedures</w:t>
            </w:r>
          </w:p>
          <w:p w:rsidR="00000000" w:rsidRPr="00E77DAF" w:rsidP="00E77DAF">
            <w:pPr>
              <w:pStyle w:val="ListBullet"/>
            </w:pPr>
            <w:r w:rsidRPr="00E77DAF">
              <w:t>communicating ideas and information to enable confirmation of safety and risk management requirements and specifications, coordination of the required work with site supervisor, other workers and customers, and the reporting of safety outcomes and problems</w:t>
            </w:r>
          </w:p>
          <w:p w:rsidR="00000000" w:rsidRPr="00E77DAF" w:rsidP="00E77DAF">
            <w:pPr>
              <w:pStyle w:val="ListBullet"/>
            </w:pPr>
            <w:r w:rsidRPr="00E77DAF">
              <w:t>working with others and in a team by recognising dependencies and using cooperative approaches to optimise safety management</w:t>
            </w:r>
          </w:p>
          <w:p w:rsidR="00000000" w:rsidRPr="00E77DAF" w:rsidP="00E77DAF">
            <w:pPr>
              <w:pStyle w:val="ListBullet"/>
            </w:pPr>
            <w:r w:rsidRPr="00E77DAF">
              <w:t>using pre-checking and inspection techniques to anticipate possible hazards</w:t>
            </w:r>
          </w:p>
          <w:p w:rsidR="00000000" w:rsidRPr="00E77DAF" w:rsidP="00E77DAF">
            <w:pPr>
              <w:pStyle w:val="ListBullet"/>
            </w:pPr>
            <w:r w:rsidRPr="00E77DAF">
              <w:t>recognising and responding to circumstances outside in</w:t>
            </w:r>
            <w:r w:rsidRPr="00E77DAF">
              <w:t>structions or personal competence</w:t>
            </w:r>
          </w:p>
          <w:p w:rsidR="00000000" w:rsidRPr="00E77DAF" w:rsidP="00E77DAF">
            <w:pPr>
              <w:pStyle w:val="ListBullet"/>
            </w:pPr>
            <w:r w:rsidRPr="00E77DAF">
              <w:t>planning and organising activities including the preparation and layout of the worksite and the obtaining of treatment equipment and materials to avoid any back tracking, work flow interruptions or wastage</w:t>
            </w:r>
          </w:p>
          <w:p w:rsidR="00000000" w:rsidRPr="00E77DAF" w:rsidP="00E77DAF">
            <w:pPr>
              <w:pStyle w:val="ListBullet"/>
            </w:pPr>
            <w:r w:rsidRPr="00E77DAF">
              <w:t>using mathematic</w:t>
            </w:r>
            <w:r w:rsidRPr="00E77DAF">
              <w:t>al ideas and techniques to correctly complete measurements, calculate area and estimate other material requirements for the management of workplace safety</w:t>
            </w:r>
          </w:p>
          <w:p w:rsidR="00000000" w:rsidRPr="00E77DAF" w:rsidP="00E77DAF">
            <w:pPr>
              <w:pStyle w:val="ListBullet"/>
            </w:pPr>
            <w:r w:rsidRPr="00E77DAF">
              <w:t>clarifying and confirming work instructions</w:t>
            </w:r>
          </w:p>
          <w:p w:rsidR="00000000" w:rsidRPr="00E77DAF" w:rsidP="00E77DAF">
            <w:pPr>
              <w:pStyle w:val="ListBullet"/>
            </w:pPr>
            <w:r w:rsidRPr="00E77DAF">
              <w:t>planning work within given task parameters</w:t>
            </w:r>
          </w:p>
          <w:p w:rsidR="00000000" w:rsidRPr="00E77DAF" w:rsidP="00E77DAF">
            <w:pPr>
              <w:pStyle w:val="ListBullet"/>
            </w:pPr>
            <w:r w:rsidRPr="00E77DAF">
              <w:t>accepting resp</w:t>
            </w:r>
            <w:r w:rsidRPr="00E77DAF">
              <w:t>onsibility for given tasks</w:t>
            </w:r>
          </w:p>
          <w:p w:rsidR="00000000" w:rsidRPr="00E77DAF" w:rsidP="00E77DAF">
            <w:pPr>
              <w:pStyle w:val="ListBullet"/>
            </w:pPr>
            <w:r w:rsidRPr="00E77DAF">
              <w:t>setting, monitoring and satisfying personal work goals</w:t>
            </w:r>
          </w:p>
          <w:p w:rsidR="00000000" w:rsidRPr="00E77DAF" w:rsidP="00E77DAF">
            <w:pPr>
              <w:pStyle w:val="ListBullet"/>
            </w:pPr>
            <w:r w:rsidRPr="00E77DAF">
              <w:t>satisfying the competency requirements for the job</w:t>
            </w:r>
          </w:p>
          <w:p w:rsidR="00000000" w:rsidRPr="00E77DAF" w:rsidP="00E77DAF">
            <w:pPr>
              <w:pStyle w:val="ListBullet"/>
            </w:pPr>
            <w:r w:rsidRPr="00E77DAF">
              <w:t>maintaining current knowledge of workplace safety standards and instructions</w:t>
            </w:r>
          </w:p>
          <w:p w:rsidR="00000000" w:rsidRPr="00E77DAF" w:rsidP="00E77DAF">
            <w:pPr>
              <w:pStyle w:val="ListBullet"/>
            </w:pPr>
            <w:r w:rsidRPr="00E77DAF">
              <w:t>seeking learning opportunities</w:t>
            </w:r>
          </w:p>
          <w:p w:rsidR="00000000" w:rsidP="00E77DAF">
            <w:pPr>
              <w:pStyle w:val="ListBullet"/>
              <w:rPr>
                <w:lang w:val="en-NZ"/>
              </w:rPr>
            </w:pPr>
            <w:r w:rsidRPr="00E77DAF">
              <w:t>using the workp</w:t>
            </w:r>
            <w:r w:rsidRPr="00E77DAF">
              <w:t>lace technology related to the risk management including tools, equipment, calculators and measuring devices</w:t>
            </w:r>
          </w:p>
        </w:tc>
      </w:tr>
      <w:tr w:rsidTr="00C9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Required knowledge</w:t>
            </w:r>
          </w:p>
        </w:tc>
      </w:tr>
      <w:tr w:rsidTr="00C92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State or Territory OHS legislation, regulations, standards and codes of practice relevant to risk management in an interior de</w:t>
            </w:r>
            <w:r w:rsidRPr="00E77DAF">
              <w:t>coration and design environment</w:t>
            </w:r>
          </w:p>
          <w:p w:rsidR="00000000" w:rsidRPr="00E77DAF" w:rsidP="00E77DAF">
            <w:pPr>
              <w:pStyle w:val="ListBullet"/>
            </w:pPr>
            <w:r w:rsidRPr="00E77DAF">
              <w:t xml:space="preserve">organisational and site standards, requirements, policies and procedures for interior decoration and design </w:t>
            </w:r>
          </w:p>
          <w:p w:rsidR="00000000" w:rsidRPr="00E77DAF" w:rsidP="00E77DAF">
            <w:pPr>
              <w:pStyle w:val="ListBullet"/>
            </w:pPr>
            <w:r w:rsidRPr="00E77DAF">
              <w:t>types of tools and equipment, their operating characteristics and procedures for their safe use, operation and main</w:t>
            </w:r>
            <w:r w:rsidRPr="00E77DAF">
              <w:t>tenance</w:t>
            </w:r>
          </w:p>
          <w:p w:rsidR="00000000" w:rsidRPr="00E77DAF" w:rsidP="00E77DAF">
            <w:pPr>
              <w:pStyle w:val="ListBullet"/>
            </w:pPr>
            <w:r w:rsidRPr="00E77DAF">
              <w:t>characteristics of materials, products and defects</w:t>
            </w:r>
          </w:p>
          <w:p w:rsidR="00000000" w:rsidRPr="00E77DAF" w:rsidP="00E77DAF">
            <w:pPr>
              <w:pStyle w:val="ListBullet"/>
            </w:pPr>
            <w:r w:rsidRPr="00E77DAF">
              <w:t>common interior decoration and design related hazards and the range of commonly applied treatments</w:t>
            </w:r>
          </w:p>
          <w:p w:rsidR="00000000" w:rsidRPr="00E77DAF" w:rsidP="00E77DAF">
            <w:pPr>
              <w:pStyle w:val="ListBullet"/>
            </w:pPr>
            <w:r w:rsidRPr="00E77DAF">
              <w:t>environmental protection requirements</w:t>
            </w:r>
          </w:p>
          <w:p w:rsidR="00000000" w:rsidRPr="00E77DAF" w:rsidP="00E77DAF">
            <w:pPr>
              <w:pStyle w:val="ListBullet"/>
            </w:pPr>
            <w:r w:rsidRPr="00E77DAF">
              <w:t>established communication channels and protocols</w:t>
            </w:r>
          </w:p>
          <w:p w:rsidR="00000000" w:rsidRPr="00E77DAF" w:rsidP="00E77DAF">
            <w:pPr>
              <w:pStyle w:val="ListBullet"/>
            </w:pPr>
            <w:r w:rsidRPr="00E77DAF">
              <w:t>problem identification and resolution</w:t>
            </w:r>
          </w:p>
          <w:p w:rsidR="00000000" w:rsidRPr="00E77DAF" w:rsidP="00E77DAF">
            <w:pPr>
              <w:pStyle w:val="ListBullet"/>
            </w:pPr>
            <w:r w:rsidRPr="00E77DAF">
              <w:t>appropriate mathematical procedures for estimation and measurement</w:t>
            </w:r>
          </w:p>
          <w:p w:rsidR="00000000" w:rsidRPr="00E77DAF" w:rsidP="00E77DAF">
            <w:pPr>
              <w:pStyle w:val="ListBullet"/>
            </w:pPr>
            <w:r w:rsidRPr="00E77DAF">
              <w:t>procedures for the recording, reporting and maintenance of workplace records and information</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10" w:name="O_90492"/>
      <w:bookmarkEnd w:id="10"/>
      <w:r w:rsidRPr="00E77DAF">
        <w:t>Evidence Guide</w:t>
      </w:r>
    </w:p>
    <w:tbl>
      <w:tblPr>
        <w:tblW w:w="9570" w:type="dxa"/>
        <w:tblLayout w:type="fixed"/>
        <w:tblCellMar>
          <w:left w:w="62" w:type="dxa"/>
          <w:right w:w="62" w:type="dxa"/>
        </w:tblCellMar>
        <w:tblLook w:val="0000"/>
      </w:tblPr>
      <w:tblGrid>
        <w:gridCol w:w="3984"/>
        <w:gridCol w:w="5586"/>
      </w:tblGrid>
      <w:tr w:rsidTr="00C92F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EVIDENCE GUIDE</w:t>
            </w:r>
          </w:p>
        </w:tc>
      </w:tr>
      <w:tr w:rsidTr="00C92F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t>The Evidence Guide provides advice on assessment and must be read in conjunction with the performance criteria, required skills and knowledge, range statement and the Assessment Guidelines for the Training Package.</w:t>
            </w:r>
          </w:p>
        </w:tc>
      </w:tr>
      <w:tr w:rsidTr="00C92F79">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Overview of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p>
        </w:tc>
      </w:tr>
      <w:tr w:rsidTr="00C92F79">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Critical aspec</w:t>
            </w:r>
            <w:r w:rsidRPr="00E77DAF">
              <w:rPr>
                <w:rStyle w:val="SpecialBold"/>
              </w:rPr>
              <w:t>ts for assessment and evidence required to demonstrate competency in this unit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Comply with legislation, regulations, standards, codes of practice and established safe practices and procedures for risk management in an interior decoration and design work en</w:t>
            </w:r>
            <w:r w:rsidRPr="00E77DAF">
              <w:t>vironment</w:t>
            </w:r>
          </w:p>
          <w:p w:rsidR="00000000" w:rsidRPr="00E77DAF" w:rsidP="00E77DAF">
            <w:pPr>
              <w:pStyle w:val="ListBullet"/>
            </w:pPr>
            <w:r w:rsidRPr="00E77DAF">
              <w:t>Locate and apply safety information</w:t>
            </w:r>
          </w:p>
          <w:p w:rsidR="00000000" w:rsidRPr="00E77DAF" w:rsidP="00E77DAF">
            <w:pPr>
              <w:pStyle w:val="ListBullet"/>
            </w:pPr>
            <w:r w:rsidRPr="00E77DAF">
              <w:t>Assess safety aspects of interior decoration and design solutions for a range of customers</w:t>
            </w:r>
          </w:p>
          <w:p w:rsidR="00000000" w:rsidRPr="00E77DAF" w:rsidP="00E77DAF">
            <w:pPr>
              <w:pStyle w:val="ListBullet"/>
            </w:pPr>
            <w:r w:rsidRPr="00E77DAF">
              <w:t>Address risks and hazards in interior decoration and design</w:t>
            </w:r>
          </w:p>
          <w:p w:rsidR="00000000" w:rsidRPr="00E77DAF" w:rsidP="00E77DAF">
            <w:pPr>
              <w:pStyle w:val="ListBullet"/>
            </w:pPr>
            <w:r w:rsidRPr="00E77DAF">
              <w:t>Complete a minimum of three risk assessments of  interio</w:t>
            </w:r>
            <w:r w:rsidRPr="00E77DAF">
              <w:t xml:space="preserve">r decoration and design solutions including the determination of required treatments </w:t>
            </w:r>
          </w:p>
          <w:p w:rsidR="00000000" w:rsidP="00E77DAF">
            <w:pPr>
              <w:pStyle w:val="ListBullet"/>
              <w:rPr>
                <w:lang w:val="en-NZ"/>
              </w:rPr>
            </w:pPr>
            <w:r w:rsidRPr="00E77DAF">
              <w:t>Work effectively with others</w:t>
            </w:r>
          </w:p>
        </w:tc>
      </w:tr>
      <w:tr w:rsidTr="00C92F79">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Context of and specific resources for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The application of competency is to be assessed in the workplace or realistically simulated</w:t>
            </w:r>
            <w:r w:rsidRPr="00E77DAF">
              <w:t xml:space="preserve"> workplace</w:t>
            </w:r>
          </w:p>
          <w:p w:rsidR="00000000" w:rsidRPr="00E77DAF" w:rsidP="00E77DAF">
            <w:pPr>
              <w:pStyle w:val="ListBullet"/>
            </w:pPr>
            <w:r w:rsidRPr="00E77DAF">
              <w:t>Assessment is to occur under standard and authorised work practices, safety requirements and environmental constraints</w:t>
            </w:r>
          </w:p>
          <w:p w:rsidR="00000000" w:rsidRPr="00E77DAF" w:rsidP="00E77DAF">
            <w:pPr>
              <w:pStyle w:val="ListBullet"/>
            </w:pPr>
            <w:r w:rsidRPr="00E77DAF">
              <w:t>Assessment of essential underpinning knowledge, other than confirmatory questions, will usually be conducted in an off-site co</w:t>
            </w:r>
            <w:r w:rsidRPr="00E77DAF">
              <w:t>ntext</w:t>
            </w:r>
          </w:p>
          <w:p w:rsidR="00000000" w:rsidRPr="00E77DAF" w:rsidP="00E77DAF">
            <w:pPr>
              <w:pStyle w:val="ListBullet"/>
            </w:pPr>
            <w:r w:rsidRPr="00E77DAF">
              <w:t>Assessment is to comply with relevant regulatory or Australian Standards requirements</w:t>
            </w:r>
          </w:p>
          <w:p w:rsidR="00000000" w:rsidRPr="00E77DAF" w:rsidP="00E77DAF">
            <w:pPr>
              <w:pStyle w:val="ListBullet"/>
            </w:pPr>
            <w:r w:rsidRPr="00E77DAF">
              <w:t>The following resources should be made available:</w:t>
            </w:r>
          </w:p>
          <w:p w:rsidR="00000000" w:rsidRPr="00E77DAF" w:rsidP="00E77DAF">
            <w:pPr>
              <w:pStyle w:val="ListBullet2"/>
            </w:pPr>
            <w:r w:rsidRPr="00E77DAF">
              <w:t xml:space="preserve">workplace location or simulated workplace </w:t>
            </w:r>
          </w:p>
          <w:p w:rsidR="00000000" w:rsidRPr="00E77DAF" w:rsidP="00E77DAF">
            <w:pPr>
              <w:pStyle w:val="ListBullet2"/>
            </w:pPr>
            <w:r w:rsidRPr="00E77DAF">
              <w:t>materials and equipment relevant to determining OHS implications of interior effects</w:t>
            </w:r>
          </w:p>
          <w:p w:rsidR="00000000" w:rsidP="00E77DAF">
            <w:pPr>
              <w:pStyle w:val="ListBullet2"/>
              <w:rPr>
                <w:lang w:val="en-NZ"/>
              </w:rPr>
            </w:pPr>
            <w:r w:rsidRPr="00E77DAF">
              <w:t>specifications and work instructions</w:t>
            </w:r>
          </w:p>
        </w:tc>
      </w:tr>
      <w:tr w:rsidTr="00C92F79">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Method of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Assessment must satisfy the endorsed assessment guidelines of the Furnishing Industry Training Package</w:t>
            </w:r>
          </w:p>
          <w:p w:rsidR="00000000" w:rsidRPr="00E77DAF" w:rsidP="00E77DAF">
            <w:pPr>
              <w:pStyle w:val="ListBullet"/>
            </w:pPr>
            <w:r w:rsidRPr="00E77DAF">
              <w:t>Assessmen</w:t>
            </w:r>
            <w:r w:rsidRPr="00E77DAF">
              <w:t>t methods must confirm consistency and accuracy of performance (over time and in a range of workplace relevant contexts) together with application of underpinning knowledge</w:t>
            </w:r>
          </w:p>
          <w:p w:rsidR="00000000" w:rsidRPr="00E77DAF" w:rsidP="00E77DAF">
            <w:pPr>
              <w:pStyle w:val="ListBullet"/>
            </w:pPr>
            <w:r w:rsidRPr="00E77DAF">
              <w:t>Assessment methods must be by direct observation of tasks and include questioning o</w:t>
            </w:r>
            <w:r w:rsidRPr="00E77DAF">
              <w:t>n underpinning knowledge to ensure its correct interpretation and application</w:t>
            </w:r>
          </w:p>
          <w:p w:rsidR="00000000" w:rsidRPr="00E77DAF" w:rsidP="00E77DAF">
            <w:pPr>
              <w:pStyle w:val="ListBullet"/>
            </w:pPr>
            <w:r w:rsidRPr="00E77DAF">
              <w:t>Assessment may be applied under project related conditions (real or simulated) and require evidence of process</w:t>
            </w:r>
          </w:p>
          <w:p w:rsidR="00000000" w:rsidRPr="00E77DAF" w:rsidP="00E77DAF">
            <w:pPr>
              <w:pStyle w:val="ListBullet"/>
            </w:pPr>
            <w:r w:rsidRPr="00E77DAF">
              <w:t>Assessment must confirm a reasonable inference that competency is a</w:t>
            </w:r>
            <w:r w:rsidRPr="00E77DAF">
              <w:t>ble not only to be satisfied under the particular circumstance, but is able to be transferred to other circumstances</w:t>
            </w:r>
          </w:p>
          <w:p w:rsidR="00000000" w:rsidP="00E77DAF">
            <w:pPr>
              <w:pStyle w:val="ListBullet"/>
              <w:rPr>
                <w:lang w:val="en-NZ"/>
              </w:rPr>
            </w:pPr>
            <w:r w:rsidRPr="00E77DAF">
              <w:t>Assessment may be in conjunction with assessment of other units of competency</w:t>
            </w:r>
          </w:p>
        </w:tc>
      </w:tr>
      <w:tr w:rsidTr="00C92F79">
        <w:tblPrEx>
          <w:tblW w:w="9570" w:type="dxa"/>
          <w:tblLayout w:type="fixed"/>
          <w:tblCellMar>
            <w:left w:w="62" w:type="dxa"/>
            <w:right w:w="62" w:type="dxa"/>
          </w:tblCellMar>
          <w:tblLook w:val="0000"/>
        </w:tblPrEx>
        <w:tc>
          <w:tcPr>
            <w:tcW w:w="3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Guidance information for assessment</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11" w:name="O_90493"/>
      <w:bookmarkEnd w:id="11"/>
      <w:r w:rsidRPr="00E77DAF">
        <w:t>Range Statement</w:t>
      </w:r>
    </w:p>
    <w:tbl>
      <w:tblPr>
        <w:tblW w:w="0" w:type="auto"/>
        <w:tblLayout w:type="fixed"/>
        <w:tblCellMar>
          <w:left w:w="62" w:type="dxa"/>
          <w:right w:w="62" w:type="dxa"/>
        </w:tblCellMar>
        <w:tblLook w:val="0000"/>
      </w:tblPr>
      <w:tblGrid>
        <w:gridCol w:w="3540"/>
        <w:gridCol w:w="4982"/>
      </w:tblGrid>
      <w:tr w:rsidTr="00C92F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RANGE STATEMENT</w:t>
            </w:r>
          </w:p>
        </w:tc>
      </w:tr>
      <w:tr w:rsidTr="00C92F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t>The range statement relates to the unit of competency as a whole. It allows for different work environments and situations that may affect performance. Bold italicised wording, if used in the performance criteria, is detai</w:t>
            </w:r>
            <w:r w:rsidRPr="00E77DAF">
              <w:t>led below. Essential operating conditions that may be present with training and assessment (depending on the work situation, needs of the candidate, accessibility of the item, and local industry and regional contexts) may also be included.</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Duty of care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Duty of care requires everything 'reasonably practicable' to be done to protect the health and safety of others at the workplace. This duty is placed on:</w:t>
            </w:r>
          </w:p>
          <w:p w:rsidR="00000000" w:rsidRPr="00E77DAF" w:rsidP="00E77DAF">
            <w:pPr>
              <w:pStyle w:val="ListBullet"/>
            </w:pPr>
            <w:r w:rsidRPr="00E77DAF">
              <w:t>all employers</w:t>
            </w:r>
          </w:p>
          <w:p w:rsidR="00000000" w:rsidRPr="00E77DAF" w:rsidP="00E77DAF">
            <w:pPr>
              <w:pStyle w:val="ListBullet"/>
            </w:pPr>
            <w:r w:rsidRPr="00E77DAF">
              <w:t>their employees</w:t>
            </w:r>
          </w:p>
          <w:p w:rsidR="00000000" w:rsidP="00E77DAF">
            <w:pPr>
              <w:pStyle w:val="ListBullet"/>
              <w:rPr>
                <w:lang w:val="en-NZ"/>
              </w:rPr>
            </w:pPr>
            <w:r w:rsidRPr="00E77DAF">
              <w:t>any others who have an influence on the hazards in a workplace</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Responsi</w:t>
            </w:r>
            <w:r w:rsidRPr="00E77DAF">
              <w:rPr>
                <w:rStyle w:val="SpecialBold"/>
              </w:rPr>
              <w:t>bilities of individuals and organisations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limited to complying, as far possible, with all activities carried out in accordance with the standard and reporting anything that might affect compliance with the standard</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Hierarchy of cont</w:t>
            </w:r>
            <w:r w:rsidRPr="00E77DAF">
              <w:rPr>
                <w:rStyle w:val="SpecialBold"/>
              </w:rPr>
              <w:t>rol</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limited to the range of feasible options for managing the risk to health and safety. The hierarchy normally ranges over the following controls: elimination of the hazard; its substitution with a less harmful version; its redesign</w:t>
            </w:r>
            <w:r w:rsidRPr="00E77DAF">
              <w:t>; engineering controls; isolation of the hazard from people at the workplace; safe work practices; redesigning work systems; and the use of personal protective equipment by people at the workplace</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Systematic approach</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limited to haza</w:t>
            </w:r>
            <w:r w:rsidRPr="00E77DAF">
              <w:t>rd identification, risk assessment, risk control, review</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Legislative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 xml:space="preserve">are to be in accordance with applicable legislation from all levels of government that affect organisational operation. Requirements </w:t>
            </w:r>
            <w:r w:rsidRPr="00E77DAF">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E77DAF">
              <w:t>heritage</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OHS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are to be in accordance with Commonwealth, State or Territory legislation and regulations, organisational safety policies and procedures. Requirements may include but not be limited to the use of personal protective equipment and</w:t>
            </w:r>
            <w:r w:rsidRPr="00E77DAF">
              <w:t xml:space="preserve"> clothing, fire fighting equipment, first aid equipment, hazard and risk control and elimination, control of hazardous materials and substances, manual handling including lifting and carrying</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Organisational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 xml:space="preserve">may include but not be limited to legal, organisational and site guidelines, policies and procedures relating to own role and responsibility, quality assurance, procedural manuals, quality and continuous improvement processes and standards, OHS, emergency </w:t>
            </w:r>
            <w:r w:rsidRPr="00E77DAF">
              <w:t>and evacuation, ethical standards, recording and reporting, access and equity principles and practices, equipment use, maintenance and storage, environmental management (waste disposal, recycling and re-use guidelines)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Materials</w:t>
            </w:r>
            <w:r w:rsidRPr="00E77DA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w:t>
            </w:r>
            <w:r w:rsidRPr="00E77DAF">
              <w:t>mited to adhesives, nails, and staples, paint, treatments and finishes, fixtures, fabrics, animal skin, wood, metal, plastic, foam and oils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Hazards associated with materials</w:t>
            </w:r>
            <w:r w:rsidRPr="00E77DA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may include but not be limited to chemical properties such as toxicity, fumes, c</w:t>
            </w:r>
            <w:r w:rsidRPr="00E77DAF">
              <w:t>ombustibility</w:t>
            </w:r>
          </w:p>
          <w:p w:rsidR="00000000" w:rsidRPr="00E77DAF" w:rsidP="00E77DAF">
            <w:pPr>
              <w:pStyle w:val="ListBullet"/>
            </w:pPr>
            <w:r w:rsidRPr="00E77DAF">
              <w:t>physical properties such as strength, weakness, splintering, breakage, weight</w:t>
            </w:r>
          </w:p>
          <w:p w:rsidR="00000000" w:rsidRPr="00E77DAF" w:rsidP="00E77DAF">
            <w:pPr>
              <w:pStyle w:val="ListBullet"/>
            </w:pPr>
            <w:r w:rsidRPr="00E77DAF">
              <w:t>components such as adhesives, nails, and staples</w:t>
            </w:r>
          </w:p>
          <w:p w:rsidR="00000000" w:rsidP="00E77DAF">
            <w:pPr>
              <w:pStyle w:val="ListBullet"/>
              <w:rPr>
                <w:lang w:val="en-NZ"/>
              </w:rPr>
            </w:pPr>
            <w:r w:rsidRPr="00E77DAF">
              <w:t>manual handling requirements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Effects</w:t>
            </w:r>
            <w:r w:rsidRPr="00E77DA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limited to furniture, fixtures, finishes, accessories, soft furnishings, lighting and special effects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Hazards associated with effects</w:t>
            </w:r>
            <w:r w:rsidRPr="00E77DA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 xml:space="preserve">may include but not be limited to chemical properties such as toxicity, fumes, combustibility </w:t>
            </w:r>
          </w:p>
          <w:p w:rsidR="00000000" w:rsidRPr="00E77DAF" w:rsidP="00E77DAF">
            <w:pPr>
              <w:pStyle w:val="ListBullet"/>
            </w:pPr>
            <w:r w:rsidRPr="00E77DAF">
              <w:t>ph</w:t>
            </w:r>
            <w:r w:rsidRPr="00E77DAF">
              <w:t>ysical properties such as strength, weakness, splintering, breakage, weight</w:t>
            </w:r>
          </w:p>
          <w:p w:rsidR="00000000" w:rsidRPr="00E77DAF" w:rsidP="00E77DAF">
            <w:pPr>
              <w:pStyle w:val="ListBullet"/>
            </w:pPr>
            <w:r w:rsidRPr="00E77DAF">
              <w:t>components such as adhesives, nails, and staples</w:t>
            </w:r>
          </w:p>
          <w:p w:rsidR="00000000" w:rsidRPr="00E77DAF" w:rsidP="00E77DAF">
            <w:pPr>
              <w:pStyle w:val="ListBullet"/>
            </w:pPr>
            <w:r w:rsidRPr="00E77DAF">
              <w:t>manual handling requirements</w:t>
            </w:r>
          </w:p>
          <w:p w:rsidR="00000000" w:rsidRPr="00E77DAF" w:rsidP="00E77DAF">
            <w:pPr>
              <w:pStyle w:val="ListBullet"/>
            </w:pPr>
            <w:r w:rsidRPr="00E77DAF">
              <w:t xml:space="preserve">location and positioning considerations such as accessibility and obstruction, fixing and securing  </w:t>
            </w:r>
          </w:p>
          <w:p w:rsidR="00000000" w:rsidRPr="00E77DAF" w:rsidP="00E77DAF">
            <w:pPr>
              <w:pStyle w:val="ListBullet"/>
            </w:pPr>
            <w:r w:rsidRPr="00E77DAF">
              <w:t>p</w:t>
            </w:r>
            <w:r w:rsidRPr="00E77DAF">
              <w:t>lacement of power sources and leads</w:t>
            </w:r>
          </w:p>
          <w:p w:rsidR="00000000" w:rsidP="00E77DAF">
            <w:pPr>
              <w:pStyle w:val="ListBullet"/>
              <w:rPr>
                <w:lang w:val="en-NZ"/>
              </w:rPr>
            </w:pPr>
            <w:r w:rsidRPr="00E77DAF">
              <w:t>ergonomics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Range of customers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ListBullet"/>
              <w:rPr>
                <w:lang w:val="en-NZ"/>
              </w:rPr>
            </w:pPr>
            <w:r w:rsidRPr="00E77DAF">
              <w:t>may include but not be limited to aged and the elderly, people with disabilities, children, adults</w:t>
            </w:r>
          </w:p>
        </w:tc>
      </w:tr>
      <w:tr w:rsidTr="00C92F7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Potential hazards to customers</w:t>
            </w:r>
            <w:r w:rsidRPr="00E77DA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ListBullet"/>
            </w:pPr>
            <w:r w:rsidRPr="00E77DAF">
              <w:t>may include but not be limited to allergies to materials,</w:t>
            </w:r>
            <w:r w:rsidRPr="00E77DAF">
              <w:t xml:space="preserve"> injury from materials or components, injury due to design faults, lack of stability, breakages, difficult to handle or install effects and electric shock</w:t>
            </w:r>
          </w:p>
        </w:tc>
      </w:tr>
    </w:tbl>
    <w:p w:rsidR="00C92F79" w:rsidP="00E77DAF">
      <w:pPr>
        <w:pStyle w:val="BodyText"/>
      </w:pPr>
    </w:p>
    <w:p w:rsidR="00C92F79" w:rsidP="00E77DAF">
      <w:pPr>
        <w:pStyle w:val="BodyText"/>
      </w:pPr>
    </w:p>
    <w:p w:rsidR="00000000" w:rsidRPr="00E77DAF" w:rsidP="00E77DAF">
      <w:pPr>
        <w:pStyle w:val="Heading1"/>
      </w:pPr>
      <w:bookmarkStart w:id="12" w:name="O_90494"/>
      <w:bookmarkEnd w:id="12"/>
      <w:r w:rsidRPr="00E77DAF">
        <w:t>Unit Sector(s)</w:t>
      </w:r>
    </w:p>
    <w:tbl>
      <w:tblPr>
        <w:tblW w:w="0" w:type="auto"/>
        <w:tblLayout w:type="fixed"/>
        <w:tblCellMar>
          <w:left w:w="62" w:type="dxa"/>
          <w:right w:w="62" w:type="dxa"/>
        </w:tblCellMar>
        <w:tblLook w:val="0000"/>
      </w:tblPr>
      <w:tblGrid>
        <w:gridCol w:w="2620"/>
        <w:gridCol w:w="5902"/>
      </w:tblGrid>
      <w:tr w:rsidTr="00C92F7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r w:rsidRPr="00E77DAF">
              <w:t>Interior decoration and design.</w:t>
            </w: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13" w:name="O_158304"/>
      <w:bookmarkEnd w:id="13"/>
      <w:r w:rsidRPr="00E77DAF">
        <w:t>Competency field</w:t>
      </w:r>
    </w:p>
    <w:tbl>
      <w:tblPr>
        <w:tblW w:w="0" w:type="auto"/>
        <w:tblLayout w:type="fixed"/>
        <w:tblCellMar>
          <w:left w:w="62" w:type="dxa"/>
          <w:right w:w="62" w:type="dxa"/>
        </w:tblCellMar>
        <w:tblLook w:val="0000"/>
      </w:tblPr>
      <w:tblGrid>
        <w:gridCol w:w="2784"/>
        <w:gridCol w:w="5738"/>
      </w:tblGrid>
      <w:tr w:rsidTr="00C92F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p>
        </w:tc>
      </w:tr>
    </w:tbl>
    <w:p w:rsidR="00000000" w:rsidRPr="00E77DAF" w:rsidP="00E77DAF">
      <w:pPr>
        <w:pStyle w:val="BodyText"/>
      </w:pPr>
    </w:p>
    <w:p w:rsidR="00000000" w:rsidRPr="00E77DAF" w:rsidP="00E77DAF">
      <w:pPr>
        <w:pStyle w:val="AllowPageBreak"/>
      </w:pPr>
    </w:p>
    <w:p w:rsidR="00000000" w:rsidRPr="00E77DAF" w:rsidP="00E77DAF">
      <w:pPr>
        <w:pStyle w:val="Heading1"/>
      </w:pPr>
      <w:bookmarkStart w:id="14" w:name="O_158303"/>
      <w:bookmarkEnd w:id="14"/>
      <w:r w:rsidRPr="00E77DAF">
        <w:t>Co-requisite units</w:t>
      </w:r>
    </w:p>
    <w:tbl>
      <w:tblPr>
        <w:tblW w:w="0" w:type="auto"/>
        <w:tblLayout w:type="fixed"/>
        <w:tblCellMar>
          <w:left w:w="62" w:type="dxa"/>
          <w:right w:w="62" w:type="dxa"/>
        </w:tblCellMar>
        <w:tblLook w:val="0000"/>
      </w:tblPr>
      <w:tblGrid>
        <w:gridCol w:w="2641"/>
        <w:gridCol w:w="1322"/>
        <w:gridCol w:w="4559"/>
      </w:tblGrid>
      <w:tr w:rsidTr="00C92F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r w:rsidRPr="00E77D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p>
        </w:tc>
      </w:tr>
      <w:tr w:rsidTr="00C92F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DAF">
            <w:pPr>
              <w:pStyle w:val="BodyText"/>
              <w:rPr>
                <w:lang w:val="en-NZ"/>
              </w:rPr>
            </w:pPr>
          </w:p>
        </w:tc>
      </w:tr>
      <w:tr w:rsidTr="00C92F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DAF" w:rsidP="00E77DAF">
            <w:pPr>
              <w:pStyle w:val="BodyText"/>
            </w:pPr>
          </w:p>
        </w:tc>
      </w:tr>
    </w:tbl>
    <w:p w:rsidR="00000000" w:rsidRPr="00E77DAF" w:rsidP="00E77DAF">
      <w:pPr>
        <w:pStyle w:val="BodyText"/>
      </w:pPr>
    </w:p>
    <w:p w:rsidR="00000000" w:rsidRPr="00E77DAF" w:rsidP="00E77DAF"/>
    <w:sectPr w:rsidSect="00E77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F79" w:rsidP="00C92F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79" w:rsidP="00E77D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2F79" w:rsidP="00E77D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2F79" w:rsidP="00E77D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F" w:rsidRPr="00C92F79" w:rsidP="00C92F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79" w:rsidRPr="002D2AF8" w:rsidP="00E77DAF">
    <w:pPr>
      <w:pStyle w:val="Header"/>
      <w:framePr w:wrap="around"/>
    </w:pPr>
    <w:r>
      <w:fldChar w:fldCharType="begin"/>
    </w:r>
    <w:r>
      <w:instrText xml:space="preserve"> TITLE   \* MERGEFORMAT </w:instrText>
    </w:r>
    <w:r>
      <w:fldChar w:fldCharType="separate"/>
    </w:r>
    <w:r>
      <w:t>LMFID4011A Determine occupational health and safety implications of interior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2F79" w:rsidP="00E77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0A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0C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89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DAF"/>
    <w:pPr>
      <w:spacing w:before="360" w:after="60"/>
      <w:outlineLvl w:val="0"/>
    </w:pPr>
    <w:rPr>
      <w:sz w:val="32"/>
    </w:rPr>
  </w:style>
  <w:style w:type="paragraph" w:styleId="Heading2">
    <w:name w:val="heading 2"/>
    <w:basedOn w:val="HeadingBase"/>
    <w:next w:val="BodyText"/>
    <w:link w:val="Heading2Char"/>
    <w:qFormat/>
    <w:rsid w:val="00E77DAF"/>
    <w:pPr>
      <w:keepLines/>
      <w:spacing w:before="240" w:after="120"/>
      <w:outlineLvl w:val="1"/>
    </w:pPr>
    <w:rPr>
      <w:sz w:val="28"/>
      <w:szCs w:val="40"/>
    </w:rPr>
  </w:style>
  <w:style w:type="paragraph" w:styleId="Heading3">
    <w:name w:val="heading 3"/>
    <w:basedOn w:val="HeadingBase"/>
    <w:next w:val="BodyText"/>
    <w:link w:val="Heading3Char"/>
    <w:qFormat/>
    <w:rsid w:val="00E77DAF"/>
    <w:pPr>
      <w:spacing w:before="180" w:after="120"/>
      <w:outlineLvl w:val="2"/>
    </w:pPr>
    <w:rPr>
      <w:spacing w:val="-10"/>
      <w:kern w:val="32"/>
    </w:rPr>
  </w:style>
  <w:style w:type="paragraph" w:styleId="Heading4">
    <w:name w:val="heading 4"/>
    <w:basedOn w:val="HeadingBase"/>
    <w:next w:val="BodyText"/>
    <w:link w:val="Heading4Char"/>
    <w:qFormat/>
    <w:rsid w:val="00E77DAF"/>
    <w:pPr>
      <w:spacing w:before="160" w:after="120"/>
      <w:outlineLvl w:val="3"/>
    </w:pPr>
    <w:rPr>
      <w:sz w:val="22"/>
    </w:rPr>
  </w:style>
  <w:style w:type="paragraph" w:styleId="Heading5">
    <w:name w:val="heading 5"/>
    <w:basedOn w:val="HeadingBase"/>
    <w:next w:val="Normal"/>
    <w:link w:val="Heading5Char"/>
    <w:qFormat/>
    <w:rsid w:val="00E77DAF"/>
    <w:pPr>
      <w:spacing w:before="80"/>
      <w:outlineLvl w:val="4"/>
    </w:pPr>
    <w:rPr>
      <w:color w:val="918585"/>
      <w:sz w:val="20"/>
    </w:rPr>
  </w:style>
  <w:style w:type="paragraph" w:styleId="Heading6">
    <w:name w:val="heading 6"/>
    <w:basedOn w:val="HeadingBase"/>
    <w:next w:val="Normal"/>
    <w:link w:val="Heading6Char"/>
    <w:qFormat/>
    <w:rsid w:val="00E77DAF"/>
    <w:pPr>
      <w:spacing w:before="60"/>
      <w:outlineLvl w:val="5"/>
    </w:pPr>
    <w:rPr>
      <w:color w:val="918585"/>
      <w:sz w:val="20"/>
    </w:rPr>
  </w:style>
  <w:style w:type="paragraph" w:styleId="Heading7">
    <w:name w:val="heading 7"/>
    <w:basedOn w:val="Normal"/>
    <w:next w:val="Normal"/>
    <w:link w:val="Heading7Char"/>
    <w:qFormat/>
    <w:rsid w:val="00E77DAF"/>
    <w:pPr>
      <w:ind w:left="720"/>
      <w:outlineLvl w:val="6"/>
    </w:pPr>
    <w:rPr>
      <w:i/>
    </w:rPr>
  </w:style>
  <w:style w:type="paragraph" w:styleId="Heading8">
    <w:name w:val="heading 8"/>
    <w:basedOn w:val="Normal"/>
    <w:next w:val="Normal"/>
    <w:link w:val="Heading8Char"/>
    <w:qFormat/>
    <w:rsid w:val="00E77DAF"/>
    <w:pPr>
      <w:ind w:left="720"/>
      <w:outlineLvl w:val="7"/>
    </w:pPr>
    <w:rPr>
      <w:i/>
    </w:rPr>
  </w:style>
  <w:style w:type="paragraph" w:styleId="Heading9">
    <w:name w:val="heading 9"/>
    <w:basedOn w:val="Normal"/>
    <w:next w:val="Normal"/>
    <w:link w:val="Heading9Char"/>
    <w:qFormat/>
    <w:rsid w:val="00E77DAF"/>
    <w:pPr>
      <w:ind w:left="720"/>
      <w:outlineLvl w:val="8"/>
    </w:pPr>
    <w:rPr>
      <w:i/>
    </w:rPr>
  </w:style>
  <w:style w:type="character" w:default="1" w:styleId="DefaultParagraphFont">
    <w:name w:val="Default Paragraph Font"/>
    <w:uiPriority w:val="1"/>
    <w:unhideWhenUsed/>
    <w:rsid w:val="00E77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DAF"/>
  </w:style>
  <w:style w:type="character" w:customStyle="1" w:styleId="Heading1Char">
    <w:name w:val="Heading 1 Char"/>
    <w:basedOn w:val="DefaultParagraphFont"/>
    <w:link w:val="Heading1"/>
    <w:rsid w:val="00E77DAF"/>
    <w:rPr>
      <w:rFonts w:ascii="Times New Roman" w:eastAsia="Times New Roman" w:hAnsi="Times New Roman" w:cs="Times New Roman"/>
      <w:b/>
      <w:sz w:val="32"/>
      <w:szCs w:val="20"/>
      <w:lang w:eastAsia="en-US"/>
    </w:rPr>
  </w:style>
  <w:style w:type="paragraph" w:styleId="BodyText">
    <w:name w:val="Body Text"/>
    <w:basedOn w:val="Normal"/>
    <w:link w:val="BodyTextChar"/>
    <w:rsid w:val="00E77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DAF"/>
    <w:rPr>
      <w:rFonts w:ascii="Times New Roman" w:eastAsia="Times New Roman" w:hAnsi="Times New Roman" w:cs="Times New Roman"/>
      <w:sz w:val="24"/>
      <w:lang w:eastAsia="en-US"/>
    </w:rPr>
  </w:style>
  <w:style w:type="paragraph" w:styleId="Footer">
    <w:name w:val="footer"/>
    <w:basedOn w:val="Normal"/>
    <w:link w:val="FooterChar"/>
    <w:rsid w:val="00E77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DAF"/>
    <w:rPr>
      <w:rFonts w:ascii="Times New Roman" w:eastAsia="Times New Roman" w:hAnsi="Times New Roman" w:cs="Times New Roman"/>
      <w:sz w:val="16"/>
      <w:lang w:eastAsia="en-US"/>
    </w:rPr>
  </w:style>
  <w:style w:type="paragraph" w:styleId="List">
    <w:name w:val="List"/>
    <w:basedOn w:val="BodyText"/>
    <w:next w:val="BodyText"/>
    <w:rsid w:val="00E77DAF"/>
    <w:pPr>
      <w:tabs>
        <w:tab w:val="left" w:pos="340"/>
      </w:tabs>
      <w:spacing w:before="60" w:after="60"/>
      <w:ind w:left="340" w:hanging="340"/>
    </w:pPr>
  </w:style>
  <w:style w:type="paragraph" w:styleId="ListBullet">
    <w:name w:val="List Bullet"/>
    <w:basedOn w:val="List"/>
    <w:rsid w:val="00E77DAF"/>
    <w:pPr>
      <w:numPr>
        <w:numId w:val="13"/>
      </w:numPr>
      <w:tabs>
        <w:tab w:val="clear" w:pos="340"/>
      </w:tabs>
      <w:spacing w:before="40" w:after="40"/>
    </w:pPr>
  </w:style>
  <w:style w:type="character" w:customStyle="1" w:styleId="SpecialBold">
    <w:name w:val="Special Bold"/>
    <w:basedOn w:val="DefaultParagraphFont"/>
    <w:rsid w:val="00E77DAF"/>
    <w:rPr>
      <w:b/>
      <w:spacing w:val="0"/>
    </w:rPr>
  </w:style>
  <w:style w:type="paragraph" w:styleId="ListBullet2">
    <w:name w:val="List Bullet 2"/>
    <w:basedOn w:val="List2"/>
    <w:rsid w:val="00E77DAF"/>
    <w:pPr>
      <w:numPr>
        <w:numId w:val="14"/>
      </w:numPr>
      <w:tabs>
        <w:tab w:val="clear" w:pos="680"/>
      </w:tabs>
    </w:pPr>
  </w:style>
  <w:style w:type="paragraph" w:customStyle="1" w:styleId="SuperHeading">
    <w:name w:val="SuperHeading"/>
    <w:basedOn w:val="Normal"/>
    <w:rsid w:val="00E77DAF"/>
    <w:pPr>
      <w:spacing w:before="240" w:after="120"/>
      <w:outlineLvl w:val="0"/>
    </w:pPr>
    <w:rPr>
      <w:rFonts w:ascii="Times New Roman" w:hAnsi="Times New Roman"/>
      <w:b/>
      <w:sz w:val="28"/>
    </w:rPr>
  </w:style>
  <w:style w:type="paragraph" w:customStyle="1" w:styleId="AllowPageBreak">
    <w:name w:val="AllowPageBreak"/>
    <w:rsid w:val="00E77D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DAF"/>
    <w:pPr>
      <w:tabs>
        <w:tab w:val="left" w:pos="680"/>
      </w:tabs>
      <w:spacing w:before="60" w:after="60"/>
      <w:ind w:left="680" w:hanging="340"/>
    </w:pPr>
  </w:style>
  <w:style w:type="character" w:customStyle="1" w:styleId="BoldandItalics">
    <w:name w:val="Bold and Italics"/>
    <w:qFormat/>
    <w:rsid w:val="00E77DAF"/>
    <w:rPr>
      <w:b/>
      <w:i/>
      <w:u w:val="none"/>
    </w:rPr>
  </w:style>
  <w:style w:type="character" w:customStyle="1" w:styleId="Heading2Char">
    <w:name w:val="Heading 2 Char"/>
    <w:basedOn w:val="DefaultParagraphFont"/>
    <w:link w:val="Heading2"/>
    <w:rsid w:val="00E77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DAF"/>
    <w:rPr>
      <w:rFonts w:ascii="Courier New" w:eastAsia="Times New Roman" w:hAnsi="Courier New" w:cs="Times New Roman"/>
      <w:i/>
      <w:szCs w:val="20"/>
      <w:lang w:eastAsia="en-US"/>
    </w:rPr>
  </w:style>
  <w:style w:type="paragraph" w:customStyle="1" w:styleId="HeadingBase">
    <w:name w:val="Heading Base"/>
    <w:rsid w:val="00E77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DAF"/>
    <w:pPr>
      <w:tabs>
        <w:tab w:val="right" w:leader="dot" w:pos="9072"/>
      </w:tabs>
      <w:ind w:left="567"/>
    </w:pPr>
    <w:rPr>
      <w:szCs w:val="22"/>
    </w:rPr>
  </w:style>
  <w:style w:type="paragraph" w:customStyle="1" w:styleId="TOCBase">
    <w:name w:val="TOC Base"/>
    <w:rsid w:val="00E77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DAF"/>
    <w:pPr>
      <w:tabs>
        <w:tab w:val="right" w:leader="dot" w:pos="9072"/>
      </w:tabs>
      <w:spacing w:before="40" w:after="40"/>
      <w:ind w:left="284"/>
    </w:pPr>
    <w:rPr>
      <w:rFonts w:ascii="Times New Roman" w:hAnsi="Times New Roman"/>
    </w:rPr>
  </w:style>
  <w:style w:type="paragraph" w:styleId="TOC1">
    <w:name w:val="toc 1"/>
    <w:basedOn w:val="TOCBase"/>
    <w:next w:val="Normal"/>
    <w:rsid w:val="00E77D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DAF"/>
    <w:pPr>
      <w:spacing w:before="5040"/>
      <w:jc w:val="center"/>
    </w:pPr>
    <w:rPr>
      <w:sz w:val="48"/>
      <w:szCs w:val="72"/>
      <w:lang w:val="en-US"/>
    </w:rPr>
  </w:style>
  <w:style w:type="character" w:customStyle="1" w:styleId="TitleChar">
    <w:name w:val="Title Char"/>
    <w:basedOn w:val="DefaultParagraphFont"/>
    <w:link w:val="Title"/>
    <w:rsid w:val="00E77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DAF"/>
    <w:pPr>
      <w:tabs>
        <w:tab w:val="left" w:pos="3600"/>
        <w:tab w:val="left" w:pos="3958"/>
      </w:tabs>
    </w:pPr>
  </w:style>
  <w:style w:type="paragraph" w:customStyle="1" w:styleId="Note">
    <w:name w:val="Note"/>
    <w:basedOn w:val="BodyText"/>
    <w:rsid w:val="00E77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DAF"/>
    <w:pPr>
      <w:framePr w:wrap="auto" w:hAnchor="text" w:y="6049"/>
    </w:pPr>
    <w:rPr>
      <w:color w:val="000000"/>
      <w:sz w:val="40"/>
    </w:rPr>
  </w:style>
  <w:style w:type="paragraph" w:customStyle="1" w:styleId="TOCTitle">
    <w:name w:val="TOCTitle"/>
    <w:basedOn w:val="Heading1"/>
    <w:rsid w:val="00E77DAF"/>
    <w:pPr>
      <w:spacing w:after="240"/>
      <w:jc w:val="center"/>
      <w:outlineLvl w:val="9"/>
    </w:pPr>
    <w:rPr>
      <w:caps/>
    </w:rPr>
  </w:style>
  <w:style w:type="paragraph" w:customStyle="1" w:styleId="Version">
    <w:name w:val="Version"/>
    <w:rsid w:val="00E77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DAF"/>
    <w:pPr>
      <w:keepNext w:val="0"/>
      <w:tabs>
        <w:tab w:val="right" w:pos="4176"/>
      </w:tabs>
      <w:ind w:left="198" w:hanging="198"/>
    </w:pPr>
    <w:rPr>
      <w:rFonts w:ascii="Garamond" w:hAnsi="Garamond"/>
    </w:rPr>
  </w:style>
  <w:style w:type="paragraph" w:styleId="IndexHeading">
    <w:name w:val="index heading"/>
    <w:basedOn w:val="Normal"/>
    <w:next w:val="Index1"/>
    <w:semiHidden/>
    <w:rsid w:val="00E77DAF"/>
    <w:pPr>
      <w:spacing w:before="120" w:after="120"/>
    </w:pPr>
    <w:rPr>
      <w:rFonts w:ascii="Arial" w:hAnsi="Arial"/>
      <w:b/>
      <w:color w:val="918585"/>
      <w:sz w:val="24"/>
    </w:rPr>
  </w:style>
  <w:style w:type="paragraph" w:styleId="Header">
    <w:name w:val="header"/>
    <w:basedOn w:val="Normal"/>
    <w:link w:val="HeaderChar"/>
    <w:rsid w:val="00E77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DAF"/>
    <w:rPr>
      <w:rFonts w:ascii="Times New Roman" w:eastAsia="Times New Roman" w:hAnsi="Times New Roman" w:cs="Times New Roman"/>
      <w:sz w:val="16"/>
      <w:szCs w:val="20"/>
      <w:lang w:val="en-GB" w:eastAsia="en-US"/>
    </w:rPr>
  </w:style>
  <w:style w:type="paragraph" w:customStyle="1" w:styleId="Chapter">
    <w:name w:val="Chapter"/>
    <w:basedOn w:val="Normal"/>
    <w:rsid w:val="00E77DAF"/>
    <w:pPr>
      <w:spacing w:before="240"/>
    </w:pPr>
    <w:rPr>
      <w:rFonts w:ascii="Times New Roman" w:hAnsi="Times New Roman"/>
      <w:smallCaps/>
      <w:spacing w:val="80"/>
      <w:sz w:val="28"/>
    </w:rPr>
  </w:style>
  <w:style w:type="paragraph" w:customStyle="1" w:styleId="InChapter">
    <w:name w:val="InChapter"/>
    <w:basedOn w:val="Heading3"/>
    <w:rsid w:val="00E77DAF"/>
    <w:pPr>
      <w:spacing w:after="240"/>
      <w:outlineLvl w:val="9"/>
    </w:pPr>
    <w:rPr>
      <w:noProof/>
    </w:rPr>
  </w:style>
  <w:style w:type="paragraph" w:styleId="Index2">
    <w:name w:val="index 2"/>
    <w:basedOn w:val="Normal"/>
    <w:next w:val="Normal"/>
    <w:semiHidden/>
    <w:rsid w:val="00E77DAF"/>
    <w:pPr>
      <w:tabs>
        <w:tab w:val="right" w:pos="4176"/>
      </w:tabs>
      <w:ind w:left="568" w:hanging="284"/>
    </w:pPr>
    <w:rPr>
      <w:rFonts w:ascii="Garamond" w:hAnsi="Garamond"/>
    </w:rPr>
  </w:style>
  <w:style w:type="paragraph" w:customStyle="1" w:styleId="Byline">
    <w:name w:val="Byline"/>
    <w:rsid w:val="00E77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DAF"/>
    <w:pPr>
      <w:tabs>
        <w:tab w:val="clear" w:pos="3600"/>
        <w:tab w:val="clear" w:pos="3958"/>
      </w:tabs>
      <w:jc w:val="right"/>
    </w:pPr>
  </w:style>
  <w:style w:type="character" w:styleId="Emphasis">
    <w:name w:val="Emphasis"/>
    <w:basedOn w:val="DefaultParagraphFont"/>
    <w:qFormat/>
    <w:rsid w:val="00E77DAF"/>
    <w:rPr>
      <w:i/>
    </w:rPr>
  </w:style>
  <w:style w:type="paragraph" w:styleId="Caption">
    <w:name w:val="caption"/>
    <w:basedOn w:val="BodyText"/>
    <w:next w:val="Normal"/>
    <w:qFormat/>
    <w:rsid w:val="00E77DAF"/>
    <w:pPr>
      <w:framePr w:w="2268" w:hSpace="181" w:vSpace="181" w:wrap="around" w:vAnchor="text" w:hAnchor="page" w:x="1135" w:y="285" w:anchorLock="1"/>
    </w:pPr>
    <w:rPr>
      <w:i/>
    </w:rPr>
  </w:style>
  <w:style w:type="paragraph" w:customStyle="1" w:styleId="MiniTOCTitle">
    <w:name w:val="MiniTOCTitle"/>
    <w:basedOn w:val="Heading4"/>
    <w:rsid w:val="00E77DAF"/>
    <w:pPr>
      <w:spacing w:before="240"/>
      <w:outlineLvl w:val="9"/>
    </w:pPr>
    <w:rPr>
      <w:noProof/>
      <w:sz w:val="24"/>
    </w:rPr>
  </w:style>
  <w:style w:type="paragraph" w:customStyle="1" w:styleId="MiniTOCItem">
    <w:name w:val="MiniTOCItem"/>
    <w:basedOn w:val="ListBullet"/>
    <w:rsid w:val="00E77DAF"/>
    <w:pPr>
      <w:numPr>
        <w:numId w:val="0"/>
      </w:numPr>
      <w:tabs>
        <w:tab w:val="right" w:leader="dot" w:pos="6521"/>
      </w:tabs>
      <w:spacing w:before="0" w:after="0"/>
    </w:pPr>
  </w:style>
  <w:style w:type="paragraph" w:customStyle="1" w:styleId="TOFTitle">
    <w:name w:val="TOFTitle"/>
    <w:basedOn w:val="TOCTitle"/>
    <w:rsid w:val="00E77DAF"/>
  </w:style>
  <w:style w:type="paragraph" w:styleId="TableofFigures">
    <w:name w:val="table of figures"/>
    <w:basedOn w:val="Normal"/>
    <w:next w:val="Normal"/>
    <w:semiHidden/>
    <w:rsid w:val="00E77DAF"/>
    <w:pPr>
      <w:tabs>
        <w:tab w:val="right" w:leader="dot" w:pos="9072"/>
      </w:tabs>
      <w:ind w:left="970" w:hanging="403"/>
    </w:pPr>
    <w:rPr>
      <w:rFonts w:ascii="Times New Roman" w:hAnsi="Times New Roman"/>
      <w:b/>
    </w:rPr>
  </w:style>
  <w:style w:type="paragraph" w:styleId="ListNumber">
    <w:name w:val="List Number"/>
    <w:basedOn w:val="List"/>
    <w:rsid w:val="00E77DAF"/>
    <w:pPr>
      <w:numPr>
        <w:numId w:val="11"/>
      </w:numPr>
    </w:pPr>
  </w:style>
  <w:style w:type="character" w:customStyle="1" w:styleId="WingdingSymbols">
    <w:name w:val="Wingding Symbols"/>
    <w:rsid w:val="00E77DAF"/>
    <w:rPr>
      <w:rFonts w:ascii="Wingdings" w:hAnsi="Wingdings"/>
    </w:rPr>
  </w:style>
  <w:style w:type="paragraph" w:customStyle="1" w:styleId="TableHeading">
    <w:name w:val="Table Heading"/>
    <w:basedOn w:val="HeadingBase"/>
    <w:rsid w:val="00E77DAF"/>
    <w:pPr>
      <w:keepLines/>
      <w:pBdr>
        <w:bottom w:val="single" w:sz="6" w:space="1" w:color="918585"/>
      </w:pBdr>
      <w:spacing w:before="240"/>
    </w:pPr>
  </w:style>
  <w:style w:type="character" w:customStyle="1" w:styleId="HotSpot">
    <w:name w:val="HotSpot"/>
    <w:rsid w:val="00E77DAF"/>
    <w:rPr>
      <w:color w:val="0033CC"/>
      <w:u w:val="none"/>
    </w:rPr>
  </w:style>
  <w:style w:type="paragraph" w:customStyle="1" w:styleId="BodyTextRight">
    <w:name w:val="Body Text Right"/>
    <w:basedOn w:val="BodyText"/>
    <w:rsid w:val="00E77DAF"/>
    <w:pPr>
      <w:spacing w:before="0" w:after="0"/>
      <w:jc w:val="right"/>
    </w:pPr>
  </w:style>
  <w:style w:type="paragraph" w:styleId="Index3">
    <w:name w:val="index 3"/>
    <w:basedOn w:val="ListNumber2"/>
    <w:next w:val="Normal"/>
    <w:semiHidden/>
    <w:rsid w:val="00E77DAF"/>
    <w:pPr>
      <w:numPr>
        <w:numId w:val="0"/>
      </w:numPr>
      <w:tabs>
        <w:tab w:val="right" w:leader="dot" w:pos="4176"/>
      </w:tabs>
    </w:pPr>
  </w:style>
  <w:style w:type="paragraph" w:styleId="ListNumber2">
    <w:name w:val="List Number 2"/>
    <w:basedOn w:val="List2"/>
    <w:rsid w:val="00E77DAF"/>
    <w:pPr>
      <w:numPr>
        <w:numId w:val="10"/>
      </w:numPr>
      <w:tabs>
        <w:tab w:val="clear" w:pos="1060"/>
      </w:tabs>
    </w:pPr>
  </w:style>
  <w:style w:type="paragraph" w:customStyle="1" w:styleId="MarginNote">
    <w:name w:val="Margin Note"/>
    <w:basedOn w:val="BodyText"/>
    <w:rsid w:val="00E77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DAF"/>
    <w:rPr>
      <w:sz w:val="32"/>
    </w:rPr>
  </w:style>
  <w:style w:type="paragraph" w:customStyle="1" w:styleId="HeadingProcedure">
    <w:name w:val="Heading Procedure"/>
    <w:basedOn w:val="HeadingBase"/>
    <w:next w:val="Normal"/>
    <w:rsid w:val="00E77DAF"/>
    <w:pPr>
      <w:tabs>
        <w:tab w:val="left" w:pos="0"/>
      </w:tabs>
      <w:spacing w:before="120" w:after="60"/>
    </w:pPr>
    <w:rPr>
      <w:i/>
      <w:color w:val="918585"/>
      <w:sz w:val="22"/>
    </w:rPr>
  </w:style>
  <w:style w:type="paragraph" w:customStyle="1" w:styleId="TableBodyText">
    <w:name w:val="Table Body Text"/>
    <w:basedOn w:val="BodyText"/>
    <w:rsid w:val="00E77DAF"/>
    <w:pPr>
      <w:spacing w:before="60" w:after="60"/>
    </w:pPr>
  </w:style>
  <w:style w:type="paragraph" w:styleId="ListContinue">
    <w:name w:val="List Continue"/>
    <w:basedOn w:val="List"/>
    <w:rsid w:val="00E77DAF"/>
    <w:pPr>
      <w:ind w:firstLine="0"/>
    </w:pPr>
  </w:style>
  <w:style w:type="paragraph" w:customStyle="1" w:styleId="ListNote">
    <w:name w:val="List Note"/>
    <w:basedOn w:val="List"/>
    <w:rsid w:val="00E77DAF"/>
    <w:pPr>
      <w:pBdr>
        <w:top w:val="single" w:sz="6" w:space="2" w:color="918585"/>
        <w:bottom w:val="single" w:sz="6" w:space="2" w:color="918585"/>
      </w:pBdr>
      <w:tabs>
        <w:tab w:val="left" w:pos="1021"/>
      </w:tabs>
      <w:ind w:firstLine="0"/>
    </w:pPr>
  </w:style>
  <w:style w:type="paragraph" w:customStyle="1" w:styleId="Warning">
    <w:name w:val="Warning"/>
    <w:basedOn w:val="BodyText"/>
    <w:rsid w:val="00E77DAF"/>
    <w:pPr>
      <w:shd w:val="clear" w:color="auto" w:fill="D9D9D9"/>
      <w:tabs>
        <w:tab w:val="left" w:pos="992"/>
      </w:tabs>
      <w:ind w:left="119" w:right="119"/>
    </w:pPr>
    <w:rPr>
      <w:sz w:val="20"/>
    </w:rPr>
  </w:style>
  <w:style w:type="paragraph" w:customStyle="1" w:styleId="MarginIcons">
    <w:name w:val="Margin Icons"/>
    <w:basedOn w:val="BodyText"/>
    <w:rsid w:val="00E77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DAF"/>
    <w:rPr>
      <w:rFonts w:ascii="Courier New" w:hAnsi="Courier New"/>
    </w:rPr>
  </w:style>
  <w:style w:type="paragraph" w:customStyle="1" w:styleId="NoteBullet">
    <w:name w:val="Note Bullet"/>
    <w:basedOn w:val="Note"/>
    <w:rsid w:val="00E77DAF"/>
    <w:pPr>
      <w:tabs>
        <w:tab w:val="clear" w:pos="680"/>
      </w:tabs>
      <w:spacing w:before="60" w:after="60"/>
    </w:pPr>
  </w:style>
  <w:style w:type="paragraph" w:customStyle="1" w:styleId="SubHeading2">
    <w:name w:val="SubHeading2"/>
    <w:basedOn w:val="HeadingBase"/>
    <w:rsid w:val="00E77DAF"/>
    <w:pPr>
      <w:spacing w:before="240" w:after="60"/>
    </w:pPr>
    <w:rPr>
      <w:sz w:val="20"/>
    </w:rPr>
  </w:style>
  <w:style w:type="paragraph" w:customStyle="1" w:styleId="SubHeading1">
    <w:name w:val="SubHeading1"/>
    <w:basedOn w:val="HeadingBase"/>
    <w:rsid w:val="00E77DAF"/>
    <w:pPr>
      <w:spacing w:before="240" w:after="60"/>
    </w:pPr>
    <w:rPr>
      <w:color w:val="918585"/>
      <w:sz w:val="22"/>
    </w:rPr>
  </w:style>
  <w:style w:type="paragraph" w:customStyle="1" w:styleId="SideHeading">
    <w:name w:val="Side Heading"/>
    <w:basedOn w:val="HeadingBase"/>
    <w:rsid w:val="00E77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DAF"/>
    <w:pPr>
      <w:numPr>
        <w:numId w:val="12"/>
      </w:numPr>
    </w:pPr>
  </w:style>
  <w:style w:type="paragraph" w:styleId="PlainText">
    <w:name w:val="Plain Text"/>
    <w:basedOn w:val="Normal"/>
    <w:link w:val="PlainTextChar"/>
    <w:rsid w:val="00E77DAF"/>
    <w:rPr>
      <w:sz w:val="20"/>
    </w:rPr>
  </w:style>
  <w:style w:type="character" w:customStyle="1" w:styleId="PlainTextChar">
    <w:name w:val="Plain Text Char"/>
    <w:basedOn w:val="DefaultParagraphFont"/>
    <w:link w:val="PlainText"/>
    <w:rsid w:val="00E77DAF"/>
    <w:rPr>
      <w:rFonts w:ascii="Courier New" w:eastAsia="Times New Roman" w:hAnsi="Courier New" w:cs="Times New Roman"/>
      <w:sz w:val="20"/>
      <w:szCs w:val="20"/>
      <w:lang w:eastAsia="en-US"/>
    </w:rPr>
  </w:style>
  <w:style w:type="character" w:customStyle="1" w:styleId="MenuOption">
    <w:name w:val="Menu Option"/>
    <w:basedOn w:val="DefaultParagraphFont"/>
    <w:rsid w:val="00E77DAF"/>
    <w:rPr>
      <w:b/>
      <w:smallCaps/>
    </w:rPr>
  </w:style>
  <w:style w:type="paragraph" w:customStyle="1" w:styleId="TableListNumber">
    <w:name w:val="Table List Number"/>
    <w:basedOn w:val="ListNumber"/>
    <w:rsid w:val="00E77DAF"/>
    <w:pPr>
      <w:numPr>
        <w:numId w:val="0"/>
      </w:numPr>
    </w:pPr>
  </w:style>
  <w:style w:type="paragraph" w:styleId="TOC4">
    <w:name w:val="toc 4"/>
    <w:basedOn w:val="TOCBase"/>
    <w:next w:val="Normal"/>
    <w:semiHidden/>
    <w:rsid w:val="00E77DAF"/>
    <w:pPr>
      <w:tabs>
        <w:tab w:val="right" w:leader="dot" w:pos="9071"/>
      </w:tabs>
      <w:ind w:left="1701"/>
    </w:pPr>
  </w:style>
  <w:style w:type="paragraph" w:customStyle="1" w:styleId="ListAlpha">
    <w:name w:val="List Alpha"/>
    <w:basedOn w:val="List"/>
    <w:rsid w:val="00E77DAF"/>
    <w:pPr>
      <w:numPr>
        <w:numId w:val="9"/>
      </w:numPr>
    </w:pPr>
  </w:style>
  <w:style w:type="paragraph" w:customStyle="1" w:styleId="ListAlpha2">
    <w:name w:val="List Alpha 2"/>
    <w:basedOn w:val="List2"/>
    <w:rsid w:val="00E77DAF"/>
    <w:pPr>
      <w:numPr>
        <w:numId w:val="8"/>
      </w:numPr>
    </w:pPr>
  </w:style>
  <w:style w:type="paragraph" w:styleId="List3">
    <w:name w:val="List 3"/>
    <w:basedOn w:val="BodyText"/>
    <w:rsid w:val="00E77DAF"/>
    <w:pPr>
      <w:tabs>
        <w:tab w:val="left" w:pos="1021"/>
      </w:tabs>
      <w:spacing w:before="60" w:after="60"/>
      <w:ind w:left="1020" w:hanging="340"/>
    </w:pPr>
  </w:style>
  <w:style w:type="paragraph" w:styleId="List4">
    <w:name w:val="List 4"/>
    <w:basedOn w:val="BodyText"/>
    <w:rsid w:val="00E77DAF"/>
    <w:pPr>
      <w:tabs>
        <w:tab w:val="left" w:pos="1361"/>
      </w:tabs>
      <w:spacing w:before="60" w:after="60"/>
      <w:ind w:left="1361" w:hanging="340"/>
    </w:pPr>
  </w:style>
  <w:style w:type="paragraph" w:styleId="List5">
    <w:name w:val="List 5"/>
    <w:basedOn w:val="BodyText"/>
    <w:rsid w:val="00E77DAF"/>
    <w:pPr>
      <w:tabs>
        <w:tab w:val="left" w:pos="1701"/>
      </w:tabs>
      <w:spacing w:before="60" w:after="60"/>
      <w:ind w:left="1701" w:hanging="340"/>
    </w:pPr>
  </w:style>
  <w:style w:type="paragraph" w:styleId="ListBullet3">
    <w:name w:val="List Bullet 3"/>
    <w:basedOn w:val="List3"/>
    <w:rsid w:val="00E77DAF"/>
    <w:pPr>
      <w:numPr>
        <w:numId w:val="15"/>
      </w:numPr>
      <w:tabs>
        <w:tab w:val="clear" w:pos="1021"/>
      </w:tabs>
      <w:ind w:left="1037" w:hanging="357"/>
    </w:pPr>
  </w:style>
  <w:style w:type="paragraph" w:styleId="ListBullet4">
    <w:name w:val="List Bullet 4"/>
    <w:basedOn w:val="List4"/>
    <w:rsid w:val="00E77DAF"/>
    <w:pPr>
      <w:numPr>
        <w:numId w:val="3"/>
      </w:numPr>
    </w:pPr>
  </w:style>
  <w:style w:type="paragraph" w:styleId="ListBullet5">
    <w:name w:val="List Bullet 5"/>
    <w:basedOn w:val="List5"/>
    <w:rsid w:val="00E77DAF"/>
    <w:pPr>
      <w:numPr>
        <w:numId w:val="4"/>
      </w:numPr>
    </w:pPr>
  </w:style>
  <w:style w:type="paragraph" w:styleId="ListContinue2">
    <w:name w:val="List Continue 2"/>
    <w:basedOn w:val="List2"/>
    <w:rsid w:val="00E77DAF"/>
    <w:pPr>
      <w:ind w:firstLine="0"/>
    </w:pPr>
  </w:style>
  <w:style w:type="paragraph" w:styleId="ListContinue3">
    <w:name w:val="List Continue 3"/>
    <w:basedOn w:val="List3"/>
    <w:rsid w:val="00E77DAF"/>
    <w:pPr>
      <w:ind w:left="1021" w:firstLine="0"/>
    </w:pPr>
  </w:style>
  <w:style w:type="paragraph" w:styleId="ListContinue4">
    <w:name w:val="List Continue 4"/>
    <w:basedOn w:val="List4"/>
    <w:rsid w:val="00E77DAF"/>
    <w:pPr>
      <w:ind w:firstLine="0"/>
    </w:pPr>
  </w:style>
  <w:style w:type="paragraph" w:styleId="ListContinue5">
    <w:name w:val="List Continue 5"/>
    <w:basedOn w:val="List5"/>
    <w:rsid w:val="00E77DAF"/>
    <w:pPr>
      <w:ind w:firstLine="0"/>
    </w:pPr>
  </w:style>
  <w:style w:type="paragraph" w:styleId="ListNumber3">
    <w:name w:val="List Number 3"/>
    <w:basedOn w:val="List3"/>
    <w:rsid w:val="00E77DAF"/>
    <w:pPr>
      <w:numPr>
        <w:numId w:val="5"/>
      </w:numPr>
    </w:pPr>
  </w:style>
  <w:style w:type="paragraph" w:styleId="ListNumber4">
    <w:name w:val="List Number 4"/>
    <w:basedOn w:val="List4"/>
    <w:rsid w:val="00E77DAF"/>
    <w:pPr>
      <w:numPr>
        <w:numId w:val="6"/>
      </w:numPr>
    </w:pPr>
  </w:style>
  <w:style w:type="paragraph" w:styleId="ListNumber5">
    <w:name w:val="List Number 5"/>
    <w:basedOn w:val="List5"/>
    <w:rsid w:val="00E77DAF"/>
    <w:pPr>
      <w:numPr>
        <w:numId w:val="7"/>
      </w:numPr>
    </w:pPr>
  </w:style>
  <w:style w:type="paragraph" w:styleId="BlockText">
    <w:name w:val="Block Text"/>
    <w:basedOn w:val="Normal"/>
    <w:rsid w:val="00E77DAF"/>
    <w:pPr>
      <w:spacing w:after="120"/>
      <w:ind w:left="1440" w:right="1440"/>
    </w:pPr>
  </w:style>
  <w:style w:type="character" w:customStyle="1" w:styleId="Subscript">
    <w:name w:val="Subscript"/>
    <w:basedOn w:val="DefaultParagraphFont"/>
    <w:rsid w:val="00E77DAF"/>
    <w:rPr>
      <w:sz w:val="16"/>
      <w:vertAlign w:val="subscript"/>
    </w:rPr>
  </w:style>
  <w:style w:type="character" w:customStyle="1" w:styleId="Superscript">
    <w:name w:val="Superscript"/>
    <w:basedOn w:val="DefaultParagraphFont"/>
    <w:rsid w:val="00E77DAF"/>
    <w:rPr>
      <w:sz w:val="16"/>
      <w:vertAlign w:val="superscript"/>
    </w:rPr>
  </w:style>
  <w:style w:type="character" w:customStyle="1" w:styleId="Symbols">
    <w:name w:val="Symbols"/>
    <w:basedOn w:val="DefaultParagraphFont"/>
    <w:rsid w:val="00E77DAF"/>
    <w:rPr>
      <w:rFonts w:ascii="Symbol" w:hAnsi="Symbol"/>
    </w:rPr>
  </w:style>
  <w:style w:type="character" w:customStyle="1" w:styleId="MenuOptions">
    <w:name w:val="Menu Options"/>
    <w:basedOn w:val="DefaultParagraphFont"/>
    <w:rsid w:val="00E77DAF"/>
    <w:rPr>
      <w:rFonts w:ascii="Arial Narrow" w:hAnsi="Arial Narrow"/>
      <w:smallCaps/>
    </w:rPr>
  </w:style>
  <w:style w:type="character" w:customStyle="1" w:styleId="Buttons">
    <w:name w:val="Buttons"/>
    <w:basedOn w:val="DefaultParagraphFont"/>
    <w:rsid w:val="00E77DAF"/>
    <w:rPr>
      <w:b/>
    </w:rPr>
  </w:style>
  <w:style w:type="character" w:customStyle="1" w:styleId="Underlined">
    <w:name w:val="Underlined"/>
    <w:basedOn w:val="DefaultParagraphFont"/>
    <w:rsid w:val="00E77DAF"/>
    <w:rPr>
      <w:u w:val="single"/>
    </w:rPr>
  </w:style>
  <w:style w:type="paragraph" w:customStyle="1" w:styleId="TableBodyTextRight">
    <w:name w:val="Table Body Text Right"/>
    <w:basedOn w:val="TableBodyText"/>
    <w:rsid w:val="00E77DAF"/>
    <w:pPr>
      <w:widowControl w:val="0"/>
      <w:autoSpaceDE w:val="0"/>
      <w:autoSpaceDN w:val="0"/>
      <w:adjustRightInd w:val="0"/>
      <w:jc w:val="right"/>
    </w:pPr>
    <w:rPr>
      <w:rFonts w:cs="Arial"/>
      <w:szCs w:val="18"/>
    </w:rPr>
  </w:style>
  <w:style w:type="paragraph" w:customStyle="1" w:styleId="CopyrightText">
    <w:name w:val="Copyright Text"/>
    <w:basedOn w:val="BodyText"/>
    <w:rsid w:val="00E77DAF"/>
    <w:rPr>
      <w:sz w:val="18"/>
    </w:rPr>
  </w:style>
  <w:style w:type="paragraph" w:customStyle="1" w:styleId="BodySmallRight">
    <w:name w:val="Body Small Right"/>
    <w:basedOn w:val="BodyTextRight"/>
    <w:rsid w:val="00E77DAF"/>
    <w:rPr>
      <w:sz w:val="18"/>
      <w:szCs w:val="18"/>
    </w:rPr>
  </w:style>
  <w:style w:type="paragraph" w:customStyle="1" w:styleId="MarginEdition">
    <w:name w:val="Margin Edition"/>
    <w:basedOn w:val="MarginNote"/>
    <w:rsid w:val="00E77DAF"/>
    <w:pPr>
      <w:spacing w:before="0" w:after="0"/>
    </w:pPr>
    <w:rPr>
      <w:rFonts w:ascii="Times New Roman" w:hAnsi="Times New Roman"/>
      <w:color w:val="999999"/>
    </w:rPr>
  </w:style>
  <w:style w:type="paragraph" w:customStyle="1" w:styleId="Spacer">
    <w:name w:val="Spacer"/>
    <w:basedOn w:val="Normal"/>
    <w:rsid w:val="00E77DAF"/>
    <w:rPr>
      <w:sz w:val="2"/>
      <w:szCs w:val="2"/>
    </w:rPr>
  </w:style>
  <w:style w:type="character" w:customStyle="1" w:styleId="Small">
    <w:name w:val="Small"/>
    <w:basedOn w:val="DefaultParagraphFont"/>
    <w:rsid w:val="00E77DAF"/>
    <w:rPr>
      <w:sz w:val="16"/>
    </w:rPr>
  </w:style>
  <w:style w:type="paragraph" w:customStyle="1" w:styleId="WideTable">
    <w:name w:val="Wide Table"/>
    <w:basedOn w:val="Normal"/>
    <w:rsid w:val="00E77DAF"/>
    <w:pPr>
      <w:ind w:left="-1418"/>
    </w:pPr>
    <w:rPr>
      <w:sz w:val="2"/>
      <w:szCs w:val="2"/>
    </w:rPr>
  </w:style>
  <w:style w:type="character" w:styleId="PageNumber">
    <w:name w:val="page number"/>
    <w:basedOn w:val="DefaultParagraphFont"/>
    <w:rsid w:val="00E77DAF"/>
  </w:style>
  <w:style w:type="paragraph" w:styleId="Quote">
    <w:name w:val="Quote"/>
    <w:basedOn w:val="Heading1"/>
    <w:link w:val="QuoteChar"/>
    <w:qFormat/>
    <w:rsid w:val="00E77DAF"/>
    <w:rPr>
      <w:b w:val="0"/>
      <w:sz w:val="72"/>
      <w:szCs w:val="72"/>
      <w:lang w:val="en-NZ"/>
    </w:rPr>
  </w:style>
  <w:style w:type="character" w:customStyle="1" w:styleId="QuoteChar">
    <w:name w:val="Quote Char"/>
    <w:basedOn w:val="DefaultParagraphFont"/>
    <w:link w:val="Quote"/>
    <w:rsid w:val="00E77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DAF"/>
    <w:pPr>
      <w:pageBreakBefore/>
    </w:pPr>
  </w:style>
  <w:style w:type="paragraph" w:customStyle="1" w:styleId="Border">
    <w:name w:val="Border"/>
    <w:basedOn w:val="Normal"/>
    <w:qFormat/>
    <w:rsid w:val="00E77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DAF"/>
    <w:rPr>
      <w:b/>
      <w:bCs/>
      <w:i/>
      <w:iCs/>
      <w:color w:val="auto"/>
    </w:rPr>
  </w:style>
  <w:style w:type="paragraph" w:styleId="IntenseQuote">
    <w:name w:val="Intense Quote"/>
    <w:basedOn w:val="Normal"/>
    <w:next w:val="Normal"/>
    <w:link w:val="IntenseQuoteChar"/>
    <w:uiPriority w:val="30"/>
    <w:qFormat/>
    <w:rsid w:val="00E77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DAF"/>
    <w:rPr>
      <w:smallCaps/>
      <w:color w:val="auto"/>
      <w:u w:val="single"/>
    </w:rPr>
  </w:style>
  <w:style w:type="character" w:styleId="IntenseReference">
    <w:name w:val="Intense Reference"/>
    <w:basedOn w:val="DefaultParagraphFont"/>
    <w:uiPriority w:val="32"/>
    <w:qFormat/>
    <w:rsid w:val="00E77DAF"/>
    <w:rPr>
      <w:b/>
      <w:bCs/>
      <w:smallCaps/>
      <w:color w:val="auto"/>
      <w:spacing w:val="5"/>
      <w:u w:val="single"/>
    </w:rPr>
  </w:style>
  <w:style w:type="paragraph" w:customStyle="1" w:styleId="2ColumnHeading">
    <w:name w:val="2Column Heading"/>
    <w:basedOn w:val="BodyText"/>
    <w:qFormat/>
    <w:rsid w:val="00E77DAF"/>
    <w:pPr>
      <w:spacing w:after="60"/>
      <w:ind w:left="-2268"/>
    </w:pPr>
    <w:rPr>
      <w:b/>
    </w:rPr>
  </w:style>
  <w:style w:type="paragraph" w:customStyle="1" w:styleId="Heading1TOC">
    <w:name w:val="Heading1 TOC"/>
    <w:basedOn w:val="Normal"/>
    <w:qFormat/>
    <w:rsid w:val="00E77DAF"/>
    <w:pPr>
      <w:spacing w:before="240" w:after="120"/>
    </w:pPr>
    <w:rPr>
      <w:rFonts w:ascii="Times New Roman" w:hAnsi="Times New Roman"/>
      <w:b/>
      <w:sz w:val="32"/>
    </w:rPr>
  </w:style>
  <w:style w:type="paragraph" w:customStyle="1" w:styleId="Heading2TOC">
    <w:name w:val="Heading2 TOC"/>
    <w:basedOn w:val="Normal"/>
    <w:qFormat/>
    <w:rsid w:val="00E77DAF"/>
    <w:pPr>
      <w:spacing w:before="240" w:after="60"/>
    </w:pPr>
    <w:rPr>
      <w:rFonts w:ascii="Times New Roman" w:hAnsi="Times New Roman"/>
      <w:b/>
      <w:sz w:val="28"/>
    </w:rPr>
  </w:style>
  <w:style w:type="character" w:customStyle="1" w:styleId="Underline">
    <w:name w:val="Underline"/>
    <w:basedOn w:val="DefaultParagraphFont"/>
    <w:qFormat/>
    <w:rsid w:val="00E77DAF"/>
    <w:rPr>
      <w:u w:val="single"/>
    </w:rPr>
  </w:style>
  <w:style w:type="paragraph" w:styleId="BalloonText">
    <w:name w:val="Balloon Text"/>
    <w:basedOn w:val="Normal"/>
    <w:link w:val="BalloonTextChar"/>
    <w:rsid w:val="00E77DAF"/>
    <w:rPr>
      <w:rFonts w:ascii="Tahoma" w:hAnsi="Tahoma" w:cs="Tahoma"/>
      <w:sz w:val="16"/>
      <w:szCs w:val="16"/>
    </w:rPr>
  </w:style>
  <w:style w:type="character" w:customStyle="1" w:styleId="BalloonTextChar">
    <w:name w:val="Balloon Text Char"/>
    <w:basedOn w:val="DefaultParagraphFont"/>
    <w:link w:val="BalloonText"/>
    <w:rsid w:val="00E77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DAF"/>
    <w:rPr>
      <w:b/>
      <w:color w:val="660033"/>
      <w:spacing w:val="0"/>
    </w:rPr>
  </w:style>
  <w:style w:type="paragraph" w:customStyle="1" w:styleId="Nameditemlist">
    <w:name w:val="Named item list"/>
    <w:basedOn w:val="BodyText"/>
    <w:qFormat/>
    <w:rsid w:val="00E77D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11465</Characters>
  <Application>Microsoft Office Word</Application>
  <DocSecurity>0</DocSecurity>
  <Lines>378</Lines>
  <Paragraphs>155</Paragraphs>
  <ScaleCrop>false</ScaleCrop>
  <Company>Author-it Software Corporation Ltd.</Company>
  <LinksUpToDate>false</LinksUpToDate>
  <CharactersWithSpaces>13221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LMFID4011A Determine occupational health and safety implications of interior effects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2012-10-05T15:13:00Z</dcterms:created>
  <dcterms:modified xsi:type="dcterms:W3CDTF">2012-10-05T15:13:00Z</dcterms:modified>
</cp:coreProperties>
</file>