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545A" w:rsidP="006D545A">
      <w:pPr>
        <w:pStyle w:val="Title"/>
      </w:pPr>
      <w:r>
        <w:fldChar w:fldCharType="begin"/>
      </w:r>
      <w:r>
        <w:instrText xml:space="preserve"> TITLE   \* MERGEFORMAT </w:instrText>
      </w:r>
      <w:r>
        <w:fldChar w:fldCharType="separate"/>
      </w:r>
      <w:r>
        <w:t>LMFGG3019B Conduct commercial and structural glazing</w:t>
      </w:r>
      <w:r>
        <w:fldChar w:fldCharType="end"/>
      </w:r>
    </w:p>
    <w:p w:rsidR="006D545A" w:rsidP="006D545A">
      <w:pPr>
        <w:pStyle w:val="Version"/>
        <w:sectPr w:rsidSect="00FC01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C0166" w:rsidP="00FC0166">
      <w:pPr>
        <w:pStyle w:val="SuperHeading"/>
      </w:pPr>
      <w:r w:rsidRPr="00FC0166">
        <w:t>LMFGG3019B Conduct commercial and structural glazing</w:t>
      </w:r>
    </w:p>
    <w:p w:rsidR="00000000" w:rsidRPr="00FC0166" w:rsidP="00FC0166">
      <w:pPr>
        <w:pStyle w:val="SuperHeading"/>
      </w:pPr>
    </w:p>
    <w:p w:rsidR="00000000" w:rsidRPr="00FC0166" w:rsidP="00FC0166">
      <w:pPr>
        <w:pStyle w:val="Heading1"/>
      </w:pPr>
      <w:bookmarkStart w:id="1" w:name="O_90279"/>
      <w:bookmarkEnd w:id="1"/>
      <w:r w:rsidRPr="00FC0166">
        <w:t>Modification History</w:t>
      </w:r>
    </w:p>
    <w:p w:rsidR="00000000" w:rsidRPr="00FC0166" w:rsidP="00FC0166">
      <w:pPr>
        <w:pStyle w:val="BodyText"/>
      </w:pPr>
      <w:r w:rsidRPr="00FC0166">
        <w:t>Not applicable.</w:t>
      </w:r>
    </w:p>
    <w:p w:rsidR="00000000" w:rsidRPr="00FC0166" w:rsidP="00FC0166">
      <w:pPr>
        <w:pStyle w:val="AllowPageBreak"/>
      </w:pPr>
    </w:p>
    <w:p w:rsidR="00000000" w:rsidRPr="00FC0166" w:rsidP="00FC0166">
      <w:pPr>
        <w:pStyle w:val="Heading1"/>
      </w:pPr>
      <w:bookmarkStart w:id="2" w:name="O_90280"/>
      <w:bookmarkEnd w:id="2"/>
      <w:r w:rsidRPr="00FC0166">
        <w:t>Unit Descriptor</w:t>
      </w:r>
    </w:p>
    <w:tbl>
      <w:tblPr>
        <w:tblW w:w="0" w:type="auto"/>
        <w:tblLayout w:type="fixed"/>
        <w:tblCellMar>
          <w:left w:w="62" w:type="dxa"/>
          <w:right w:w="62" w:type="dxa"/>
        </w:tblCellMar>
        <w:tblLook w:val="0000"/>
      </w:tblPr>
      <w:tblGrid>
        <w:gridCol w:w="2670"/>
        <w:gridCol w:w="5852"/>
      </w:tblGrid>
      <w:tr w:rsidTr="006D545A">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BodyText"/>
              <w:rPr>
                <w:lang w:val="en-NZ"/>
              </w:rPr>
            </w:pPr>
            <w:r w:rsidRPr="00FC0166">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166" w:rsidP="00FC0166">
            <w:pPr>
              <w:pStyle w:val="BodyText"/>
            </w:pPr>
            <w:r w:rsidRPr="00FC0166">
              <w:t>This unit addresses the knowledge and skills required to replace glass in commercial, st</w:t>
            </w:r>
            <w:r w:rsidRPr="00FC0166">
              <w:t>ructural and/or architectural engineered applications.</w:t>
            </w:r>
          </w:p>
        </w:tc>
      </w:tr>
    </w:tbl>
    <w:p w:rsidR="00000000" w:rsidRPr="00FC0166" w:rsidP="00FC0166">
      <w:pPr>
        <w:pStyle w:val="BodyText"/>
      </w:pPr>
    </w:p>
    <w:p w:rsidR="00000000" w:rsidRPr="00FC0166" w:rsidP="00FC0166">
      <w:pPr>
        <w:pStyle w:val="AllowPageBreak"/>
      </w:pPr>
    </w:p>
    <w:p w:rsidR="00000000" w:rsidRPr="00FC0166" w:rsidP="00FC0166">
      <w:pPr>
        <w:pStyle w:val="Heading1"/>
      </w:pPr>
      <w:bookmarkStart w:id="3" w:name="O_90281"/>
      <w:bookmarkEnd w:id="3"/>
      <w:r w:rsidRPr="00FC0166">
        <w:t>Application of the Unit</w:t>
      </w:r>
    </w:p>
    <w:tbl>
      <w:tblPr>
        <w:tblW w:w="0" w:type="auto"/>
        <w:tblLayout w:type="fixed"/>
        <w:tblCellMar>
          <w:left w:w="62" w:type="dxa"/>
          <w:right w:w="62" w:type="dxa"/>
        </w:tblCellMar>
        <w:tblLook w:val="0000"/>
      </w:tblPr>
      <w:tblGrid>
        <w:gridCol w:w="2764"/>
        <w:gridCol w:w="5758"/>
      </w:tblGrid>
      <w:tr w:rsidTr="006D545A">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BodyText"/>
              <w:rPr>
                <w:lang w:val="en-NZ"/>
              </w:rPr>
            </w:pPr>
            <w:r w:rsidRPr="00FC0166">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166" w:rsidP="00FC0166">
            <w:pPr>
              <w:pStyle w:val="BodyText"/>
            </w:pPr>
          </w:p>
        </w:tc>
      </w:tr>
    </w:tbl>
    <w:p w:rsidR="00000000" w:rsidRPr="00FC0166" w:rsidP="00FC0166">
      <w:pPr>
        <w:pStyle w:val="BodyText"/>
      </w:pPr>
    </w:p>
    <w:p w:rsidR="00000000" w:rsidRPr="00FC0166" w:rsidP="00FC0166">
      <w:pPr>
        <w:pStyle w:val="AllowPageBreak"/>
      </w:pPr>
    </w:p>
    <w:p w:rsidR="00000000" w:rsidRPr="00FC0166" w:rsidP="00FC0166">
      <w:pPr>
        <w:pStyle w:val="Heading1"/>
      </w:pPr>
      <w:bookmarkStart w:id="4" w:name="O_90282"/>
      <w:bookmarkEnd w:id="4"/>
      <w:r w:rsidRPr="00FC0166">
        <w:t>Licensing/Regulatory Information</w:t>
      </w:r>
    </w:p>
    <w:p w:rsidR="00000000" w:rsidRPr="00FC0166" w:rsidP="00FC0166">
      <w:pPr>
        <w:pStyle w:val="BodyText"/>
      </w:pPr>
      <w:r w:rsidRPr="00FC0166">
        <w:t>Not applicable.</w:t>
      </w:r>
    </w:p>
    <w:p w:rsidR="00000000" w:rsidRPr="00FC0166" w:rsidP="00FC0166">
      <w:pPr>
        <w:pStyle w:val="AllowPageBreak"/>
      </w:pPr>
    </w:p>
    <w:p w:rsidR="00000000" w:rsidRPr="00FC0166" w:rsidP="00FC0166">
      <w:pPr>
        <w:pStyle w:val="Heading1"/>
      </w:pPr>
      <w:bookmarkStart w:id="5" w:name="O_90283"/>
      <w:bookmarkEnd w:id="5"/>
      <w:r w:rsidRPr="00FC0166">
        <w:t>Pre-Requisites</w:t>
      </w:r>
    </w:p>
    <w:tbl>
      <w:tblPr>
        <w:tblW w:w="0" w:type="auto"/>
        <w:tblLayout w:type="fixed"/>
        <w:tblCellMar>
          <w:left w:w="62" w:type="dxa"/>
          <w:right w:w="62" w:type="dxa"/>
        </w:tblCellMar>
        <w:tblLook w:val="0000"/>
      </w:tblPr>
      <w:tblGrid>
        <w:gridCol w:w="2771"/>
        <w:gridCol w:w="1313"/>
        <w:gridCol w:w="4438"/>
      </w:tblGrid>
      <w:tr w:rsidTr="006D545A">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BodyText"/>
              <w:rPr>
                <w:lang w:val="en-NZ"/>
              </w:rPr>
            </w:pPr>
            <w:r w:rsidRPr="00FC016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BodyText"/>
              <w:rPr>
                <w:lang w:val="en-NZ"/>
              </w:rPr>
            </w:pPr>
            <w:r w:rsidRPr="00FC0166">
              <w:t>Nil</w:t>
            </w:r>
          </w:p>
        </w:tc>
      </w:tr>
      <w:tr w:rsidTr="006D545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BodyText"/>
              <w:rPr>
                <w:lang w:val="en-NZ"/>
              </w:rPr>
            </w:pPr>
          </w:p>
        </w:tc>
      </w:tr>
      <w:tr w:rsidTr="006D545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166" w:rsidP="00FC0166">
            <w:pPr>
              <w:pStyle w:val="BodyText"/>
            </w:pPr>
          </w:p>
        </w:tc>
      </w:tr>
    </w:tbl>
    <w:p w:rsidR="00000000" w:rsidRPr="00FC0166" w:rsidP="00FC0166">
      <w:pPr>
        <w:pStyle w:val="BodyText"/>
      </w:pPr>
    </w:p>
    <w:p w:rsidR="00000000" w:rsidRPr="00FC0166" w:rsidP="00FC0166">
      <w:pPr>
        <w:pStyle w:val="AllowPageBreak"/>
      </w:pPr>
    </w:p>
    <w:p w:rsidR="00000000" w:rsidRPr="00FC0166" w:rsidP="00FC0166">
      <w:pPr>
        <w:pStyle w:val="Heading1"/>
      </w:pPr>
      <w:bookmarkStart w:id="6" w:name="O_90284"/>
      <w:bookmarkEnd w:id="6"/>
      <w:r w:rsidRPr="00FC0166">
        <w:t>Employability Skills Information</w:t>
      </w:r>
    </w:p>
    <w:tbl>
      <w:tblPr>
        <w:tblW w:w="0" w:type="auto"/>
        <w:tblLayout w:type="fixed"/>
        <w:tblCellMar>
          <w:left w:w="62" w:type="dxa"/>
          <w:right w:w="62" w:type="dxa"/>
        </w:tblCellMar>
        <w:tblLook w:val="0000"/>
      </w:tblPr>
      <w:tblGrid>
        <w:gridCol w:w="2802"/>
        <w:gridCol w:w="5720"/>
      </w:tblGrid>
      <w:tr w:rsidTr="006D545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BodyText"/>
              <w:rPr>
                <w:lang w:val="en-NZ"/>
              </w:rPr>
            </w:pPr>
            <w:r w:rsidRPr="00FC016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166" w:rsidP="00FC0166">
            <w:pPr>
              <w:pStyle w:val="BodyText"/>
            </w:pPr>
            <w:r w:rsidRPr="00FC0166">
              <w:t>This unit contains employability skills.</w:t>
            </w:r>
          </w:p>
        </w:tc>
      </w:tr>
    </w:tbl>
    <w:p w:rsidR="00000000" w:rsidRPr="00FC0166" w:rsidP="00FC0166">
      <w:pPr>
        <w:pStyle w:val="BodyText"/>
      </w:pPr>
    </w:p>
    <w:p w:rsidR="00000000" w:rsidRPr="00FC0166" w:rsidP="00FC0166">
      <w:pPr>
        <w:pStyle w:val="AllowPageBreak"/>
      </w:pPr>
    </w:p>
    <w:p w:rsidR="00000000" w:rsidRPr="00FC0166" w:rsidP="00FC0166">
      <w:pPr>
        <w:pStyle w:val="Heading1"/>
      </w:pPr>
      <w:bookmarkStart w:id="7" w:name="O_90285"/>
      <w:bookmarkEnd w:id="7"/>
      <w:r w:rsidRPr="00FC0166">
        <w:t>Elements and Performance Criteria Pre-Content</w:t>
      </w:r>
    </w:p>
    <w:tbl>
      <w:tblPr>
        <w:tblW w:w="0" w:type="auto"/>
        <w:tblLayout w:type="fixed"/>
        <w:tblCellMar>
          <w:left w:w="62" w:type="dxa"/>
          <w:right w:w="62" w:type="dxa"/>
        </w:tblCellMar>
        <w:tblLook w:val="0000"/>
      </w:tblPr>
      <w:tblGrid>
        <w:gridCol w:w="2515"/>
        <w:gridCol w:w="6007"/>
      </w:tblGrid>
      <w:tr w:rsidTr="006D545A">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BodyText"/>
              <w:rPr>
                <w:lang w:val="en-NZ"/>
              </w:rPr>
            </w:pPr>
            <w:r w:rsidRPr="00FC0166">
              <w:t>Elements describe the essential outcomes of a unit of competency.</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166" w:rsidP="00FC0166">
            <w:pPr>
              <w:pStyle w:val="BodyText"/>
            </w:pPr>
            <w:r w:rsidRPr="00FC0166">
              <w:t>Performance criteria describe the performance needed to demonstrate achievement of the element. Where bold italicised text is used, further information is detailed in the required skills and knowledge section and the range statement. Assessment of performa</w:t>
            </w:r>
            <w:r w:rsidRPr="00FC0166">
              <w:t>nce is to be consistent with the evidence guide.</w:t>
            </w:r>
          </w:p>
        </w:tc>
      </w:tr>
    </w:tbl>
    <w:p w:rsidR="00000000" w:rsidRPr="00FC0166" w:rsidP="00FC0166">
      <w:pPr>
        <w:pStyle w:val="BodyText"/>
      </w:pPr>
    </w:p>
    <w:p w:rsidR="00000000" w:rsidRPr="00FC0166" w:rsidP="00FC0166">
      <w:pPr>
        <w:pStyle w:val="AllowPageBreak"/>
      </w:pPr>
    </w:p>
    <w:p w:rsidR="00000000" w:rsidRPr="00FC0166" w:rsidP="00FC0166">
      <w:pPr>
        <w:pStyle w:val="Heading1"/>
      </w:pPr>
      <w:bookmarkStart w:id="8" w:name="O_90286"/>
      <w:bookmarkEnd w:id="8"/>
      <w:r w:rsidRPr="00FC0166">
        <w:t>Elements and Performance Criteria</w:t>
      </w:r>
    </w:p>
    <w:tbl>
      <w:tblPr>
        <w:tblW w:w="0" w:type="auto"/>
        <w:tblLayout w:type="fixed"/>
        <w:tblCellMar>
          <w:left w:w="62" w:type="dxa"/>
          <w:right w:w="62" w:type="dxa"/>
        </w:tblCellMar>
        <w:tblLook w:val="0000"/>
      </w:tblPr>
      <w:tblGrid>
        <w:gridCol w:w="2515"/>
        <w:gridCol w:w="6007"/>
      </w:tblGrid>
      <w:tr w:rsidTr="006D545A">
        <w:tblPrEx>
          <w:tblW w:w="0" w:type="auto"/>
          <w:tblLayout w:type="fixed"/>
          <w:tblCellMar>
            <w:left w:w="62" w:type="dxa"/>
            <w:right w:w="62" w:type="dxa"/>
          </w:tblCellMar>
          <w:tblLook w:val="0000"/>
        </w:tblPrEx>
        <w:trPr>
          <w:tblHeader/>
        </w:trPr>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166" w:rsidP="00FC0166">
            <w:pPr>
              <w:pStyle w:val="BodyText"/>
            </w:pPr>
            <w:r w:rsidRPr="00FC0166">
              <w:rPr>
                <w:rStyle w:val="SpecialBold"/>
              </w:rPr>
              <w:t>ELEMENT</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BodyText"/>
              <w:rPr>
                <w:lang w:val="en-NZ"/>
              </w:rPr>
            </w:pPr>
            <w:r w:rsidRPr="00FC0166">
              <w:rPr>
                <w:rStyle w:val="SpecialBold"/>
              </w:rPr>
              <w:t>PERFORMANCE CRITERIA</w:t>
            </w:r>
          </w:p>
        </w:tc>
      </w:tr>
      <w:tr w:rsidTr="006D545A">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List"/>
              <w:rPr>
                <w:lang w:val="en-NZ"/>
              </w:rPr>
            </w:pPr>
            <w:r w:rsidRPr="00FC0166">
              <w:t>1.</w:t>
            </w:r>
            <w:r w:rsidRPr="00FC0166">
              <w:tab/>
              <w:t>Identify work requirements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166" w:rsidP="00FC0166">
            <w:pPr>
              <w:pStyle w:val="List2"/>
            </w:pPr>
            <w:r w:rsidRPr="00FC0166">
              <w:t>1.1.</w:t>
            </w:r>
            <w:r w:rsidRPr="00FC0166">
              <w:tab/>
            </w:r>
            <w:r w:rsidRPr="00FC0166">
              <w:t>Work requirements in the form of type of glass, frames and the method of fixing are identified from work instructions</w:t>
            </w:r>
          </w:p>
          <w:p w:rsidR="00000000" w:rsidRPr="00FC0166" w:rsidP="00FC0166">
            <w:pPr>
              <w:pStyle w:val="List2"/>
            </w:pPr>
            <w:r w:rsidRPr="00FC0166">
              <w:t>1.2.</w:t>
            </w:r>
            <w:r w:rsidRPr="00FC0166">
              <w:tab/>
              <w:t>Workplace health and safety requirements for fabrication and installation of commercial glazing, including personal protection needs,</w:t>
            </w:r>
            <w:r w:rsidRPr="00FC0166">
              <w:t xml:space="preserve"> are identified and observed throughout the work</w:t>
            </w:r>
          </w:p>
          <w:p w:rsidR="00000000" w:rsidP="00FC0166">
            <w:pPr>
              <w:pStyle w:val="List2"/>
              <w:rPr>
                <w:lang w:val="en-NZ"/>
              </w:rPr>
            </w:pPr>
            <w:r w:rsidRPr="00FC0166">
              <w:t>1.3.</w:t>
            </w:r>
            <w:r w:rsidRPr="00FC0166">
              <w:tab/>
              <w:t>The process for fabricating and installing commercial glazing is identified</w:t>
            </w:r>
          </w:p>
        </w:tc>
      </w:tr>
      <w:tr w:rsidTr="006D545A">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List"/>
              <w:rPr>
                <w:lang w:val="en-NZ"/>
              </w:rPr>
            </w:pPr>
            <w:r w:rsidRPr="00FC0166">
              <w:t>2.</w:t>
            </w:r>
            <w:r w:rsidRPr="00FC0166">
              <w:tab/>
              <w:t>Prepare for work</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166" w:rsidP="00FC0166">
            <w:pPr>
              <w:pStyle w:val="List2"/>
            </w:pPr>
            <w:r w:rsidRPr="00FC0166">
              <w:t>2.1.</w:t>
            </w:r>
            <w:r w:rsidRPr="00FC0166">
              <w:tab/>
              <w:t>Work sequence is planned in a logical order to suit the job</w:t>
            </w:r>
          </w:p>
          <w:p w:rsidR="00000000" w:rsidRPr="00FC0166" w:rsidP="00FC0166">
            <w:pPr>
              <w:pStyle w:val="List2"/>
            </w:pPr>
            <w:r w:rsidRPr="00FC0166">
              <w:t>2.2.</w:t>
            </w:r>
            <w:r w:rsidRPr="00FC0166">
              <w:tab/>
              <w:t>Tools, equipment and materials, oth</w:t>
            </w:r>
            <w:r w:rsidRPr="00FC0166">
              <w:t>er than glass and frames, are selected and checked prior to use to ensure that they are appropriate for the work, serviceable and in a safe condition</w:t>
            </w:r>
          </w:p>
          <w:p w:rsidR="00000000" w:rsidRPr="00FC0166" w:rsidP="00FC0166">
            <w:pPr>
              <w:pStyle w:val="List2"/>
            </w:pPr>
            <w:r w:rsidRPr="00FC0166">
              <w:t>2.3.</w:t>
            </w:r>
            <w:r w:rsidRPr="00FC0166">
              <w:tab/>
              <w:t>Type of glass to be fitted and frames are selected to match:</w:t>
            </w:r>
          </w:p>
          <w:p w:rsidR="00000000" w:rsidRPr="00FC0166" w:rsidP="00FC0166">
            <w:pPr>
              <w:pStyle w:val="List3"/>
            </w:pPr>
            <w:r w:rsidRPr="00FC0166">
              <w:t>2.3.1.</w:t>
            </w:r>
            <w:r w:rsidRPr="00FC0166">
              <w:tab/>
              <w:t>customer order</w:t>
            </w:r>
          </w:p>
          <w:p w:rsidR="00000000" w:rsidRPr="00FC0166" w:rsidP="00FC0166">
            <w:pPr>
              <w:pStyle w:val="List3"/>
            </w:pPr>
            <w:r w:rsidRPr="00FC0166">
              <w:t>2.3.2.</w:t>
            </w:r>
            <w:r w:rsidRPr="00FC0166">
              <w:tab/>
              <w:t>existing gl</w:t>
            </w:r>
            <w:r w:rsidRPr="00FC0166">
              <w:t>ass type</w:t>
            </w:r>
          </w:p>
          <w:p w:rsidR="00000000" w:rsidRPr="00FC0166" w:rsidP="00FC0166">
            <w:pPr>
              <w:pStyle w:val="List3"/>
            </w:pPr>
            <w:r w:rsidRPr="00FC0166">
              <w:t>2.3.3.</w:t>
            </w:r>
            <w:r w:rsidRPr="00FC0166">
              <w:tab/>
              <w:t>requirements for security, noise or light control</w:t>
            </w:r>
          </w:p>
          <w:p w:rsidR="00000000" w:rsidRPr="00FC0166" w:rsidP="00FC0166">
            <w:pPr>
              <w:pStyle w:val="List3"/>
            </w:pPr>
            <w:r w:rsidRPr="00FC0166">
              <w:t>2.3.4.</w:t>
            </w:r>
            <w:r w:rsidRPr="00FC0166">
              <w:tab/>
              <w:t>relevant Australian Standards</w:t>
            </w:r>
          </w:p>
          <w:p w:rsidR="00000000" w:rsidRPr="00FC0166" w:rsidP="00FC0166">
            <w:pPr>
              <w:pStyle w:val="List2"/>
            </w:pPr>
            <w:r w:rsidRPr="00FC0166">
              <w:t>2.4.</w:t>
            </w:r>
            <w:r w:rsidRPr="00FC0166">
              <w:tab/>
              <w:t>Glass fixing method is selected according to:</w:t>
            </w:r>
          </w:p>
          <w:p w:rsidR="00000000" w:rsidRPr="00FC0166" w:rsidP="00FC0166">
            <w:pPr>
              <w:pStyle w:val="List3"/>
            </w:pPr>
            <w:r w:rsidRPr="00FC0166">
              <w:t>2.4.1.</w:t>
            </w:r>
            <w:r w:rsidRPr="00FC0166">
              <w:tab/>
              <w:t>specification</w:t>
            </w:r>
          </w:p>
          <w:p w:rsidR="00000000" w:rsidRPr="00FC0166" w:rsidP="00FC0166">
            <w:pPr>
              <w:pStyle w:val="List3"/>
            </w:pPr>
            <w:r w:rsidRPr="00FC0166">
              <w:t>2.4.2.</w:t>
            </w:r>
            <w:r w:rsidRPr="00FC0166">
              <w:tab/>
              <w:t>type of glass and frame</w:t>
            </w:r>
          </w:p>
          <w:p w:rsidR="00000000" w:rsidRPr="00FC0166" w:rsidP="00FC0166">
            <w:pPr>
              <w:pStyle w:val="List3"/>
            </w:pPr>
            <w:r w:rsidRPr="00FC0166">
              <w:t>2.4.3.</w:t>
            </w:r>
            <w:r w:rsidRPr="00FC0166">
              <w:tab/>
              <w:t>security requirements</w:t>
            </w:r>
          </w:p>
          <w:p w:rsidR="00000000" w:rsidRPr="00FC0166" w:rsidP="00FC0166">
            <w:pPr>
              <w:pStyle w:val="List3"/>
            </w:pPr>
            <w:r w:rsidRPr="00FC0166">
              <w:t>2.4.4.</w:t>
            </w:r>
            <w:r w:rsidRPr="00FC0166">
              <w:tab/>
            </w:r>
            <w:r w:rsidRPr="00FC0166">
              <w:t>sealing methods</w:t>
            </w:r>
          </w:p>
          <w:p w:rsidR="00000000" w:rsidRPr="00FC0166" w:rsidP="00FC0166">
            <w:pPr>
              <w:pStyle w:val="List3"/>
            </w:pPr>
            <w:r w:rsidRPr="00FC0166">
              <w:t>2.4.5.</w:t>
            </w:r>
            <w:r w:rsidRPr="00FC0166">
              <w:tab/>
              <w:t>Australian Standards</w:t>
            </w:r>
          </w:p>
          <w:p w:rsidR="00000000" w:rsidP="00FC0166">
            <w:pPr>
              <w:pStyle w:val="List2"/>
              <w:rPr>
                <w:lang w:val="en-NZ"/>
              </w:rPr>
            </w:pPr>
            <w:r w:rsidRPr="00FC0166">
              <w:t>2.5.</w:t>
            </w:r>
            <w:r w:rsidRPr="00FC0166">
              <w:tab/>
              <w:t>Glass is checked for type, size and imperfections</w:t>
            </w:r>
          </w:p>
        </w:tc>
      </w:tr>
      <w:tr w:rsidTr="006D545A">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List"/>
              <w:rPr>
                <w:lang w:val="en-NZ"/>
              </w:rPr>
            </w:pPr>
            <w:r w:rsidRPr="00FC0166">
              <w:t>3.</w:t>
            </w:r>
            <w:r w:rsidRPr="00FC0166">
              <w:tab/>
              <w:t>Identify site conditions and restraints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166" w:rsidP="00FC0166">
            <w:pPr>
              <w:pStyle w:val="List2"/>
            </w:pPr>
            <w:r w:rsidRPr="00FC0166">
              <w:t>3.1.</w:t>
            </w:r>
            <w:r w:rsidRPr="00FC0166">
              <w:tab/>
              <w:t>Site safety hazards are recognised and corrective action taken to reduce injury to self and others</w:t>
            </w:r>
          </w:p>
          <w:p w:rsidR="00000000" w:rsidRPr="00FC0166" w:rsidP="00FC0166">
            <w:pPr>
              <w:pStyle w:val="List2"/>
            </w:pPr>
            <w:r w:rsidRPr="00FC0166">
              <w:t>3.2.</w:t>
            </w:r>
            <w:r w:rsidRPr="00FC0166">
              <w:tab/>
              <w:t>Othe</w:t>
            </w:r>
            <w:r w:rsidRPr="00FC0166">
              <w:t>r on-site difficulties are recognised and action taken to resolve in accordance with regulations and enterprise requirements</w:t>
            </w:r>
          </w:p>
          <w:p w:rsidR="00000000" w:rsidRPr="00FC0166" w:rsidP="00FC0166">
            <w:pPr>
              <w:pStyle w:val="List2"/>
            </w:pPr>
            <w:r w:rsidRPr="00FC0166">
              <w:t>3.3.</w:t>
            </w:r>
            <w:r w:rsidRPr="00FC0166">
              <w:tab/>
              <w:t>Covering material is applied where necessary to protect existing fixtures and fittings</w:t>
            </w:r>
          </w:p>
          <w:p w:rsidR="00000000" w:rsidP="00FC0166">
            <w:pPr>
              <w:pStyle w:val="List2"/>
              <w:rPr>
                <w:lang w:val="en-NZ"/>
              </w:rPr>
            </w:pPr>
            <w:r w:rsidRPr="00FC0166">
              <w:t>3.4.</w:t>
            </w:r>
            <w:r w:rsidRPr="00FC0166">
              <w:tab/>
              <w:t>Special characteristics of the win</w:t>
            </w:r>
            <w:r w:rsidRPr="00FC0166">
              <w:t>dow or door which may affect the finished job are identified and corrective action taken</w:t>
            </w:r>
          </w:p>
        </w:tc>
      </w:tr>
      <w:tr w:rsidTr="006D545A">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List"/>
              <w:rPr>
                <w:lang w:val="en-NZ"/>
              </w:rPr>
            </w:pPr>
            <w:r w:rsidRPr="00FC0166">
              <w:t>4.</w:t>
            </w:r>
            <w:r w:rsidRPr="00FC0166">
              <w:tab/>
              <w:t>Prepare frame and materials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166" w:rsidP="00FC0166">
            <w:pPr>
              <w:pStyle w:val="List2"/>
            </w:pPr>
            <w:r w:rsidRPr="00FC0166">
              <w:t>4.1.</w:t>
            </w:r>
            <w:r w:rsidRPr="00FC0166">
              <w:tab/>
              <w:t xml:space="preserve">Frame condition (if applicable) is assessed to ensure suitability for glazing in accordance with customer requirements </w:t>
            </w:r>
            <w:r w:rsidRPr="00FC0166">
              <w:t>and Australian Standards</w:t>
            </w:r>
          </w:p>
          <w:p w:rsidR="00000000" w:rsidRPr="00FC0166" w:rsidP="00FC0166">
            <w:pPr>
              <w:pStyle w:val="List2"/>
            </w:pPr>
            <w:r w:rsidRPr="00FC0166">
              <w:t>4.2.</w:t>
            </w:r>
            <w:r w:rsidRPr="00FC0166">
              <w:tab/>
              <w:t>Defective frames are reported for repair or replacement in accordance with workplace procedures</w:t>
            </w:r>
          </w:p>
          <w:p w:rsidR="00000000" w:rsidRPr="00FC0166" w:rsidP="00FC0166">
            <w:pPr>
              <w:pStyle w:val="List2"/>
            </w:pPr>
            <w:r w:rsidRPr="00FC0166">
              <w:t>4.3.</w:t>
            </w:r>
            <w:r w:rsidRPr="00FC0166">
              <w:tab/>
              <w:t>Frame is prepared (if required) to receive glass by:</w:t>
            </w:r>
          </w:p>
          <w:p w:rsidR="00000000" w:rsidRPr="00FC0166" w:rsidP="00FC0166">
            <w:pPr>
              <w:pStyle w:val="List3"/>
            </w:pPr>
            <w:r w:rsidRPr="00FC0166">
              <w:t>4.3.1.</w:t>
            </w:r>
            <w:r w:rsidRPr="00FC0166">
              <w:tab/>
              <w:t>removing any remains of glass and sealants</w:t>
            </w:r>
          </w:p>
          <w:p w:rsidR="00000000" w:rsidRPr="00FC0166" w:rsidP="00FC0166">
            <w:pPr>
              <w:pStyle w:val="List3"/>
            </w:pPr>
            <w:r w:rsidRPr="00FC0166">
              <w:t>4.3.2.</w:t>
            </w:r>
            <w:r w:rsidRPr="00FC0166">
              <w:tab/>
              <w:t>cleaning</w:t>
            </w:r>
          </w:p>
          <w:p w:rsidR="00000000" w:rsidRPr="00FC0166" w:rsidP="00FC0166">
            <w:pPr>
              <w:pStyle w:val="List3"/>
            </w:pPr>
            <w:r w:rsidRPr="00FC0166">
              <w:t>4.3.3.</w:t>
            </w:r>
            <w:r w:rsidRPr="00FC0166">
              <w:tab/>
              <w:t>surface preparation (if required)</w:t>
            </w:r>
          </w:p>
          <w:p w:rsidR="00000000" w:rsidRPr="00FC0166" w:rsidP="00FC0166">
            <w:pPr>
              <w:pStyle w:val="List3"/>
            </w:pPr>
            <w:r w:rsidRPr="00FC0166">
              <w:t>4.3.4.</w:t>
            </w:r>
            <w:r w:rsidRPr="00FC0166">
              <w:tab/>
              <w:t>checking size against specification</w:t>
            </w:r>
          </w:p>
          <w:p w:rsidR="00000000" w:rsidP="00FC0166">
            <w:pPr>
              <w:pStyle w:val="List2"/>
              <w:rPr>
                <w:lang w:val="en-NZ"/>
              </w:rPr>
            </w:pPr>
            <w:r w:rsidRPr="00FC0166">
              <w:t>4.4.</w:t>
            </w:r>
            <w:r w:rsidRPr="00FC0166">
              <w:tab/>
              <w:t>Fixing and sealing materials are prepared by mixing or cutting to length as appropriate</w:t>
            </w:r>
          </w:p>
        </w:tc>
      </w:tr>
      <w:tr w:rsidTr="006D545A">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List"/>
              <w:rPr>
                <w:lang w:val="en-NZ"/>
              </w:rPr>
            </w:pPr>
            <w:r w:rsidRPr="00FC0166">
              <w:t>5.</w:t>
            </w:r>
            <w:r w:rsidRPr="00FC0166">
              <w:tab/>
              <w:t>Fit glass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166" w:rsidP="00FC0166">
            <w:pPr>
              <w:pStyle w:val="List2"/>
            </w:pPr>
            <w:r w:rsidRPr="00FC0166">
              <w:t>5.1.</w:t>
            </w:r>
            <w:r w:rsidRPr="00FC0166">
              <w:tab/>
              <w:t>Glass is fixed to the frame using the selected method and in accor</w:t>
            </w:r>
            <w:r w:rsidRPr="00FC0166">
              <w:t>dance with recognised industry procedures and Australian Standards</w:t>
            </w:r>
          </w:p>
          <w:p w:rsidR="00000000" w:rsidRPr="00FC0166" w:rsidP="00FC0166">
            <w:pPr>
              <w:pStyle w:val="List2"/>
            </w:pPr>
            <w:r w:rsidRPr="00FC0166">
              <w:t>5.2.</w:t>
            </w:r>
            <w:r w:rsidRPr="00FC0166">
              <w:tab/>
              <w:t>Solvents and sealants are used in accordance with manufacturers' recommendations and Australian Standards</w:t>
            </w:r>
          </w:p>
          <w:p w:rsidR="00000000" w:rsidRPr="00FC0166" w:rsidP="00FC0166">
            <w:pPr>
              <w:pStyle w:val="List2"/>
            </w:pPr>
            <w:r w:rsidRPr="00FC0166">
              <w:t>5.3.</w:t>
            </w:r>
            <w:r w:rsidRPr="00FC0166">
              <w:tab/>
              <w:t>Excess sealing material is removed</w:t>
            </w:r>
          </w:p>
          <w:p w:rsidR="00000000" w:rsidP="00FC0166">
            <w:pPr>
              <w:pStyle w:val="List2"/>
              <w:rPr>
                <w:lang w:val="en-NZ"/>
              </w:rPr>
            </w:pPr>
            <w:r w:rsidRPr="00FC0166">
              <w:t>5.4.</w:t>
            </w:r>
            <w:r w:rsidRPr="00FC0166">
              <w:tab/>
              <w:t>Glass and frame are cleaned after</w:t>
            </w:r>
            <w:r w:rsidRPr="00FC0166">
              <w:t xml:space="preserve"> fixing</w:t>
            </w:r>
          </w:p>
        </w:tc>
      </w:tr>
      <w:tr w:rsidTr="006D545A">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List"/>
              <w:rPr>
                <w:lang w:val="en-NZ"/>
              </w:rPr>
            </w:pPr>
            <w:r w:rsidRPr="00FC0166">
              <w:t>6.</w:t>
            </w:r>
            <w:r w:rsidRPr="00FC0166">
              <w:tab/>
              <w:t>Complete work</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166" w:rsidP="00FC0166">
            <w:pPr>
              <w:pStyle w:val="List2"/>
            </w:pPr>
            <w:r w:rsidRPr="00FC0166">
              <w:t>6.1.</w:t>
            </w:r>
            <w:r w:rsidRPr="00FC0166">
              <w:tab/>
              <w:t>Completed installation is checked to ensure compliance with customer requirements, specifications and Australian Standards</w:t>
            </w:r>
          </w:p>
          <w:p w:rsidR="00000000" w:rsidRPr="00FC0166" w:rsidP="00FC0166">
            <w:pPr>
              <w:pStyle w:val="List2"/>
            </w:pPr>
            <w:r w:rsidRPr="00FC0166">
              <w:t>6.2.</w:t>
            </w:r>
            <w:r w:rsidRPr="00FC0166">
              <w:tab/>
              <w:t>Workplace documentation is completed in accordance with workplace requirements</w:t>
            </w:r>
          </w:p>
          <w:p w:rsidR="00000000" w:rsidRPr="00FC0166" w:rsidP="00FC0166">
            <w:pPr>
              <w:pStyle w:val="List2"/>
            </w:pPr>
            <w:r w:rsidRPr="00FC0166">
              <w:t>6.3.</w:t>
            </w:r>
            <w:r w:rsidRPr="00FC0166">
              <w:tab/>
            </w:r>
            <w:r w:rsidRPr="00FC0166">
              <w:t>Work area is cleaned and left in a safe condition and rubbish removed from work area and disposed of in accordance with relevant statutory requirements and workplace requirements</w:t>
            </w:r>
          </w:p>
          <w:p w:rsidR="00000000" w:rsidRPr="00FC0166" w:rsidP="00FC0166">
            <w:pPr>
              <w:pStyle w:val="List2"/>
            </w:pPr>
            <w:r w:rsidRPr="00FC0166">
              <w:t>6.4.</w:t>
            </w:r>
            <w:r w:rsidRPr="00FC0166">
              <w:tab/>
              <w:t>Tools, equipment and materials are cleaned and stored following workplac</w:t>
            </w:r>
            <w:r w:rsidRPr="00FC0166">
              <w:t>e procedures</w:t>
            </w:r>
          </w:p>
          <w:p w:rsidR="00000000" w:rsidRPr="00FC0166" w:rsidP="00FC0166">
            <w:pPr>
              <w:pStyle w:val="List2"/>
            </w:pPr>
            <w:r w:rsidRPr="00FC0166">
              <w:t>6.5.</w:t>
            </w:r>
            <w:r w:rsidRPr="00FC0166">
              <w:tab/>
              <w:t>Waste and scrap material is removed for disposal or recycling as required</w:t>
            </w:r>
          </w:p>
        </w:tc>
      </w:tr>
    </w:tbl>
    <w:p w:rsidR="00000000" w:rsidRPr="00FC0166" w:rsidP="00FC0166">
      <w:pPr>
        <w:pStyle w:val="BodyText"/>
      </w:pPr>
    </w:p>
    <w:p w:rsidR="00000000" w:rsidRPr="00FC0166" w:rsidP="00FC0166">
      <w:pPr>
        <w:pStyle w:val="AllowPageBreak"/>
      </w:pPr>
    </w:p>
    <w:p w:rsidR="00000000" w:rsidRPr="00FC0166" w:rsidP="00FC0166">
      <w:pPr>
        <w:pStyle w:val="Heading1"/>
      </w:pPr>
      <w:bookmarkStart w:id="9" w:name="O_90287"/>
      <w:bookmarkEnd w:id="9"/>
      <w:r w:rsidRPr="00FC0166">
        <w:t>Required Skills and Knowledge</w:t>
      </w:r>
    </w:p>
    <w:tbl>
      <w:tblPr>
        <w:tblW w:w="0" w:type="auto"/>
        <w:tblLayout w:type="fixed"/>
        <w:tblCellMar>
          <w:left w:w="62" w:type="dxa"/>
          <w:right w:w="62" w:type="dxa"/>
        </w:tblCellMar>
        <w:tblLook w:val="0000"/>
      </w:tblPr>
      <w:tblGrid>
        <w:gridCol w:w="8522"/>
      </w:tblGrid>
      <w:tr w:rsidTr="006D545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0166">
            <w:pPr>
              <w:pStyle w:val="BodyText"/>
              <w:rPr>
                <w:lang w:val="en-NZ"/>
              </w:rPr>
            </w:pPr>
            <w:r w:rsidRPr="00FC0166">
              <w:rPr>
                <w:rStyle w:val="SpecialBold"/>
              </w:rPr>
              <w:t>REQUIRED SKILLS AND KNOWLEDGE</w:t>
            </w:r>
          </w:p>
        </w:tc>
      </w:tr>
      <w:tr w:rsidTr="006D545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BodyText"/>
              <w:rPr>
                <w:lang w:val="en-NZ"/>
              </w:rPr>
            </w:pPr>
            <w:r w:rsidRPr="00FC0166">
              <w:t>This section describes the skills and knowledge required for this unit.</w:t>
            </w:r>
          </w:p>
        </w:tc>
      </w:tr>
      <w:tr w:rsidTr="006D54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BodyText"/>
              <w:rPr>
                <w:lang w:val="en-NZ"/>
              </w:rPr>
            </w:pPr>
            <w:r w:rsidRPr="00FC0166">
              <w:rPr>
                <w:rStyle w:val="SpecialBold"/>
              </w:rPr>
              <w:t>Required skills</w:t>
            </w:r>
          </w:p>
        </w:tc>
      </w:tr>
      <w:tr w:rsidTr="006D54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166" w:rsidP="00FC0166">
            <w:pPr>
              <w:pStyle w:val="ListBullet"/>
            </w:pPr>
            <w:r w:rsidRPr="00FC0166">
              <w:t xml:space="preserve">collect, organise and understand information related to work orders, basic plans, and safety procedures </w:t>
            </w:r>
          </w:p>
          <w:p w:rsidR="00000000" w:rsidRPr="00FC0166" w:rsidP="00FC0166">
            <w:pPr>
              <w:pStyle w:val="ListBullet"/>
            </w:pPr>
            <w:r w:rsidRPr="00FC0166">
              <w:t>communicate ideas and information to enable confirmation of work requirements and specifications, coordination of work with work supe</w:t>
            </w:r>
            <w:r w:rsidRPr="00FC0166">
              <w:t xml:space="preserve">rvisor, other workers and customers, and the reporting of work outcomes and problems </w:t>
            </w:r>
          </w:p>
          <w:p w:rsidR="00000000" w:rsidRPr="00FC0166" w:rsidP="00FC0166">
            <w:pPr>
              <w:pStyle w:val="ListBullet"/>
            </w:pPr>
            <w:r w:rsidRPr="00FC0166">
              <w:t>plan and organise activities including the preparation and layout of the work area and the obtaining of equipment and materials to avoid any back tracking, workflow inter</w:t>
            </w:r>
            <w:r w:rsidRPr="00FC0166">
              <w:t xml:space="preserve">ruptions or wastage </w:t>
            </w:r>
          </w:p>
          <w:p w:rsidR="00000000" w:rsidRPr="00FC0166" w:rsidP="00FC0166">
            <w:pPr>
              <w:pStyle w:val="ListBullet"/>
            </w:pPr>
            <w:r w:rsidRPr="00FC0166">
              <w:t xml:space="preserve">work with others and in a team by recognising dependencies and using cooperative approaches to optimise workflow and productivity </w:t>
            </w:r>
          </w:p>
          <w:p w:rsidR="00000000" w:rsidRPr="00FC0166" w:rsidP="00FC0166">
            <w:pPr>
              <w:pStyle w:val="ListBullet"/>
            </w:pPr>
            <w:r w:rsidRPr="00FC0166">
              <w:t>use mathematical ideas and techniques to correctly complete measurements, calculate work requirements, o</w:t>
            </w:r>
            <w:r w:rsidRPr="00FC0166">
              <w:t xml:space="preserve">ptimise glass sizes for economical cutting and assemble required materials </w:t>
            </w:r>
          </w:p>
          <w:p w:rsidR="00000000" w:rsidRPr="00FC0166" w:rsidP="00FC0166">
            <w:pPr>
              <w:pStyle w:val="ListBullet"/>
            </w:pPr>
            <w:r w:rsidRPr="00FC0166">
              <w:t xml:space="preserve">use pre-checking and inspection techniques to plan work, avoiding re-working and wastage </w:t>
            </w:r>
          </w:p>
          <w:p w:rsidR="00000000" w:rsidP="00FC0166">
            <w:pPr>
              <w:pStyle w:val="ListBullet"/>
              <w:rPr>
                <w:lang w:val="en-NZ"/>
              </w:rPr>
            </w:pPr>
            <w:r w:rsidRPr="00FC0166">
              <w:t>use the workplace technology related to commercial and structural reglazing</w:t>
            </w:r>
          </w:p>
        </w:tc>
      </w:tr>
      <w:tr w:rsidTr="006D54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BodyText"/>
              <w:rPr>
                <w:lang w:val="en-NZ"/>
              </w:rPr>
            </w:pPr>
            <w:r w:rsidRPr="00FC0166">
              <w:rPr>
                <w:rStyle w:val="SpecialBold"/>
              </w:rPr>
              <w:t>Required knowledge</w:t>
            </w:r>
          </w:p>
        </w:tc>
      </w:tr>
      <w:tr w:rsidTr="006D54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166" w:rsidP="00FC0166">
            <w:pPr>
              <w:pStyle w:val="ListBullet"/>
            </w:pPr>
            <w:r w:rsidRPr="00FC0166">
              <w:t>the types, qualities and characteristics of glass, including the hazards and handling requirements</w:t>
            </w:r>
          </w:p>
          <w:p w:rsidR="00000000" w:rsidRPr="00FC0166" w:rsidP="00FC0166">
            <w:pPr>
              <w:pStyle w:val="ListBullet"/>
            </w:pPr>
            <w:r w:rsidRPr="00FC0166">
              <w:t>relevant Australian Standards</w:t>
            </w:r>
          </w:p>
          <w:p w:rsidR="00000000" w:rsidRPr="00FC0166" w:rsidP="00FC0166">
            <w:pPr>
              <w:pStyle w:val="ListBullet"/>
            </w:pPr>
            <w:r w:rsidRPr="00FC0166">
              <w:t>the techniques, methods, materials and process of commercial and structural reglazing</w:t>
            </w:r>
          </w:p>
          <w:p w:rsidR="00000000" w:rsidRPr="00FC0166" w:rsidP="00FC0166">
            <w:pPr>
              <w:pStyle w:val="ListBullet"/>
            </w:pPr>
            <w:r w:rsidRPr="00FC0166">
              <w:t>workflow in relation</w:t>
            </w:r>
            <w:r w:rsidRPr="00FC0166">
              <w:t xml:space="preserve"> to fitting glass</w:t>
            </w:r>
          </w:p>
          <w:p w:rsidR="00000000" w:rsidRPr="00FC0166" w:rsidP="00FC0166">
            <w:pPr>
              <w:pStyle w:val="ListBullet"/>
            </w:pPr>
            <w:r w:rsidRPr="00FC0166">
              <w:t>the application and operation of tools and equipment used</w:t>
            </w:r>
          </w:p>
          <w:p w:rsidR="00000000" w:rsidRPr="00FC0166" w:rsidP="00FC0166">
            <w:pPr>
              <w:pStyle w:val="ListBullet"/>
            </w:pPr>
            <w:r w:rsidRPr="00FC0166">
              <w:t>identification of equipment, processes and procedures</w:t>
            </w:r>
          </w:p>
          <w:p w:rsidR="00000000" w:rsidRPr="00FC0166" w:rsidP="00FC0166">
            <w:pPr>
              <w:pStyle w:val="ListBullet"/>
            </w:pPr>
            <w:r w:rsidRPr="00FC0166">
              <w:t>workplace safety system requirements related to commercial and structural reglazing</w:t>
            </w:r>
          </w:p>
        </w:tc>
      </w:tr>
    </w:tbl>
    <w:p w:rsidR="00000000" w:rsidRPr="00FC0166" w:rsidP="00FC0166">
      <w:pPr>
        <w:pStyle w:val="BodyText"/>
      </w:pPr>
    </w:p>
    <w:p w:rsidR="00000000" w:rsidRPr="00FC0166" w:rsidP="00FC0166">
      <w:pPr>
        <w:pStyle w:val="AllowPageBreak"/>
      </w:pPr>
    </w:p>
    <w:p w:rsidR="00000000" w:rsidRPr="00FC0166" w:rsidP="00FC0166">
      <w:pPr>
        <w:pStyle w:val="Heading1"/>
      </w:pPr>
      <w:bookmarkStart w:id="10" w:name="O_90288"/>
      <w:bookmarkEnd w:id="10"/>
      <w:r w:rsidRPr="00FC0166">
        <w:t>Evidence Guide</w:t>
      </w:r>
    </w:p>
    <w:tbl>
      <w:tblPr>
        <w:tblW w:w="9570" w:type="dxa"/>
        <w:tblLayout w:type="fixed"/>
        <w:tblCellMar>
          <w:left w:w="62" w:type="dxa"/>
          <w:right w:w="62" w:type="dxa"/>
        </w:tblCellMar>
        <w:tblLook w:val="0000"/>
      </w:tblPr>
      <w:tblGrid>
        <w:gridCol w:w="3908"/>
        <w:gridCol w:w="5662"/>
      </w:tblGrid>
      <w:tr w:rsidTr="006D545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BodyText"/>
              <w:rPr>
                <w:lang w:val="en-NZ"/>
              </w:rPr>
            </w:pPr>
            <w:r w:rsidRPr="00FC0166">
              <w:rPr>
                <w:rStyle w:val="SpecialBold"/>
              </w:rPr>
              <w:t>EVIDENCE GUIDE</w:t>
            </w:r>
          </w:p>
        </w:tc>
      </w:tr>
      <w:tr w:rsidTr="006D545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BodyText"/>
              <w:rPr>
                <w:lang w:val="en-NZ"/>
              </w:rPr>
            </w:pPr>
            <w:r w:rsidRPr="00FC0166">
              <w:t>The Evidence Guide provides advice on assessment and must be read in conjunction with the performance criteria, required skills and knowledge, range statement and the Assessment Guidelines for the Training Package.</w:t>
            </w:r>
          </w:p>
        </w:tc>
      </w:tr>
      <w:tr w:rsidTr="006D54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BodyText"/>
              <w:rPr>
                <w:lang w:val="en-NZ"/>
              </w:rPr>
            </w:pPr>
            <w:r w:rsidRPr="00FC0166">
              <w:rPr>
                <w:rStyle w:val="SpecialBold"/>
              </w:rPr>
              <w:t>Critical aspects of ev</w:t>
            </w:r>
            <w:r w:rsidRPr="00FC0166">
              <w:rPr>
                <w:rStyle w:val="SpecialBold"/>
              </w:rPr>
              <w:t>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166" w:rsidP="00FC0166">
            <w:pPr>
              <w:pStyle w:val="ListBullet"/>
            </w:pPr>
            <w:r w:rsidRPr="00FC0166">
              <w:t>Interpret work order/job instruction and locate and apply relevant information to conduct commercial and structural reglazing</w:t>
            </w:r>
          </w:p>
          <w:p w:rsidR="00000000" w:rsidRPr="00FC0166" w:rsidP="00FC0166">
            <w:pPr>
              <w:pStyle w:val="ListBullet"/>
            </w:pPr>
            <w:r w:rsidRPr="00FC0166">
              <w:t>Apply safe handling requirements for equipment, products and materials, including use of personal protective equipment</w:t>
            </w:r>
          </w:p>
          <w:p w:rsidR="00000000" w:rsidRPr="00FC0166" w:rsidP="00FC0166">
            <w:pPr>
              <w:pStyle w:val="ListBullet"/>
            </w:pPr>
            <w:r w:rsidRPr="00FC0166">
              <w:t>Follow work instructions, operating procedures and inspection practices to:</w:t>
            </w:r>
          </w:p>
          <w:p w:rsidR="00000000" w:rsidRPr="00FC0166" w:rsidP="00FC0166">
            <w:pPr>
              <w:pStyle w:val="ListBullet2"/>
            </w:pPr>
            <w:r w:rsidRPr="00FC0166">
              <w:t>minimise the risk of injury to self and others</w:t>
            </w:r>
          </w:p>
          <w:p w:rsidR="00000000" w:rsidRPr="00FC0166" w:rsidP="00FC0166">
            <w:pPr>
              <w:pStyle w:val="ListBullet2"/>
            </w:pPr>
            <w:r w:rsidRPr="00FC0166">
              <w:t>prevent damage to glass, frames, equipment and products</w:t>
            </w:r>
          </w:p>
          <w:p w:rsidR="00000000" w:rsidRPr="00FC0166" w:rsidP="00FC0166">
            <w:pPr>
              <w:pStyle w:val="ListBullet2"/>
            </w:pPr>
            <w:r w:rsidRPr="00FC0166">
              <w:t>maintain required production output and product quality</w:t>
            </w:r>
          </w:p>
          <w:p w:rsidR="00000000" w:rsidRPr="00FC0166" w:rsidP="00FC0166">
            <w:pPr>
              <w:pStyle w:val="ListBullet"/>
            </w:pPr>
            <w:r w:rsidRPr="00FC0166">
              <w:t>To complete a minim</w:t>
            </w:r>
            <w:r w:rsidRPr="00FC0166">
              <w:t>um of:</w:t>
            </w:r>
          </w:p>
          <w:p w:rsidR="00000000" w:rsidRPr="00FC0166" w:rsidP="00FC0166">
            <w:pPr>
              <w:pStyle w:val="ListBullet2"/>
            </w:pPr>
            <w:r w:rsidRPr="00FC0166">
              <w:t>safely remove broken glass from commercial and architectural frames</w:t>
            </w:r>
          </w:p>
          <w:p w:rsidR="00000000" w:rsidRPr="00FC0166" w:rsidP="00FC0166">
            <w:pPr>
              <w:pStyle w:val="ListBullet2"/>
            </w:pPr>
            <w:r w:rsidRPr="00FC0166">
              <w:t>prepare frame and opening including cleanup and/or frame repair</w:t>
            </w:r>
          </w:p>
          <w:p w:rsidR="00000000" w:rsidRPr="00FC0166" w:rsidP="00FC0166">
            <w:pPr>
              <w:pStyle w:val="ListBullet2"/>
            </w:pPr>
            <w:r w:rsidRPr="00FC0166">
              <w:t>measure glass for commercial windows, doors, show and food cabinets including sliding tracks, shop fronts and return</w:t>
            </w:r>
            <w:r w:rsidRPr="00FC0166">
              <w:t>s, architectural, curtain wall, structural and overhead glazing</w:t>
            </w:r>
          </w:p>
          <w:p w:rsidR="00000000" w:rsidRPr="00FC0166" w:rsidP="00FC0166">
            <w:pPr>
              <w:pStyle w:val="ListBullet2"/>
            </w:pPr>
            <w:r w:rsidRPr="00FC0166">
              <w:t>select glass to comply with AS1288</w:t>
            </w:r>
          </w:p>
          <w:p w:rsidR="00000000" w:rsidRPr="00FC0166" w:rsidP="00FC0166">
            <w:pPr>
              <w:pStyle w:val="ListBullet2"/>
            </w:pPr>
            <w:r w:rsidRPr="00FC0166">
              <w:t>cut and process glass in accordance with AS4667</w:t>
            </w:r>
          </w:p>
          <w:p w:rsidR="00000000" w:rsidRPr="00FC0166" w:rsidP="00FC0166">
            <w:pPr>
              <w:pStyle w:val="ListBullet2"/>
            </w:pPr>
            <w:r w:rsidRPr="00FC0166">
              <w:t>identify and work with ladders and scaffolding to the relevant regulations and standards</w:t>
            </w:r>
          </w:p>
          <w:p w:rsidR="00000000" w:rsidRPr="00FC0166" w:rsidP="00FC0166">
            <w:pPr>
              <w:pStyle w:val="ListBullet2"/>
            </w:pPr>
            <w:r w:rsidRPr="00FC0166">
              <w:t>identify and apply g</w:t>
            </w:r>
            <w:r w:rsidRPr="00FC0166">
              <w:t>lazing, structural sealants and tapes</w:t>
            </w:r>
          </w:p>
          <w:p w:rsidR="00000000" w:rsidRPr="00FC0166" w:rsidP="00FC0166">
            <w:pPr>
              <w:pStyle w:val="ListBullet2"/>
            </w:pPr>
            <w:r w:rsidRPr="00FC0166">
              <w:t>install and weatherproof glazing materials</w:t>
            </w:r>
          </w:p>
          <w:p w:rsidR="00000000" w:rsidRPr="00FC0166" w:rsidP="00FC0166">
            <w:pPr>
              <w:pStyle w:val="ListBullet2"/>
            </w:pPr>
            <w:r w:rsidRPr="00FC0166">
              <w:t>calculate the cost of glass and labour</w:t>
            </w:r>
          </w:p>
          <w:p w:rsidR="00000000" w:rsidRPr="00FC0166" w:rsidP="00FC0166">
            <w:pPr>
              <w:pStyle w:val="ListBullet"/>
            </w:pPr>
            <w:r w:rsidRPr="00FC0166">
              <w:t>Work effectively with others</w:t>
            </w:r>
          </w:p>
          <w:p w:rsidR="00000000" w:rsidP="00FC0166">
            <w:pPr>
              <w:pStyle w:val="ListBullet"/>
              <w:rPr>
                <w:lang w:val="en-NZ"/>
              </w:rPr>
            </w:pPr>
            <w:r w:rsidRPr="00FC0166">
              <w:t>Modify activities to cater for variations in workplace contexts and environment</w:t>
            </w:r>
          </w:p>
        </w:tc>
      </w:tr>
      <w:tr w:rsidTr="006D54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BodyText"/>
              <w:rPr>
                <w:lang w:val="en-NZ"/>
              </w:rPr>
            </w:pPr>
            <w:r w:rsidRPr="00FC0166">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BodyText"/>
              <w:rPr>
                <w:lang w:val="en-NZ"/>
              </w:rPr>
            </w:pPr>
            <w:r w:rsidRPr="00FC0166">
              <w:t>Frames, glass, fixing material, sealants, workplace operating procedures and work orders, personal protective equipment and an appropriate work area/site.</w:t>
            </w:r>
          </w:p>
        </w:tc>
      </w:tr>
      <w:tr w:rsidTr="006D54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BodyText"/>
              <w:rPr>
                <w:lang w:val="en-NZ"/>
              </w:rPr>
            </w:pPr>
            <w:r w:rsidRPr="00FC016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166" w:rsidP="00FC0166">
            <w:pPr>
              <w:pStyle w:val="BodyText"/>
            </w:pPr>
            <w:r w:rsidRPr="00FC0166">
              <w:t>Assessment methods must confirm consistency of performance over time and in a r</w:t>
            </w:r>
            <w:r w:rsidRPr="00FC0166">
              <w:t>ange of workplace relevant contexts.</w:t>
            </w:r>
          </w:p>
          <w:p w:rsidR="00000000" w:rsidRPr="00FC0166" w:rsidP="00FC0166">
            <w:pPr>
              <w:pStyle w:val="BodyText"/>
            </w:pPr>
            <w:r w:rsidRPr="00FC0166">
              <w:t>Assessment should be by direct observation of tasks and questioning on underpinning knowledge.</w:t>
            </w:r>
          </w:p>
          <w:p w:rsidR="00000000" w:rsidP="00FC0166">
            <w:pPr>
              <w:pStyle w:val="BodyText"/>
              <w:rPr>
                <w:lang w:val="en-NZ"/>
              </w:rPr>
            </w:pPr>
            <w:r w:rsidRPr="00FC0166">
              <w:t>Assessment may be in conjunction with assessment of other relevant units of competency.</w:t>
            </w:r>
          </w:p>
        </w:tc>
      </w:tr>
      <w:tr w:rsidTr="006D54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BodyText"/>
              <w:rPr>
                <w:lang w:val="en-NZ"/>
              </w:rPr>
            </w:pPr>
            <w:r w:rsidRPr="00FC0166">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166" w:rsidP="00FC0166">
            <w:pPr>
              <w:pStyle w:val="BodyText"/>
            </w:pPr>
            <w:r w:rsidRPr="00FC0166">
              <w:t>Assessment ma</w:t>
            </w:r>
            <w:r w:rsidRPr="00FC0166">
              <w:t xml:space="preserve">y occur on the job or in a workplace simulated facility with relevant process equipment, materials, work instructions and deadlines. </w:t>
            </w:r>
          </w:p>
        </w:tc>
      </w:tr>
    </w:tbl>
    <w:p w:rsidR="00000000" w:rsidRPr="00FC0166" w:rsidP="00FC0166">
      <w:pPr>
        <w:pStyle w:val="BodyText"/>
      </w:pPr>
    </w:p>
    <w:p w:rsidR="00000000" w:rsidRPr="00FC0166" w:rsidP="00FC0166">
      <w:pPr>
        <w:pStyle w:val="AllowPageBreak"/>
      </w:pPr>
    </w:p>
    <w:p w:rsidR="00000000" w:rsidRPr="00FC0166" w:rsidP="00FC0166">
      <w:pPr>
        <w:pStyle w:val="Heading1"/>
      </w:pPr>
      <w:bookmarkStart w:id="11" w:name="O_90289"/>
      <w:bookmarkEnd w:id="11"/>
      <w:r w:rsidRPr="00FC0166">
        <w:t>Range Statement</w:t>
      </w:r>
    </w:p>
    <w:tbl>
      <w:tblPr>
        <w:tblW w:w="0" w:type="auto"/>
        <w:tblLayout w:type="fixed"/>
        <w:tblCellMar>
          <w:left w:w="62" w:type="dxa"/>
          <w:right w:w="62" w:type="dxa"/>
        </w:tblCellMar>
        <w:tblLook w:val="0000"/>
      </w:tblPr>
      <w:tblGrid>
        <w:gridCol w:w="3459"/>
        <w:gridCol w:w="5063"/>
      </w:tblGrid>
      <w:tr w:rsidTr="006D545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BodyText"/>
              <w:rPr>
                <w:lang w:val="en-NZ"/>
              </w:rPr>
            </w:pPr>
            <w:r w:rsidRPr="00FC0166">
              <w:rPr>
                <w:rStyle w:val="SpecialBold"/>
              </w:rPr>
              <w:t>RANGE STATEMENT</w:t>
            </w:r>
          </w:p>
        </w:tc>
      </w:tr>
      <w:tr w:rsidTr="006D545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BodyText"/>
              <w:rPr>
                <w:lang w:val="en-NZ"/>
              </w:rPr>
            </w:pPr>
            <w:r w:rsidRPr="00FC0166">
              <w:t>The range statement relates to the unit of competency as a whole. It allows for different work environments and situations that may affect performance. Bold italicised wording, if used in the performance criteria, is detailed below. Essential operating con</w:t>
            </w:r>
            <w:r w:rsidRPr="00FC0166">
              <w:t>ditions that may be present with training and assessment (depending on the work situation, needs of the candidate, accessibility of the item, and local industry and regional contexts) may also be included.</w:t>
            </w:r>
          </w:p>
        </w:tc>
      </w:tr>
      <w:tr w:rsidTr="006D545A">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BodyText"/>
              <w:rPr>
                <w:lang w:val="en-NZ"/>
              </w:rPr>
            </w:pPr>
            <w:r w:rsidRPr="00FC0166">
              <w:rPr>
                <w:rStyle w:val="SpecialBold"/>
              </w:rPr>
              <w:t>Unit context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166" w:rsidP="00FC0166">
            <w:pPr>
              <w:pStyle w:val="ListBullet"/>
            </w:pPr>
            <w:r w:rsidRPr="00FC0166">
              <w:t>Work requires individuals to demon</w:t>
            </w:r>
            <w:r w:rsidRPr="00FC0166">
              <w:t xml:space="preserve">strate some discretion, judgement and problem solving skills in the handling and installation of glass products </w:t>
            </w:r>
          </w:p>
          <w:p w:rsidR="00000000" w:rsidRPr="00FC0166" w:rsidP="00FC0166">
            <w:pPr>
              <w:pStyle w:val="ListBullet"/>
            </w:pPr>
            <w:r w:rsidRPr="00FC0166">
              <w:t>Work is carried out in accordance with statutory requirements, environment legislation, manual handling procedures and relevant regulations and</w:t>
            </w:r>
            <w:r w:rsidRPr="00FC0166">
              <w:t xml:space="preserve"> organisation insurance requirements</w:t>
            </w:r>
          </w:p>
          <w:p w:rsidR="00000000" w:rsidP="00FC0166">
            <w:pPr>
              <w:pStyle w:val="ListBullet"/>
              <w:rPr>
                <w:lang w:val="en-NZ"/>
              </w:rPr>
            </w:pPr>
            <w:r w:rsidRPr="00FC0166">
              <w:t>OHS requirements may include legislation, standards, building codes, material safety management systems and local safe operating procedures</w:t>
            </w:r>
          </w:p>
        </w:tc>
      </w:tr>
      <w:tr w:rsidTr="006D545A">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BodyText"/>
              <w:rPr>
                <w:lang w:val="en-NZ"/>
              </w:rPr>
            </w:pPr>
            <w:r w:rsidRPr="00FC0166">
              <w:rPr>
                <w:rStyle w:val="SpecialBold"/>
              </w:rPr>
              <w:t>Commercial and structural reglazing</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166" w:rsidP="00FC0166">
            <w:pPr>
              <w:pStyle w:val="ListBullet"/>
            </w:pPr>
            <w:r w:rsidRPr="00FC0166">
              <w:t>Commercial and structural reglazing covers work involving the on-site replacement of glass for commercial, structural and other architectural engineered applications. It includes:</w:t>
            </w:r>
          </w:p>
          <w:p w:rsidR="00000000" w:rsidRPr="00FC0166" w:rsidP="00FC0166">
            <w:pPr>
              <w:pStyle w:val="ListBullet2"/>
            </w:pPr>
            <w:r w:rsidRPr="00FC0166">
              <w:t xml:space="preserve">commercial windows and doors, including: casement, sash, awning and double </w:t>
            </w:r>
            <w:r w:rsidRPr="00FC0166">
              <w:t xml:space="preserve">hung windows, shopfronts and returns, louvres, hinged, pivot and sliding doors and windows, automatic doors, mirrors, furniture applications, showcases, sliding tracks and food cabinets </w:t>
            </w:r>
          </w:p>
          <w:p w:rsidR="00000000" w:rsidRPr="00FC0166" w:rsidP="00FC0166">
            <w:pPr>
              <w:pStyle w:val="ListBullet2"/>
            </w:pPr>
            <w:r w:rsidRPr="00FC0166">
              <w:t>curtain walls, balustrading, structural and suspended glazing and ove</w:t>
            </w:r>
            <w:r w:rsidRPr="00FC0166">
              <w:t xml:space="preserve">rhead glazing </w:t>
            </w:r>
          </w:p>
          <w:p w:rsidR="00000000" w:rsidRPr="00FC0166" w:rsidP="00FC0166">
            <w:pPr>
              <w:pStyle w:val="ListBullet"/>
            </w:pPr>
            <w:r w:rsidRPr="00FC0166">
              <w:t>It may also include:</w:t>
            </w:r>
          </w:p>
          <w:p w:rsidR="00000000" w:rsidRPr="00FC0166" w:rsidP="00FC0166">
            <w:pPr>
              <w:pStyle w:val="ListBullet2"/>
            </w:pPr>
            <w:r w:rsidRPr="00FC0166">
              <w:t xml:space="preserve">toughened glass assemblies </w:t>
            </w:r>
          </w:p>
          <w:p w:rsidR="00000000" w:rsidRPr="00FC0166" w:rsidP="00FC0166">
            <w:pPr>
              <w:pStyle w:val="ListBullet2"/>
            </w:pPr>
            <w:r w:rsidRPr="00FC0166">
              <w:t xml:space="preserve">aluminium glazing systems, including planar assemblies, curtain wall systems, spider assemblies, panel wall systems (hung and stacked) </w:t>
            </w:r>
          </w:p>
          <w:p w:rsidR="00000000" w:rsidRPr="00FC0166" w:rsidP="00FC0166">
            <w:pPr>
              <w:pStyle w:val="ListBullet2"/>
            </w:pPr>
            <w:r w:rsidRPr="00FC0166">
              <w:t xml:space="preserve">Armour-view balustrading </w:t>
            </w:r>
          </w:p>
          <w:p w:rsidR="00000000" w:rsidP="00FC0166">
            <w:pPr>
              <w:pStyle w:val="ListBullet2"/>
              <w:rPr>
                <w:lang w:val="en-NZ"/>
              </w:rPr>
            </w:pPr>
            <w:r w:rsidRPr="00FC0166">
              <w:t xml:space="preserve">watertight glazing techniques, including knowledge of silicone </w:t>
            </w:r>
          </w:p>
        </w:tc>
      </w:tr>
      <w:tr w:rsidTr="006D545A">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BodyText"/>
              <w:rPr>
                <w:lang w:val="en-NZ"/>
              </w:rPr>
            </w:pPr>
            <w:r w:rsidRPr="00FC0166">
              <w:rPr>
                <w:rStyle w:val="SpecialBold"/>
              </w:rPr>
              <w:t>Tools and equipment may include</w:t>
            </w:r>
            <w:r w:rsidRPr="00FC0166">
              <w: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166" w:rsidP="00FC0166">
            <w:pPr>
              <w:pStyle w:val="ListBullet"/>
            </w:pPr>
            <w:r w:rsidRPr="00FC0166">
              <w:t>glass cutters</w:t>
            </w:r>
          </w:p>
          <w:p w:rsidR="00000000" w:rsidRPr="00FC0166" w:rsidP="00FC0166">
            <w:pPr>
              <w:pStyle w:val="ListBullet"/>
            </w:pPr>
            <w:r w:rsidRPr="00FC0166">
              <w:t>pliers</w:t>
            </w:r>
          </w:p>
          <w:p w:rsidR="00000000" w:rsidRPr="00FC0166" w:rsidP="00FC0166">
            <w:pPr>
              <w:pStyle w:val="ListBullet"/>
            </w:pPr>
            <w:r w:rsidRPr="00FC0166">
              <w:t>hack-out knives</w:t>
            </w:r>
          </w:p>
          <w:p w:rsidR="00000000" w:rsidRPr="00FC0166" w:rsidP="00FC0166">
            <w:pPr>
              <w:pStyle w:val="ListBullet"/>
            </w:pPr>
            <w:r w:rsidRPr="00FC0166">
              <w:t>drills</w:t>
            </w:r>
          </w:p>
          <w:p w:rsidR="00000000" w:rsidRPr="00FC0166" w:rsidP="00FC0166">
            <w:pPr>
              <w:pStyle w:val="ListBullet"/>
            </w:pPr>
            <w:r w:rsidRPr="00FC0166">
              <w:t>putty knives</w:t>
            </w:r>
          </w:p>
          <w:p w:rsidR="00000000" w:rsidRPr="00FC0166" w:rsidP="00FC0166">
            <w:pPr>
              <w:pStyle w:val="ListBullet"/>
            </w:pPr>
            <w:r w:rsidRPr="00FC0166">
              <w:t>tape measures</w:t>
            </w:r>
          </w:p>
          <w:p w:rsidR="00000000" w:rsidRPr="00FC0166" w:rsidP="00FC0166">
            <w:pPr>
              <w:pStyle w:val="ListBullet"/>
            </w:pPr>
            <w:r w:rsidRPr="00FC0166">
              <w:t>scaffolding</w:t>
            </w:r>
          </w:p>
          <w:p w:rsidR="00000000" w:rsidP="00FC0166">
            <w:pPr>
              <w:pStyle w:val="ListBullet"/>
              <w:rPr>
                <w:lang w:val="en-NZ"/>
              </w:rPr>
            </w:pPr>
            <w:r w:rsidRPr="00FC0166">
              <w:t>ladders</w:t>
            </w:r>
          </w:p>
        </w:tc>
      </w:tr>
      <w:tr w:rsidTr="006D545A">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BodyText"/>
              <w:rPr>
                <w:lang w:val="en-NZ"/>
              </w:rPr>
            </w:pPr>
            <w:r w:rsidRPr="00FC0166">
              <w:rPr>
                <w:rStyle w:val="SpecialBold"/>
              </w:rPr>
              <w:t>Materials may include but are not limited to</w:t>
            </w:r>
            <w:r w:rsidRPr="00FC0166">
              <w: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166" w:rsidP="00FC0166">
            <w:pPr>
              <w:pStyle w:val="ListBullet"/>
            </w:pPr>
            <w:r w:rsidRPr="00FC0166">
              <w:t>all forms of flat glass and acrylic glazing products</w:t>
            </w:r>
          </w:p>
          <w:p w:rsidR="00000000" w:rsidRPr="00FC0166" w:rsidP="00FC0166">
            <w:pPr>
              <w:pStyle w:val="ListBullet"/>
            </w:pPr>
            <w:r w:rsidRPr="00FC0166">
              <w:t>plastic</w:t>
            </w:r>
          </w:p>
          <w:p w:rsidR="00000000" w:rsidRPr="00FC0166" w:rsidP="00FC0166">
            <w:pPr>
              <w:pStyle w:val="ListBullet"/>
            </w:pPr>
            <w:r w:rsidRPr="00FC0166">
              <w:t>aluminium</w:t>
            </w:r>
          </w:p>
          <w:p w:rsidR="00000000" w:rsidRPr="00FC0166" w:rsidP="00FC0166">
            <w:pPr>
              <w:pStyle w:val="ListBullet"/>
            </w:pPr>
            <w:r w:rsidRPr="00FC0166">
              <w:t>steel</w:t>
            </w:r>
          </w:p>
          <w:p w:rsidR="00000000" w:rsidRPr="00FC0166" w:rsidP="00FC0166">
            <w:pPr>
              <w:pStyle w:val="ListBullet"/>
            </w:pPr>
            <w:r w:rsidRPr="00FC0166">
              <w:t>solid timber</w:t>
            </w:r>
          </w:p>
          <w:p w:rsidR="00000000" w:rsidRPr="00FC0166" w:rsidP="00FC0166">
            <w:pPr>
              <w:pStyle w:val="ListBullet"/>
            </w:pPr>
            <w:r w:rsidRPr="00FC0166">
              <w:t>gaskets</w:t>
            </w:r>
          </w:p>
          <w:p w:rsidR="00000000" w:rsidP="00FC0166">
            <w:pPr>
              <w:pStyle w:val="ListBullet"/>
              <w:rPr>
                <w:lang w:val="en-NZ"/>
              </w:rPr>
            </w:pPr>
            <w:r w:rsidRPr="00FC0166">
              <w:t>sealants and adhesives</w:t>
            </w:r>
          </w:p>
        </w:tc>
      </w:tr>
      <w:tr w:rsidTr="006D545A">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BodyText"/>
              <w:rPr>
                <w:lang w:val="en-NZ"/>
              </w:rPr>
            </w:pPr>
            <w:r w:rsidRPr="00FC0166">
              <w:rPr>
                <w:rStyle w:val="SpecialBold"/>
              </w:rPr>
              <w:t>Types of glass may include but are not limited to</w:t>
            </w:r>
            <w:r w:rsidRPr="00FC0166">
              <w: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166" w:rsidP="00FC0166">
            <w:pPr>
              <w:pStyle w:val="ListBullet"/>
            </w:pPr>
            <w:r w:rsidRPr="00FC0166">
              <w:t>annealed glass</w:t>
            </w:r>
          </w:p>
          <w:p w:rsidR="00000000" w:rsidRPr="00FC0166" w:rsidP="00FC0166">
            <w:pPr>
              <w:pStyle w:val="ListBullet"/>
            </w:pPr>
            <w:r w:rsidRPr="00FC0166">
              <w:t>toughened glass</w:t>
            </w:r>
          </w:p>
          <w:p w:rsidR="00000000" w:rsidRPr="00FC0166" w:rsidP="00FC0166">
            <w:pPr>
              <w:pStyle w:val="ListBullet"/>
            </w:pPr>
            <w:r w:rsidRPr="00FC0166">
              <w:t>laminated glass</w:t>
            </w:r>
          </w:p>
          <w:p w:rsidR="00000000" w:rsidRPr="00FC0166" w:rsidP="00FC0166">
            <w:pPr>
              <w:pStyle w:val="ListBullet"/>
            </w:pPr>
            <w:r w:rsidRPr="00FC0166">
              <w:t>wired glass</w:t>
            </w:r>
          </w:p>
          <w:p w:rsidR="00000000" w:rsidRPr="00FC0166" w:rsidP="00FC0166">
            <w:pPr>
              <w:pStyle w:val="ListBullet"/>
            </w:pPr>
            <w:r w:rsidRPr="00FC0166">
              <w:t>bandit resistant glass</w:t>
            </w:r>
          </w:p>
          <w:p w:rsidR="00000000" w:rsidRPr="00FC0166" w:rsidP="00FC0166">
            <w:pPr>
              <w:pStyle w:val="ListBullet"/>
            </w:pPr>
            <w:r w:rsidRPr="00FC0166">
              <w:t>bullet resistant glass</w:t>
            </w:r>
          </w:p>
          <w:p w:rsidR="00000000" w:rsidRPr="00FC0166" w:rsidP="00FC0166">
            <w:pPr>
              <w:pStyle w:val="ListBullet"/>
            </w:pPr>
            <w:r w:rsidRPr="00FC0166">
              <w:t>heat reflective glass</w:t>
            </w:r>
          </w:p>
          <w:p w:rsidR="00000000" w:rsidP="00FC0166">
            <w:pPr>
              <w:pStyle w:val="ListBullet"/>
              <w:rPr>
                <w:lang w:val="en-NZ"/>
              </w:rPr>
            </w:pPr>
            <w:r w:rsidRPr="00FC0166">
              <w:t>sputter coated and spandral glass</w:t>
            </w:r>
          </w:p>
        </w:tc>
      </w:tr>
      <w:tr w:rsidTr="006D545A">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BodyText"/>
              <w:rPr>
                <w:lang w:val="en-NZ"/>
              </w:rPr>
            </w:pPr>
            <w:r w:rsidRPr="00FC0166">
              <w:rPr>
                <w:rStyle w:val="SpecialBold"/>
              </w:rPr>
              <w:t>Methods of glazing may include</w:t>
            </w:r>
            <w:r w:rsidRPr="00FC0166">
              <w: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166" w:rsidP="00FC0166">
            <w:pPr>
              <w:pStyle w:val="ListBullet"/>
            </w:pPr>
            <w:r w:rsidRPr="00FC0166">
              <w:t>pocket</w:t>
            </w:r>
          </w:p>
          <w:p w:rsidR="00000000" w:rsidRPr="00FC0166" w:rsidP="00FC0166">
            <w:pPr>
              <w:pStyle w:val="ListBullet"/>
            </w:pPr>
            <w:r w:rsidRPr="00FC0166">
              <w:t>flush</w:t>
            </w:r>
          </w:p>
          <w:p w:rsidR="00000000" w:rsidRPr="00FC0166" w:rsidP="00FC0166">
            <w:pPr>
              <w:pStyle w:val="ListBullet"/>
            </w:pPr>
            <w:r w:rsidRPr="00FC0166">
              <w:t>channel glazing</w:t>
            </w:r>
          </w:p>
          <w:p w:rsidR="00000000" w:rsidP="00FC0166">
            <w:pPr>
              <w:pStyle w:val="ListBullet"/>
              <w:rPr>
                <w:lang w:val="en-NZ"/>
              </w:rPr>
            </w:pPr>
            <w:r w:rsidRPr="00FC0166">
              <w:t>structural and double glazing</w:t>
            </w:r>
          </w:p>
        </w:tc>
      </w:tr>
      <w:tr w:rsidTr="006D545A">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BodyText"/>
              <w:rPr>
                <w:lang w:val="en-NZ"/>
              </w:rPr>
            </w:pPr>
            <w:r w:rsidRPr="00FC0166">
              <w:rPr>
                <w:rStyle w:val="SpecialBold"/>
              </w:rPr>
              <w:t>Personal protective equipment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166" w:rsidP="00FC0166">
            <w:pPr>
              <w:pStyle w:val="BodyText"/>
            </w:pPr>
            <w:r w:rsidRPr="00FC0166">
              <w:t xml:space="preserve">Personal protective equipment is to include that prescribed under legislation, regulation and enterprise policies and practices. It may include: </w:t>
            </w:r>
          </w:p>
          <w:p w:rsidR="00000000" w:rsidRPr="00FC0166" w:rsidP="00FC0166">
            <w:pPr>
              <w:pStyle w:val="ListBullet"/>
            </w:pPr>
            <w:r w:rsidRPr="00FC0166">
              <w:t>gauntlets</w:t>
            </w:r>
          </w:p>
          <w:p w:rsidR="00000000" w:rsidRPr="00FC0166" w:rsidP="00FC0166">
            <w:pPr>
              <w:pStyle w:val="ListBullet"/>
            </w:pPr>
            <w:r w:rsidRPr="00FC0166">
              <w:t xml:space="preserve">gloves </w:t>
            </w:r>
          </w:p>
          <w:p w:rsidR="00000000" w:rsidRPr="00FC0166" w:rsidP="00FC0166">
            <w:pPr>
              <w:pStyle w:val="ListBullet"/>
            </w:pPr>
            <w:r w:rsidRPr="00FC0166">
              <w:t xml:space="preserve">safety glasses </w:t>
            </w:r>
          </w:p>
          <w:p w:rsidR="00000000" w:rsidRPr="00FC0166" w:rsidP="00FC0166">
            <w:pPr>
              <w:pStyle w:val="ListBullet"/>
            </w:pPr>
            <w:r w:rsidRPr="00FC0166">
              <w:t xml:space="preserve">hard hats </w:t>
            </w:r>
          </w:p>
          <w:p w:rsidR="00000000" w:rsidRPr="00FC0166" w:rsidP="00FC0166">
            <w:pPr>
              <w:pStyle w:val="ListBullet"/>
            </w:pPr>
            <w:r w:rsidRPr="00FC0166">
              <w:t xml:space="preserve">safety footwear </w:t>
            </w:r>
          </w:p>
          <w:p w:rsidR="00000000" w:rsidP="00FC0166">
            <w:pPr>
              <w:pStyle w:val="ListBullet"/>
              <w:rPr>
                <w:lang w:val="en-NZ"/>
              </w:rPr>
            </w:pPr>
            <w:r w:rsidRPr="00FC0166">
              <w:t xml:space="preserve">aprons and overalls </w:t>
            </w:r>
          </w:p>
        </w:tc>
      </w:tr>
      <w:tr w:rsidTr="006D545A">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BodyText"/>
              <w:rPr>
                <w:lang w:val="en-NZ"/>
              </w:rPr>
            </w:pPr>
            <w:r w:rsidRPr="00FC0166">
              <w:rPr>
                <w:rStyle w:val="SpecialBold"/>
              </w:rPr>
              <w:t>Information and procedure</w:t>
            </w:r>
            <w:r w:rsidRPr="00FC0166">
              <w:rPr>
                <w:rStyle w:val="SpecialBold"/>
              </w:rPr>
              <w:t>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166" w:rsidP="00FC0166">
            <w:pPr>
              <w:pStyle w:val="ListBullet"/>
            </w:pPr>
            <w:r w:rsidRPr="00FC0166">
              <w:t>Workplace procedures and regulations relating to handling, movement and fitting of glass for commercial and structural applications</w:t>
            </w:r>
          </w:p>
          <w:p w:rsidR="00000000" w:rsidRPr="00FC0166" w:rsidP="00FC0166">
            <w:pPr>
              <w:pStyle w:val="ListBullet"/>
            </w:pPr>
            <w:r w:rsidRPr="00FC0166">
              <w:t xml:space="preserve">Quality and Australian Standards and procedures </w:t>
            </w:r>
          </w:p>
          <w:p w:rsidR="00000000" w:rsidRPr="00FC0166" w:rsidP="00FC0166">
            <w:pPr>
              <w:pStyle w:val="ListBullet"/>
            </w:pPr>
            <w:r w:rsidRPr="00FC0166">
              <w:t xml:space="preserve">Equipment and material manufacturer specifications and operational procedures </w:t>
            </w:r>
          </w:p>
          <w:p w:rsidR="00000000" w:rsidRPr="00FC0166" w:rsidP="00FC0166">
            <w:pPr>
              <w:pStyle w:val="ListBullet"/>
            </w:pPr>
            <w:r w:rsidRPr="00FC0166">
              <w:t xml:space="preserve">Work instructions including job sheets, cutting lists, plans, patterns, templates, drawings and/or designs </w:t>
            </w:r>
          </w:p>
          <w:p w:rsidR="00000000" w:rsidRPr="00FC0166" w:rsidP="00FC0166">
            <w:pPr>
              <w:pStyle w:val="ListBullet"/>
            </w:pPr>
            <w:r w:rsidRPr="00FC0166">
              <w:t>Safety standards include personal protective equipment, OHS regulatio</w:t>
            </w:r>
            <w:r w:rsidRPr="00FC0166">
              <w:t xml:space="preserve">ns and enterprise requirements </w:t>
            </w:r>
          </w:p>
          <w:p w:rsidR="00000000" w:rsidRPr="00FC0166" w:rsidP="00FC0166">
            <w:pPr>
              <w:pStyle w:val="ListBullet"/>
            </w:pPr>
            <w:r w:rsidRPr="00FC0166">
              <w:t xml:space="preserve">Australian Standards: </w:t>
            </w:r>
          </w:p>
          <w:p w:rsidR="00000000" w:rsidRPr="00FC0166" w:rsidP="00FC0166">
            <w:pPr>
              <w:pStyle w:val="ListBullet2"/>
            </w:pPr>
            <w:r w:rsidRPr="00FC0166">
              <w:t xml:space="preserve">AS1288 Glass in buildings, selection and installation </w:t>
            </w:r>
          </w:p>
          <w:p w:rsidR="00000000" w:rsidRPr="00FC0166" w:rsidP="00FC0166">
            <w:pPr>
              <w:pStyle w:val="ListBullet2"/>
            </w:pPr>
            <w:r w:rsidRPr="00FC0166">
              <w:t xml:space="preserve">AS2208 Safety glazing materials in buildings </w:t>
            </w:r>
          </w:p>
          <w:p w:rsidR="00000000" w:rsidRPr="00FC0166" w:rsidP="00FC0166">
            <w:pPr>
              <w:pStyle w:val="ListBullet2"/>
            </w:pPr>
            <w:r w:rsidRPr="00FC0166">
              <w:t xml:space="preserve">AS4667 Quality requirements for cut to size and processed glass </w:t>
            </w:r>
          </w:p>
        </w:tc>
      </w:tr>
    </w:tbl>
    <w:p w:rsidR="006D545A" w:rsidP="00FC0166">
      <w:pPr>
        <w:pStyle w:val="BodyText"/>
      </w:pPr>
    </w:p>
    <w:p w:rsidR="006D545A" w:rsidP="00FC0166">
      <w:pPr>
        <w:pStyle w:val="BodyText"/>
      </w:pPr>
    </w:p>
    <w:p w:rsidR="00000000" w:rsidRPr="00FC0166" w:rsidP="00FC0166">
      <w:pPr>
        <w:pStyle w:val="Heading1"/>
      </w:pPr>
      <w:bookmarkStart w:id="12" w:name="O_90290"/>
      <w:bookmarkEnd w:id="12"/>
      <w:r w:rsidRPr="00FC0166">
        <w:t>Unit Sector(s)</w:t>
      </w:r>
    </w:p>
    <w:tbl>
      <w:tblPr>
        <w:tblW w:w="0" w:type="auto"/>
        <w:tblLayout w:type="fixed"/>
        <w:tblCellMar>
          <w:left w:w="62" w:type="dxa"/>
          <w:right w:w="62" w:type="dxa"/>
        </w:tblCellMar>
        <w:tblLook w:val="0000"/>
      </w:tblPr>
      <w:tblGrid>
        <w:gridCol w:w="2624"/>
        <w:gridCol w:w="5898"/>
      </w:tblGrid>
      <w:tr w:rsidTr="006D545A">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BodyText"/>
              <w:rPr>
                <w:lang w:val="en-NZ"/>
              </w:rPr>
            </w:pPr>
            <w:r w:rsidRPr="00FC0166">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166" w:rsidP="00FC0166">
            <w:pPr>
              <w:pStyle w:val="BodyText"/>
            </w:pPr>
            <w:r w:rsidRPr="00FC0166">
              <w:t>Glass and Glazing</w:t>
            </w:r>
          </w:p>
        </w:tc>
      </w:tr>
    </w:tbl>
    <w:p w:rsidR="00000000" w:rsidRPr="00FC0166" w:rsidP="00FC0166">
      <w:pPr>
        <w:pStyle w:val="BodyText"/>
      </w:pPr>
    </w:p>
    <w:p w:rsidR="00000000" w:rsidRPr="00FC0166" w:rsidP="00FC0166">
      <w:pPr>
        <w:pStyle w:val="AllowPageBreak"/>
      </w:pPr>
    </w:p>
    <w:p w:rsidR="00000000" w:rsidRPr="00FC0166" w:rsidP="00FC0166">
      <w:pPr>
        <w:pStyle w:val="Heading1"/>
      </w:pPr>
      <w:bookmarkStart w:id="13" w:name="O_158270"/>
      <w:bookmarkEnd w:id="13"/>
      <w:r w:rsidRPr="00FC0166">
        <w:t>Competency field</w:t>
      </w:r>
    </w:p>
    <w:tbl>
      <w:tblPr>
        <w:tblW w:w="0" w:type="auto"/>
        <w:tblLayout w:type="fixed"/>
        <w:tblCellMar>
          <w:left w:w="62" w:type="dxa"/>
          <w:right w:w="62" w:type="dxa"/>
        </w:tblCellMar>
        <w:tblLook w:val="0000"/>
      </w:tblPr>
      <w:tblGrid>
        <w:gridCol w:w="2784"/>
        <w:gridCol w:w="5738"/>
      </w:tblGrid>
      <w:tr w:rsidTr="006D545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BodyText"/>
              <w:rPr>
                <w:lang w:val="en-NZ"/>
              </w:rPr>
            </w:pPr>
            <w:r w:rsidRPr="00FC016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166" w:rsidP="00FC0166">
            <w:pPr>
              <w:pStyle w:val="BodyText"/>
            </w:pPr>
          </w:p>
        </w:tc>
      </w:tr>
    </w:tbl>
    <w:p w:rsidR="00000000" w:rsidRPr="00FC0166" w:rsidP="00FC0166">
      <w:pPr>
        <w:pStyle w:val="BodyText"/>
      </w:pPr>
    </w:p>
    <w:p w:rsidR="00000000" w:rsidRPr="00FC0166" w:rsidP="00FC0166">
      <w:pPr>
        <w:pStyle w:val="AllowPageBreak"/>
      </w:pPr>
    </w:p>
    <w:p w:rsidR="00000000" w:rsidRPr="00FC0166" w:rsidP="00FC0166">
      <w:pPr>
        <w:pStyle w:val="Heading1"/>
      </w:pPr>
      <w:bookmarkStart w:id="14" w:name="O_158269"/>
      <w:bookmarkEnd w:id="14"/>
      <w:r w:rsidRPr="00FC0166">
        <w:t>Co-requisite units</w:t>
      </w:r>
    </w:p>
    <w:tbl>
      <w:tblPr>
        <w:tblW w:w="0" w:type="auto"/>
        <w:tblLayout w:type="fixed"/>
        <w:tblCellMar>
          <w:left w:w="62" w:type="dxa"/>
          <w:right w:w="62" w:type="dxa"/>
        </w:tblCellMar>
        <w:tblLook w:val="0000"/>
      </w:tblPr>
      <w:tblGrid>
        <w:gridCol w:w="2641"/>
        <w:gridCol w:w="1322"/>
        <w:gridCol w:w="4559"/>
      </w:tblGrid>
      <w:tr w:rsidTr="006D545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BodyText"/>
              <w:rPr>
                <w:lang w:val="en-NZ"/>
              </w:rPr>
            </w:pPr>
            <w:r w:rsidRPr="00FC016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BodyText"/>
              <w:rPr>
                <w:lang w:val="en-NZ"/>
              </w:rPr>
            </w:pPr>
          </w:p>
        </w:tc>
      </w:tr>
      <w:tr w:rsidTr="006D545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166">
            <w:pPr>
              <w:pStyle w:val="BodyText"/>
              <w:rPr>
                <w:lang w:val="en-NZ"/>
              </w:rPr>
            </w:pPr>
          </w:p>
        </w:tc>
      </w:tr>
      <w:tr w:rsidTr="006D545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166" w:rsidP="00FC0166">
            <w:pPr>
              <w:pStyle w:val="BodyText"/>
            </w:pPr>
          </w:p>
        </w:tc>
      </w:tr>
    </w:tbl>
    <w:p w:rsidR="00000000" w:rsidRPr="00FC0166" w:rsidP="00FC0166">
      <w:pPr>
        <w:pStyle w:val="BodyText"/>
      </w:pPr>
    </w:p>
    <w:p w:rsidR="00000000" w:rsidRPr="00FC0166" w:rsidP="00FC0166"/>
    <w:sectPr w:rsidSect="00FC01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1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545A" w:rsidP="006D54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1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45A" w:rsidP="00FC01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D545A" w:rsidP="00FC01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D545A" w:rsidP="00FC01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1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545A" w:rsidP="006D545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1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45A" w:rsidP="00FC0166">
    <w:pPr>
      <w:pStyle w:val="Header"/>
      <w:framePr w:wrap="around"/>
    </w:pPr>
    <w:r>
      <w:fldChar w:fldCharType="begin"/>
    </w:r>
    <w:r>
      <w:instrText xml:space="preserve"> TITLE   \* MERGEFORMAT </w:instrText>
    </w:r>
    <w:r>
      <w:fldChar w:fldCharType="separate"/>
    </w:r>
    <w:r>
      <w:t>LMFGG3019B Conduct commercial and structural glazing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545A" w:rsidP="00FC01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421A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C4B2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50A2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1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0166"/>
    <w:pPr>
      <w:spacing w:before="360" w:after="60"/>
      <w:outlineLvl w:val="0"/>
    </w:pPr>
    <w:rPr>
      <w:sz w:val="32"/>
    </w:rPr>
  </w:style>
  <w:style w:type="paragraph" w:styleId="Heading2">
    <w:name w:val="heading 2"/>
    <w:basedOn w:val="HeadingBase"/>
    <w:next w:val="BodyText"/>
    <w:link w:val="Heading2Char"/>
    <w:qFormat/>
    <w:rsid w:val="00FC0166"/>
    <w:pPr>
      <w:keepLines/>
      <w:spacing w:before="240" w:after="120"/>
      <w:outlineLvl w:val="1"/>
    </w:pPr>
    <w:rPr>
      <w:sz w:val="28"/>
      <w:szCs w:val="40"/>
    </w:rPr>
  </w:style>
  <w:style w:type="paragraph" w:styleId="Heading3">
    <w:name w:val="heading 3"/>
    <w:basedOn w:val="HeadingBase"/>
    <w:next w:val="BodyText"/>
    <w:link w:val="Heading3Char"/>
    <w:qFormat/>
    <w:rsid w:val="00FC0166"/>
    <w:pPr>
      <w:spacing w:before="180" w:after="120"/>
      <w:outlineLvl w:val="2"/>
    </w:pPr>
    <w:rPr>
      <w:spacing w:val="-10"/>
      <w:kern w:val="32"/>
    </w:rPr>
  </w:style>
  <w:style w:type="paragraph" w:styleId="Heading4">
    <w:name w:val="heading 4"/>
    <w:basedOn w:val="HeadingBase"/>
    <w:next w:val="BodyText"/>
    <w:link w:val="Heading4Char"/>
    <w:qFormat/>
    <w:rsid w:val="00FC0166"/>
    <w:pPr>
      <w:spacing w:before="160" w:after="120"/>
      <w:outlineLvl w:val="3"/>
    </w:pPr>
    <w:rPr>
      <w:sz w:val="22"/>
    </w:rPr>
  </w:style>
  <w:style w:type="paragraph" w:styleId="Heading5">
    <w:name w:val="heading 5"/>
    <w:basedOn w:val="HeadingBase"/>
    <w:next w:val="Normal"/>
    <w:link w:val="Heading5Char"/>
    <w:qFormat/>
    <w:rsid w:val="00FC0166"/>
    <w:pPr>
      <w:spacing w:before="80"/>
      <w:outlineLvl w:val="4"/>
    </w:pPr>
    <w:rPr>
      <w:color w:val="918585"/>
      <w:sz w:val="20"/>
    </w:rPr>
  </w:style>
  <w:style w:type="paragraph" w:styleId="Heading6">
    <w:name w:val="heading 6"/>
    <w:basedOn w:val="HeadingBase"/>
    <w:next w:val="Normal"/>
    <w:link w:val="Heading6Char"/>
    <w:qFormat/>
    <w:rsid w:val="00FC0166"/>
    <w:pPr>
      <w:spacing w:before="60"/>
      <w:outlineLvl w:val="5"/>
    </w:pPr>
    <w:rPr>
      <w:color w:val="918585"/>
      <w:sz w:val="20"/>
    </w:rPr>
  </w:style>
  <w:style w:type="paragraph" w:styleId="Heading7">
    <w:name w:val="heading 7"/>
    <w:basedOn w:val="Normal"/>
    <w:next w:val="Normal"/>
    <w:link w:val="Heading7Char"/>
    <w:qFormat/>
    <w:rsid w:val="00FC0166"/>
    <w:pPr>
      <w:ind w:left="720"/>
      <w:outlineLvl w:val="6"/>
    </w:pPr>
    <w:rPr>
      <w:i/>
    </w:rPr>
  </w:style>
  <w:style w:type="paragraph" w:styleId="Heading8">
    <w:name w:val="heading 8"/>
    <w:basedOn w:val="Normal"/>
    <w:next w:val="Normal"/>
    <w:link w:val="Heading8Char"/>
    <w:qFormat/>
    <w:rsid w:val="00FC0166"/>
    <w:pPr>
      <w:ind w:left="720"/>
      <w:outlineLvl w:val="7"/>
    </w:pPr>
    <w:rPr>
      <w:i/>
    </w:rPr>
  </w:style>
  <w:style w:type="paragraph" w:styleId="Heading9">
    <w:name w:val="heading 9"/>
    <w:basedOn w:val="Normal"/>
    <w:next w:val="Normal"/>
    <w:link w:val="Heading9Char"/>
    <w:qFormat/>
    <w:rsid w:val="00FC0166"/>
    <w:pPr>
      <w:ind w:left="720"/>
      <w:outlineLvl w:val="8"/>
    </w:pPr>
    <w:rPr>
      <w:i/>
    </w:rPr>
  </w:style>
  <w:style w:type="character" w:default="1" w:styleId="DefaultParagraphFont">
    <w:name w:val="Default Paragraph Font"/>
    <w:uiPriority w:val="1"/>
    <w:unhideWhenUsed/>
    <w:rsid w:val="00FC01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0166"/>
  </w:style>
  <w:style w:type="character" w:customStyle="1" w:styleId="Heading1Char">
    <w:name w:val="Heading 1 Char"/>
    <w:link w:val="Heading1"/>
    <w:rsid w:val="00FC0166"/>
    <w:rPr>
      <w:rFonts w:ascii="Times New Roman" w:eastAsia="Times New Roman" w:hAnsi="Times New Roman" w:cs="Times New Roman"/>
      <w:b/>
      <w:sz w:val="32"/>
      <w:szCs w:val="20"/>
      <w:lang w:eastAsia="en-US"/>
    </w:rPr>
  </w:style>
  <w:style w:type="paragraph" w:styleId="BodyText">
    <w:name w:val="Body Text"/>
    <w:basedOn w:val="Normal"/>
    <w:link w:val="BodyTextChar"/>
    <w:rsid w:val="00FC0166"/>
    <w:pPr>
      <w:spacing w:before="120" w:after="120"/>
      <w:contextualSpacing/>
    </w:pPr>
    <w:rPr>
      <w:rFonts w:ascii="Times New Roman" w:hAnsi="Times New Roman"/>
      <w:sz w:val="24"/>
      <w:szCs w:val="22"/>
    </w:rPr>
  </w:style>
  <w:style w:type="character" w:customStyle="1" w:styleId="BodyTextChar">
    <w:name w:val="Body Text Char"/>
    <w:link w:val="BodyText"/>
    <w:rsid w:val="00FC0166"/>
    <w:rPr>
      <w:rFonts w:ascii="Times New Roman" w:eastAsia="Times New Roman" w:hAnsi="Times New Roman" w:cs="Times New Roman"/>
      <w:sz w:val="24"/>
      <w:lang w:val="en-US" w:eastAsia="en-US"/>
    </w:rPr>
  </w:style>
  <w:style w:type="paragraph" w:styleId="Footer">
    <w:name w:val="footer"/>
    <w:basedOn w:val="Normal"/>
    <w:link w:val="FooterChar"/>
    <w:rsid w:val="00FC01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C0166"/>
    <w:rPr>
      <w:rFonts w:ascii="Times New Roman" w:eastAsia="Times New Roman" w:hAnsi="Times New Roman" w:cs="Times New Roman"/>
      <w:sz w:val="16"/>
      <w:lang w:val="en-US" w:eastAsia="en-US"/>
    </w:rPr>
  </w:style>
  <w:style w:type="paragraph" w:styleId="List">
    <w:name w:val="List"/>
    <w:basedOn w:val="BodyText"/>
    <w:next w:val="BodyText"/>
    <w:rsid w:val="00FC0166"/>
    <w:pPr>
      <w:tabs>
        <w:tab w:val="left" w:pos="340"/>
      </w:tabs>
      <w:spacing w:before="60" w:after="60"/>
      <w:ind w:left="340" w:hanging="340"/>
    </w:pPr>
  </w:style>
  <w:style w:type="paragraph" w:styleId="ListBullet">
    <w:name w:val="List Bullet"/>
    <w:basedOn w:val="List"/>
    <w:rsid w:val="00FC0166"/>
    <w:pPr>
      <w:numPr>
        <w:numId w:val="13"/>
      </w:numPr>
      <w:tabs>
        <w:tab w:val="clear" w:pos="340"/>
      </w:tabs>
      <w:spacing w:before="40" w:after="40"/>
    </w:pPr>
  </w:style>
  <w:style w:type="character" w:customStyle="1" w:styleId="SpecialBold">
    <w:name w:val="Special Bold"/>
    <w:rsid w:val="00FC0166"/>
    <w:rPr>
      <w:b/>
      <w:spacing w:val="0"/>
    </w:rPr>
  </w:style>
  <w:style w:type="paragraph" w:styleId="ListBullet2">
    <w:name w:val="List Bullet 2"/>
    <w:basedOn w:val="List2"/>
    <w:rsid w:val="00FC0166"/>
    <w:pPr>
      <w:numPr>
        <w:numId w:val="14"/>
      </w:numPr>
      <w:tabs>
        <w:tab w:val="clear" w:pos="680"/>
      </w:tabs>
    </w:pPr>
  </w:style>
  <w:style w:type="paragraph" w:styleId="Header">
    <w:name w:val="header"/>
    <w:basedOn w:val="Normal"/>
    <w:link w:val="HeaderChar"/>
    <w:rsid w:val="00FC01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C01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0166"/>
    <w:pPr>
      <w:spacing w:before="240" w:after="120"/>
      <w:outlineLvl w:val="0"/>
    </w:pPr>
    <w:rPr>
      <w:rFonts w:ascii="Times New Roman" w:hAnsi="Times New Roman"/>
      <w:b/>
      <w:sz w:val="28"/>
    </w:rPr>
  </w:style>
  <w:style w:type="paragraph" w:customStyle="1" w:styleId="AllowPageBreak">
    <w:name w:val="AllowPageBreak"/>
    <w:rsid w:val="00FC01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0166"/>
    <w:pPr>
      <w:tabs>
        <w:tab w:val="left" w:pos="680"/>
      </w:tabs>
      <w:spacing w:before="60" w:after="60"/>
      <w:ind w:left="680" w:hanging="340"/>
    </w:pPr>
  </w:style>
  <w:style w:type="paragraph" w:styleId="List3">
    <w:name w:val="List 3"/>
    <w:basedOn w:val="BodyText"/>
    <w:rsid w:val="00FC0166"/>
    <w:pPr>
      <w:tabs>
        <w:tab w:val="left" w:pos="1021"/>
      </w:tabs>
      <w:spacing w:before="60" w:after="60"/>
      <w:ind w:left="1020" w:hanging="340"/>
    </w:pPr>
  </w:style>
  <w:style w:type="character" w:customStyle="1" w:styleId="Heading2Char">
    <w:name w:val="Heading 2 Char"/>
    <w:link w:val="Heading2"/>
    <w:rsid w:val="00FC0166"/>
    <w:rPr>
      <w:rFonts w:ascii="Times New Roman" w:eastAsia="Times New Roman" w:hAnsi="Times New Roman" w:cs="Times New Roman"/>
      <w:b/>
      <w:sz w:val="28"/>
      <w:szCs w:val="40"/>
      <w:lang w:eastAsia="en-US"/>
    </w:rPr>
  </w:style>
  <w:style w:type="character" w:customStyle="1" w:styleId="Heading3Char">
    <w:name w:val="Heading 3 Char"/>
    <w:link w:val="Heading3"/>
    <w:rsid w:val="00FC016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C0166"/>
    <w:rPr>
      <w:rFonts w:ascii="Times New Roman" w:eastAsia="Times New Roman" w:hAnsi="Times New Roman" w:cs="Times New Roman"/>
      <w:b/>
      <w:szCs w:val="20"/>
      <w:lang w:eastAsia="en-US"/>
    </w:rPr>
  </w:style>
  <w:style w:type="character" w:customStyle="1" w:styleId="Heading5Char">
    <w:name w:val="Heading 5 Char"/>
    <w:link w:val="Heading5"/>
    <w:rsid w:val="00FC016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C01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01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01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0166"/>
    <w:rPr>
      <w:rFonts w:ascii="Courier New" w:eastAsia="Times New Roman" w:hAnsi="Courier New" w:cs="Times New Roman"/>
      <w:i/>
      <w:szCs w:val="20"/>
      <w:lang w:val="en-US" w:eastAsia="en-US"/>
    </w:rPr>
  </w:style>
  <w:style w:type="paragraph" w:customStyle="1" w:styleId="HeadingBase">
    <w:name w:val="Heading Base"/>
    <w:rsid w:val="00FC01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0166"/>
    <w:pPr>
      <w:tabs>
        <w:tab w:val="right" w:leader="dot" w:pos="9072"/>
      </w:tabs>
      <w:ind w:left="567"/>
    </w:pPr>
    <w:rPr>
      <w:szCs w:val="22"/>
    </w:rPr>
  </w:style>
  <w:style w:type="paragraph" w:customStyle="1" w:styleId="TOCBase">
    <w:name w:val="TOC Base"/>
    <w:rsid w:val="00FC01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0166"/>
    <w:pPr>
      <w:tabs>
        <w:tab w:val="right" w:leader="dot" w:pos="9072"/>
      </w:tabs>
      <w:spacing w:before="40" w:after="40"/>
      <w:ind w:left="284"/>
    </w:pPr>
    <w:rPr>
      <w:rFonts w:ascii="Times New Roman" w:hAnsi="Times New Roman"/>
    </w:rPr>
  </w:style>
  <w:style w:type="paragraph" w:styleId="TOC1">
    <w:name w:val="toc 1"/>
    <w:basedOn w:val="TOCBase"/>
    <w:next w:val="Normal"/>
    <w:rsid w:val="00FC01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0166"/>
    <w:pPr>
      <w:spacing w:before="5040"/>
      <w:jc w:val="center"/>
    </w:pPr>
    <w:rPr>
      <w:sz w:val="48"/>
      <w:szCs w:val="72"/>
      <w:lang w:val="en-US"/>
    </w:rPr>
  </w:style>
  <w:style w:type="character" w:customStyle="1" w:styleId="TitleChar">
    <w:name w:val="Title Char"/>
    <w:link w:val="Title"/>
    <w:rsid w:val="00FC01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0166"/>
    <w:pPr>
      <w:tabs>
        <w:tab w:val="left" w:pos="3600"/>
        <w:tab w:val="left" w:pos="3958"/>
      </w:tabs>
    </w:pPr>
  </w:style>
  <w:style w:type="paragraph" w:customStyle="1" w:styleId="Note">
    <w:name w:val="Note"/>
    <w:basedOn w:val="BodyText"/>
    <w:rsid w:val="00FC01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0166"/>
    <w:pPr>
      <w:framePr w:wrap="auto" w:hAnchor="text" w:y="6049"/>
    </w:pPr>
    <w:rPr>
      <w:color w:val="000000"/>
      <w:sz w:val="40"/>
    </w:rPr>
  </w:style>
  <w:style w:type="paragraph" w:customStyle="1" w:styleId="TOCTitle">
    <w:name w:val="TOCTitle"/>
    <w:basedOn w:val="Heading1"/>
    <w:rsid w:val="00FC0166"/>
    <w:pPr>
      <w:spacing w:after="240"/>
      <w:jc w:val="center"/>
      <w:outlineLvl w:val="9"/>
    </w:pPr>
    <w:rPr>
      <w:caps/>
    </w:rPr>
  </w:style>
  <w:style w:type="paragraph" w:customStyle="1" w:styleId="Version">
    <w:name w:val="Version"/>
    <w:rsid w:val="00FC01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0166"/>
    <w:pPr>
      <w:keepNext w:val="0"/>
      <w:tabs>
        <w:tab w:val="right" w:pos="4176"/>
      </w:tabs>
      <w:ind w:left="198" w:hanging="198"/>
    </w:pPr>
    <w:rPr>
      <w:rFonts w:ascii="Garamond" w:hAnsi="Garamond"/>
    </w:rPr>
  </w:style>
  <w:style w:type="paragraph" w:styleId="IndexHeading">
    <w:name w:val="index heading"/>
    <w:basedOn w:val="Normal"/>
    <w:next w:val="Index1"/>
    <w:semiHidden/>
    <w:rsid w:val="00FC0166"/>
    <w:pPr>
      <w:spacing w:before="120" w:after="120"/>
    </w:pPr>
    <w:rPr>
      <w:rFonts w:ascii="Arial" w:hAnsi="Arial"/>
      <w:b/>
      <w:color w:val="918585"/>
      <w:sz w:val="24"/>
    </w:rPr>
  </w:style>
  <w:style w:type="paragraph" w:customStyle="1" w:styleId="Chapter">
    <w:name w:val="Chapter"/>
    <w:basedOn w:val="Normal"/>
    <w:rsid w:val="00FC0166"/>
    <w:pPr>
      <w:spacing w:before="240"/>
    </w:pPr>
    <w:rPr>
      <w:rFonts w:ascii="Times New Roman" w:hAnsi="Times New Roman"/>
      <w:smallCaps/>
      <w:spacing w:val="80"/>
      <w:sz w:val="28"/>
    </w:rPr>
  </w:style>
  <w:style w:type="paragraph" w:customStyle="1" w:styleId="InChapter">
    <w:name w:val="InChapter"/>
    <w:basedOn w:val="Heading3"/>
    <w:rsid w:val="00FC0166"/>
    <w:pPr>
      <w:spacing w:after="240"/>
      <w:outlineLvl w:val="9"/>
    </w:pPr>
    <w:rPr>
      <w:noProof/>
    </w:rPr>
  </w:style>
  <w:style w:type="paragraph" w:styleId="Index2">
    <w:name w:val="index 2"/>
    <w:basedOn w:val="Normal"/>
    <w:next w:val="Normal"/>
    <w:semiHidden/>
    <w:rsid w:val="00FC0166"/>
    <w:pPr>
      <w:tabs>
        <w:tab w:val="right" w:pos="4176"/>
      </w:tabs>
      <w:ind w:left="568" w:hanging="284"/>
    </w:pPr>
    <w:rPr>
      <w:rFonts w:ascii="Garamond" w:hAnsi="Garamond"/>
    </w:rPr>
  </w:style>
  <w:style w:type="paragraph" w:customStyle="1" w:styleId="Byline">
    <w:name w:val="Byline"/>
    <w:rsid w:val="00FC01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0166"/>
    <w:pPr>
      <w:tabs>
        <w:tab w:val="clear" w:pos="3600"/>
        <w:tab w:val="clear" w:pos="3958"/>
      </w:tabs>
      <w:jc w:val="right"/>
    </w:pPr>
  </w:style>
  <w:style w:type="character" w:styleId="Emphasis">
    <w:name w:val="Emphasis"/>
    <w:qFormat/>
    <w:rsid w:val="00FC0166"/>
    <w:rPr>
      <w:i/>
    </w:rPr>
  </w:style>
  <w:style w:type="paragraph" w:styleId="Caption">
    <w:name w:val="caption"/>
    <w:basedOn w:val="BodyText"/>
    <w:next w:val="Normal"/>
    <w:qFormat/>
    <w:rsid w:val="00FC0166"/>
    <w:pPr>
      <w:framePr w:w="2268" w:hSpace="181" w:vSpace="181" w:wrap="around" w:vAnchor="text" w:hAnchor="page" w:x="1135" w:y="285" w:anchorLock="1"/>
    </w:pPr>
    <w:rPr>
      <w:i/>
    </w:rPr>
  </w:style>
  <w:style w:type="paragraph" w:customStyle="1" w:styleId="MiniTOCTitle">
    <w:name w:val="MiniTOCTitle"/>
    <w:basedOn w:val="Heading4"/>
    <w:rsid w:val="00FC0166"/>
    <w:pPr>
      <w:spacing w:before="240"/>
      <w:outlineLvl w:val="9"/>
    </w:pPr>
    <w:rPr>
      <w:noProof/>
      <w:sz w:val="24"/>
    </w:rPr>
  </w:style>
  <w:style w:type="paragraph" w:customStyle="1" w:styleId="MiniTOCItem">
    <w:name w:val="MiniTOCItem"/>
    <w:basedOn w:val="ListBullet"/>
    <w:rsid w:val="00FC0166"/>
    <w:pPr>
      <w:numPr>
        <w:numId w:val="0"/>
      </w:numPr>
      <w:tabs>
        <w:tab w:val="right" w:leader="dot" w:pos="6521"/>
      </w:tabs>
      <w:spacing w:before="0" w:after="0"/>
    </w:pPr>
  </w:style>
  <w:style w:type="paragraph" w:customStyle="1" w:styleId="TOFTitle">
    <w:name w:val="TOFTitle"/>
    <w:basedOn w:val="TOCTitle"/>
    <w:rsid w:val="00FC0166"/>
  </w:style>
  <w:style w:type="paragraph" w:styleId="TableofFigures">
    <w:name w:val="table of figures"/>
    <w:basedOn w:val="Normal"/>
    <w:next w:val="Normal"/>
    <w:semiHidden/>
    <w:rsid w:val="00FC0166"/>
    <w:pPr>
      <w:tabs>
        <w:tab w:val="right" w:leader="dot" w:pos="9072"/>
      </w:tabs>
      <w:ind w:left="970" w:hanging="403"/>
    </w:pPr>
    <w:rPr>
      <w:rFonts w:ascii="Times New Roman" w:hAnsi="Times New Roman"/>
      <w:b/>
    </w:rPr>
  </w:style>
  <w:style w:type="paragraph" w:styleId="ListNumber">
    <w:name w:val="List Number"/>
    <w:basedOn w:val="List"/>
    <w:rsid w:val="00FC0166"/>
    <w:pPr>
      <w:numPr>
        <w:numId w:val="11"/>
      </w:numPr>
    </w:pPr>
  </w:style>
  <w:style w:type="character" w:customStyle="1" w:styleId="WingdingSymbols">
    <w:name w:val="Wingding Symbols"/>
    <w:rsid w:val="00FC0166"/>
    <w:rPr>
      <w:rFonts w:ascii="Wingdings" w:hAnsi="Wingdings"/>
    </w:rPr>
  </w:style>
  <w:style w:type="paragraph" w:customStyle="1" w:styleId="TableHeading">
    <w:name w:val="Table Heading"/>
    <w:basedOn w:val="HeadingBase"/>
    <w:rsid w:val="00FC0166"/>
    <w:pPr>
      <w:keepLines/>
      <w:pBdr>
        <w:bottom w:val="single" w:sz="6" w:space="1" w:color="918585"/>
      </w:pBdr>
      <w:spacing w:before="240"/>
    </w:pPr>
  </w:style>
  <w:style w:type="character" w:customStyle="1" w:styleId="HotSpot">
    <w:name w:val="HotSpot"/>
    <w:rsid w:val="00FC0166"/>
    <w:rPr>
      <w:color w:val="0033CC"/>
      <w:u w:val="none"/>
    </w:rPr>
  </w:style>
  <w:style w:type="paragraph" w:customStyle="1" w:styleId="BodyTextRight">
    <w:name w:val="Body Text Right"/>
    <w:basedOn w:val="BodyText"/>
    <w:rsid w:val="00FC0166"/>
    <w:pPr>
      <w:spacing w:before="0" w:after="0"/>
      <w:jc w:val="right"/>
    </w:pPr>
  </w:style>
  <w:style w:type="paragraph" w:styleId="Index3">
    <w:name w:val="index 3"/>
    <w:basedOn w:val="ListNumber2"/>
    <w:next w:val="Normal"/>
    <w:semiHidden/>
    <w:rsid w:val="00FC0166"/>
    <w:pPr>
      <w:numPr>
        <w:numId w:val="0"/>
      </w:numPr>
      <w:tabs>
        <w:tab w:val="right" w:leader="dot" w:pos="4176"/>
      </w:tabs>
    </w:pPr>
  </w:style>
  <w:style w:type="paragraph" w:styleId="ListNumber2">
    <w:name w:val="List Number 2"/>
    <w:basedOn w:val="List2"/>
    <w:rsid w:val="00FC0166"/>
    <w:pPr>
      <w:numPr>
        <w:numId w:val="10"/>
      </w:numPr>
      <w:tabs>
        <w:tab w:val="clear" w:pos="1060"/>
      </w:tabs>
    </w:pPr>
  </w:style>
  <w:style w:type="paragraph" w:customStyle="1" w:styleId="MarginNote">
    <w:name w:val="Margin Note"/>
    <w:basedOn w:val="BodyText"/>
    <w:rsid w:val="00FC01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01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C01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0166"/>
    <w:rPr>
      <w:sz w:val="32"/>
    </w:rPr>
  </w:style>
  <w:style w:type="paragraph" w:customStyle="1" w:styleId="HeadingProcedure">
    <w:name w:val="Heading Procedure"/>
    <w:basedOn w:val="HeadingBase"/>
    <w:next w:val="Normal"/>
    <w:rsid w:val="00FC0166"/>
    <w:pPr>
      <w:tabs>
        <w:tab w:val="left" w:pos="0"/>
      </w:tabs>
      <w:spacing w:before="120" w:after="60"/>
    </w:pPr>
    <w:rPr>
      <w:i/>
      <w:color w:val="918585"/>
      <w:sz w:val="22"/>
    </w:rPr>
  </w:style>
  <w:style w:type="paragraph" w:customStyle="1" w:styleId="TableBodyText">
    <w:name w:val="Table Body Text"/>
    <w:basedOn w:val="BodyText"/>
    <w:rsid w:val="00FC0166"/>
    <w:pPr>
      <w:spacing w:before="60" w:after="60"/>
    </w:pPr>
  </w:style>
  <w:style w:type="paragraph" w:styleId="ListContinue">
    <w:name w:val="List Continue"/>
    <w:basedOn w:val="List"/>
    <w:rsid w:val="00FC0166"/>
    <w:pPr>
      <w:ind w:firstLine="0"/>
    </w:pPr>
  </w:style>
  <w:style w:type="paragraph" w:customStyle="1" w:styleId="ListNote">
    <w:name w:val="List Note"/>
    <w:basedOn w:val="List"/>
    <w:rsid w:val="00FC0166"/>
    <w:pPr>
      <w:pBdr>
        <w:top w:val="single" w:sz="6" w:space="2" w:color="918585"/>
        <w:bottom w:val="single" w:sz="6" w:space="2" w:color="918585"/>
      </w:pBdr>
      <w:tabs>
        <w:tab w:val="left" w:pos="1021"/>
      </w:tabs>
      <w:ind w:firstLine="0"/>
    </w:pPr>
  </w:style>
  <w:style w:type="paragraph" w:customStyle="1" w:styleId="Warning">
    <w:name w:val="Warning"/>
    <w:basedOn w:val="BodyText"/>
    <w:rsid w:val="00FC0166"/>
    <w:pPr>
      <w:shd w:val="clear" w:color="auto" w:fill="D9D9D9"/>
      <w:tabs>
        <w:tab w:val="left" w:pos="992"/>
      </w:tabs>
      <w:ind w:left="119" w:right="119"/>
    </w:pPr>
    <w:rPr>
      <w:sz w:val="20"/>
    </w:rPr>
  </w:style>
  <w:style w:type="paragraph" w:customStyle="1" w:styleId="MarginIcons">
    <w:name w:val="Margin Icons"/>
    <w:basedOn w:val="BodyText"/>
    <w:rsid w:val="00FC016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C0166"/>
    <w:rPr>
      <w:rFonts w:ascii="Courier New" w:hAnsi="Courier New"/>
    </w:rPr>
  </w:style>
  <w:style w:type="paragraph" w:customStyle="1" w:styleId="NoteBullet">
    <w:name w:val="Note Bullet"/>
    <w:basedOn w:val="Note"/>
    <w:rsid w:val="00FC0166"/>
    <w:pPr>
      <w:tabs>
        <w:tab w:val="clear" w:pos="680"/>
      </w:tabs>
      <w:spacing w:before="60" w:after="60"/>
    </w:pPr>
  </w:style>
  <w:style w:type="paragraph" w:customStyle="1" w:styleId="SubHeading2">
    <w:name w:val="SubHeading2"/>
    <w:basedOn w:val="HeadingBase"/>
    <w:rsid w:val="00FC0166"/>
    <w:pPr>
      <w:spacing w:before="240" w:after="60"/>
    </w:pPr>
    <w:rPr>
      <w:sz w:val="20"/>
    </w:rPr>
  </w:style>
  <w:style w:type="paragraph" w:customStyle="1" w:styleId="SubHeading1">
    <w:name w:val="SubHeading1"/>
    <w:basedOn w:val="HeadingBase"/>
    <w:rsid w:val="00FC0166"/>
    <w:pPr>
      <w:spacing w:before="240" w:after="60"/>
    </w:pPr>
    <w:rPr>
      <w:color w:val="918585"/>
      <w:sz w:val="22"/>
    </w:rPr>
  </w:style>
  <w:style w:type="paragraph" w:customStyle="1" w:styleId="SideHeading">
    <w:name w:val="Side Heading"/>
    <w:basedOn w:val="HeadingBase"/>
    <w:rsid w:val="00FC01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0166"/>
    <w:pPr>
      <w:numPr>
        <w:numId w:val="12"/>
      </w:numPr>
    </w:pPr>
  </w:style>
  <w:style w:type="paragraph" w:styleId="PlainText">
    <w:name w:val="Plain Text"/>
    <w:basedOn w:val="Normal"/>
    <w:link w:val="PlainTextChar"/>
    <w:rsid w:val="00FC0166"/>
    <w:rPr>
      <w:sz w:val="20"/>
    </w:rPr>
  </w:style>
  <w:style w:type="character" w:customStyle="1" w:styleId="PlainTextChar">
    <w:name w:val="Plain Text Char"/>
    <w:basedOn w:val="DefaultParagraphFont"/>
    <w:link w:val="PlainText"/>
    <w:rsid w:val="00FC0166"/>
    <w:rPr>
      <w:rFonts w:ascii="Courier New" w:eastAsia="Times New Roman" w:hAnsi="Courier New" w:cs="Times New Roman"/>
      <w:sz w:val="20"/>
      <w:szCs w:val="20"/>
      <w:lang w:val="en-US" w:eastAsia="en-US"/>
    </w:rPr>
  </w:style>
  <w:style w:type="character" w:customStyle="1" w:styleId="MenuOption">
    <w:name w:val="Menu Option"/>
    <w:rsid w:val="00FC0166"/>
    <w:rPr>
      <w:b/>
      <w:smallCaps/>
    </w:rPr>
  </w:style>
  <w:style w:type="paragraph" w:customStyle="1" w:styleId="TableListNumber">
    <w:name w:val="Table List Number"/>
    <w:basedOn w:val="ListNumber"/>
    <w:rsid w:val="00FC0166"/>
    <w:pPr>
      <w:numPr>
        <w:numId w:val="0"/>
      </w:numPr>
    </w:pPr>
  </w:style>
  <w:style w:type="paragraph" w:styleId="TOC4">
    <w:name w:val="toc 4"/>
    <w:basedOn w:val="TOCBase"/>
    <w:next w:val="Normal"/>
    <w:semiHidden/>
    <w:rsid w:val="00FC0166"/>
    <w:pPr>
      <w:tabs>
        <w:tab w:val="right" w:leader="dot" w:pos="9071"/>
      </w:tabs>
      <w:ind w:left="1701"/>
    </w:pPr>
  </w:style>
  <w:style w:type="paragraph" w:customStyle="1" w:styleId="ListAlpha">
    <w:name w:val="List Alpha"/>
    <w:basedOn w:val="List"/>
    <w:rsid w:val="00FC0166"/>
    <w:pPr>
      <w:numPr>
        <w:numId w:val="9"/>
      </w:numPr>
    </w:pPr>
  </w:style>
  <w:style w:type="paragraph" w:customStyle="1" w:styleId="ListAlpha2">
    <w:name w:val="List Alpha 2"/>
    <w:basedOn w:val="List2"/>
    <w:rsid w:val="00FC0166"/>
    <w:pPr>
      <w:numPr>
        <w:numId w:val="8"/>
      </w:numPr>
    </w:pPr>
  </w:style>
  <w:style w:type="paragraph" w:styleId="List4">
    <w:name w:val="List 4"/>
    <w:basedOn w:val="BodyText"/>
    <w:rsid w:val="00FC0166"/>
    <w:pPr>
      <w:tabs>
        <w:tab w:val="left" w:pos="1361"/>
      </w:tabs>
      <w:spacing w:before="60" w:after="60"/>
      <w:ind w:left="1361" w:hanging="340"/>
    </w:pPr>
  </w:style>
  <w:style w:type="paragraph" w:styleId="List5">
    <w:name w:val="List 5"/>
    <w:basedOn w:val="BodyText"/>
    <w:rsid w:val="00FC0166"/>
    <w:pPr>
      <w:tabs>
        <w:tab w:val="left" w:pos="1701"/>
      </w:tabs>
      <w:spacing w:before="60" w:after="60"/>
      <w:ind w:left="1701" w:hanging="340"/>
    </w:pPr>
  </w:style>
  <w:style w:type="paragraph" w:styleId="ListBullet3">
    <w:name w:val="List Bullet 3"/>
    <w:basedOn w:val="List3"/>
    <w:rsid w:val="00FC0166"/>
    <w:pPr>
      <w:numPr>
        <w:numId w:val="15"/>
      </w:numPr>
      <w:tabs>
        <w:tab w:val="clear" w:pos="1021"/>
      </w:tabs>
      <w:ind w:left="1037" w:hanging="357"/>
    </w:pPr>
  </w:style>
  <w:style w:type="paragraph" w:styleId="ListBullet4">
    <w:name w:val="List Bullet 4"/>
    <w:basedOn w:val="List4"/>
    <w:rsid w:val="00FC0166"/>
    <w:pPr>
      <w:numPr>
        <w:numId w:val="3"/>
      </w:numPr>
    </w:pPr>
  </w:style>
  <w:style w:type="paragraph" w:styleId="ListBullet5">
    <w:name w:val="List Bullet 5"/>
    <w:basedOn w:val="List5"/>
    <w:rsid w:val="00FC0166"/>
    <w:pPr>
      <w:numPr>
        <w:numId w:val="4"/>
      </w:numPr>
    </w:pPr>
  </w:style>
  <w:style w:type="paragraph" w:styleId="ListContinue2">
    <w:name w:val="List Continue 2"/>
    <w:basedOn w:val="List2"/>
    <w:rsid w:val="00FC0166"/>
    <w:pPr>
      <w:ind w:firstLine="0"/>
    </w:pPr>
  </w:style>
  <w:style w:type="paragraph" w:styleId="ListContinue3">
    <w:name w:val="List Continue 3"/>
    <w:basedOn w:val="List3"/>
    <w:rsid w:val="00FC0166"/>
    <w:pPr>
      <w:ind w:left="1021" w:firstLine="0"/>
    </w:pPr>
  </w:style>
  <w:style w:type="paragraph" w:styleId="ListContinue4">
    <w:name w:val="List Continue 4"/>
    <w:basedOn w:val="List4"/>
    <w:rsid w:val="00FC0166"/>
    <w:pPr>
      <w:ind w:firstLine="0"/>
    </w:pPr>
  </w:style>
  <w:style w:type="paragraph" w:styleId="ListContinue5">
    <w:name w:val="List Continue 5"/>
    <w:basedOn w:val="List5"/>
    <w:rsid w:val="00FC0166"/>
    <w:pPr>
      <w:ind w:firstLine="0"/>
    </w:pPr>
  </w:style>
  <w:style w:type="paragraph" w:styleId="ListNumber3">
    <w:name w:val="List Number 3"/>
    <w:basedOn w:val="List3"/>
    <w:rsid w:val="00FC0166"/>
    <w:pPr>
      <w:numPr>
        <w:numId w:val="5"/>
      </w:numPr>
    </w:pPr>
  </w:style>
  <w:style w:type="paragraph" w:styleId="ListNumber4">
    <w:name w:val="List Number 4"/>
    <w:basedOn w:val="List4"/>
    <w:rsid w:val="00FC0166"/>
    <w:pPr>
      <w:numPr>
        <w:numId w:val="6"/>
      </w:numPr>
    </w:pPr>
  </w:style>
  <w:style w:type="paragraph" w:styleId="ListNumber5">
    <w:name w:val="List Number 5"/>
    <w:basedOn w:val="List5"/>
    <w:rsid w:val="00FC0166"/>
    <w:pPr>
      <w:numPr>
        <w:numId w:val="7"/>
      </w:numPr>
    </w:pPr>
  </w:style>
  <w:style w:type="paragraph" w:styleId="BlockText">
    <w:name w:val="Block Text"/>
    <w:basedOn w:val="Normal"/>
    <w:rsid w:val="00FC0166"/>
    <w:pPr>
      <w:spacing w:after="120"/>
      <w:ind w:left="1440" w:right="1440"/>
    </w:pPr>
  </w:style>
  <w:style w:type="character" w:customStyle="1" w:styleId="Subscript">
    <w:name w:val="Subscript"/>
    <w:rsid w:val="00FC0166"/>
    <w:rPr>
      <w:sz w:val="16"/>
      <w:vertAlign w:val="subscript"/>
    </w:rPr>
  </w:style>
  <w:style w:type="character" w:customStyle="1" w:styleId="Superscript">
    <w:name w:val="Superscript"/>
    <w:rsid w:val="00FC0166"/>
    <w:rPr>
      <w:sz w:val="16"/>
      <w:vertAlign w:val="superscript"/>
    </w:rPr>
  </w:style>
  <w:style w:type="character" w:customStyle="1" w:styleId="Symbols">
    <w:name w:val="Symbols"/>
    <w:rsid w:val="00FC0166"/>
    <w:rPr>
      <w:rFonts w:ascii="Symbol" w:hAnsi="Symbol"/>
    </w:rPr>
  </w:style>
  <w:style w:type="character" w:customStyle="1" w:styleId="MenuOptions">
    <w:name w:val="Menu Options"/>
    <w:rsid w:val="00FC0166"/>
    <w:rPr>
      <w:rFonts w:ascii="Arial Narrow" w:hAnsi="Arial Narrow"/>
      <w:smallCaps/>
    </w:rPr>
  </w:style>
  <w:style w:type="character" w:customStyle="1" w:styleId="Buttons">
    <w:name w:val="Buttons"/>
    <w:rsid w:val="00FC0166"/>
    <w:rPr>
      <w:b/>
    </w:rPr>
  </w:style>
  <w:style w:type="character" w:customStyle="1" w:styleId="Underlined">
    <w:name w:val="Underlined"/>
    <w:rsid w:val="00FC0166"/>
    <w:rPr>
      <w:u w:val="single"/>
    </w:rPr>
  </w:style>
  <w:style w:type="paragraph" w:customStyle="1" w:styleId="TableBodyTextRight">
    <w:name w:val="Table Body Text Right"/>
    <w:basedOn w:val="TableBodyText"/>
    <w:rsid w:val="00FC0166"/>
    <w:pPr>
      <w:widowControl w:val="0"/>
      <w:autoSpaceDE w:val="0"/>
      <w:autoSpaceDN w:val="0"/>
      <w:adjustRightInd w:val="0"/>
      <w:jc w:val="right"/>
    </w:pPr>
    <w:rPr>
      <w:rFonts w:cs="Arial"/>
      <w:szCs w:val="18"/>
    </w:rPr>
  </w:style>
  <w:style w:type="paragraph" w:customStyle="1" w:styleId="CopyrightText">
    <w:name w:val="Copyright Text"/>
    <w:basedOn w:val="BodyText"/>
    <w:rsid w:val="00FC0166"/>
    <w:rPr>
      <w:sz w:val="18"/>
    </w:rPr>
  </w:style>
  <w:style w:type="paragraph" w:customStyle="1" w:styleId="BodySmallRight">
    <w:name w:val="Body Small Right"/>
    <w:basedOn w:val="BodyTextRight"/>
    <w:rsid w:val="00FC0166"/>
    <w:rPr>
      <w:sz w:val="18"/>
      <w:szCs w:val="18"/>
    </w:rPr>
  </w:style>
  <w:style w:type="paragraph" w:customStyle="1" w:styleId="MarginEdition">
    <w:name w:val="Margin Edition"/>
    <w:basedOn w:val="MarginNote"/>
    <w:rsid w:val="00FC0166"/>
    <w:pPr>
      <w:spacing w:before="0" w:after="0"/>
    </w:pPr>
    <w:rPr>
      <w:rFonts w:ascii="Times New Roman" w:hAnsi="Times New Roman"/>
      <w:color w:val="999999"/>
    </w:rPr>
  </w:style>
  <w:style w:type="paragraph" w:customStyle="1" w:styleId="Spacer">
    <w:name w:val="Spacer"/>
    <w:basedOn w:val="Normal"/>
    <w:rsid w:val="00FC0166"/>
    <w:rPr>
      <w:sz w:val="2"/>
      <w:szCs w:val="2"/>
    </w:rPr>
  </w:style>
  <w:style w:type="character" w:customStyle="1" w:styleId="Small">
    <w:name w:val="Small"/>
    <w:rsid w:val="00FC0166"/>
    <w:rPr>
      <w:sz w:val="16"/>
    </w:rPr>
  </w:style>
  <w:style w:type="paragraph" w:customStyle="1" w:styleId="WideTable">
    <w:name w:val="Wide Table"/>
    <w:basedOn w:val="Normal"/>
    <w:rsid w:val="00FC0166"/>
    <w:pPr>
      <w:ind w:left="-1418"/>
    </w:pPr>
    <w:rPr>
      <w:sz w:val="2"/>
      <w:szCs w:val="2"/>
    </w:rPr>
  </w:style>
  <w:style w:type="character" w:styleId="PageNumber">
    <w:name w:val="page number"/>
    <w:rsid w:val="00FC0166"/>
  </w:style>
  <w:style w:type="paragraph" w:styleId="Quote">
    <w:name w:val="Quote"/>
    <w:basedOn w:val="Heading1"/>
    <w:link w:val="QuoteChar"/>
    <w:qFormat/>
    <w:rsid w:val="00FC0166"/>
    <w:rPr>
      <w:b w:val="0"/>
      <w:sz w:val="72"/>
      <w:szCs w:val="72"/>
      <w:lang w:val="en-NZ"/>
    </w:rPr>
  </w:style>
  <w:style w:type="character" w:customStyle="1" w:styleId="QuoteChar">
    <w:name w:val="Quote Char"/>
    <w:link w:val="Quote"/>
    <w:rsid w:val="00FC01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0166"/>
    <w:pPr>
      <w:pageBreakBefore/>
    </w:pPr>
  </w:style>
  <w:style w:type="paragraph" w:customStyle="1" w:styleId="Border">
    <w:name w:val="Border"/>
    <w:basedOn w:val="Normal"/>
    <w:qFormat/>
    <w:rsid w:val="00FC0166"/>
    <w:pPr>
      <w:pBdr>
        <w:top w:val="single" w:sz="18" w:space="1" w:color="auto"/>
      </w:pBdr>
    </w:pPr>
    <w:rPr>
      <w:rFonts w:ascii="Times New Roman" w:hAnsi="Times New Roman"/>
      <w:color w:val="FFFFFF"/>
      <w:sz w:val="2"/>
    </w:rPr>
  </w:style>
  <w:style w:type="character" w:styleId="IntenseEmphasis">
    <w:name w:val="Intense Emphasis"/>
    <w:uiPriority w:val="21"/>
    <w:qFormat/>
    <w:rsid w:val="00FC0166"/>
    <w:rPr>
      <w:b/>
      <w:bCs/>
      <w:i/>
      <w:iCs/>
      <w:color w:val="auto"/>
    </w:rPr>
  </w:style>
  <w:style w:type="paragraph" w:styleId="IntenseQuote">
    <w:name w:val="Intense Quote"/>
    <w:basedOn w:val="Normal"/>
    <w:next w:val="Normal"/>
    <w:link w:val="IntenseQuoteChar"/>
    <w:uiPriority w:val="30"/>
    <w:qFormat/>
    <w:rsid w:val="00FC016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C0166"/>
    <w:rPr>
      <w:rFonts w:ascii="Courier New" w:eastAsia="Times New Roman" w:hAnsi="Courier New" w:cs="Times New Roman"/>
      <w:b/>
      <w:bCs/>
      <w:i/>
      <w:iCs/>
      <w:szCs w:val="20"/>
      <w:lang w:val="en-US" w:eastAsia="en-US"/>
    </w:rPr>
  </w:style>
  <w:style w:type="character" w:styleId="SubtleReference">
    <w:name w:val="Subtle Reference"/>
    <w:uiPriority w:val="31"/>
    <w:qFormat/>
    <w:rsid w:val="00FC0166"/>
    <w:rPr>
      <w:smallCaps/>
      <w:color w:val="auto"/>
      <w:u w:val="single"/>
    </w:rPr>
  </w:style>
  <w:style w:type="character" w:styleId="IntenseReference">
    <w:name w:val="Intense Reference"/>
    <w:uiPriority w:val="32"/>
    <w:qFormat/>
    <w:rsid w:val="00FC0166"/>
    <w:rPr>
      <w:b/>
      <w:bCs/>
      <w:smallCaps/>
      <w:color w:val="auto"/>
      <w:spacing w:val="5"/>
      <w:u w:val="single"/>
    </w:rPr>
  </w:style>
  <w:style w:type="paragraph" w:customStyle="1" w:styleId="2ColumnHeading">
    <w:name w:val="2Column Heading"/>
    <w:basedOn w:val="BodyText"/>
    <w:qFormat/>
    <w:rsid w:val="00FC0166"/>
    <w:pPr>
      <w:spacing w:after="60"/>
      <w:ind w:left="-2268"/>
    </w:pPr>
    <w:rPr>
      <w:b/>
    </w:rPr>
  </w:style>
  <w:style w:type="paragraph" w:customStyle="1" w:styleId="Heading1TOC">
    <w:name w:val="Heading1 TOC"/>
    <w:basedOn w:val="Normal"/>
    <w:qFormat/>
    <w:rsid w:val="00FC0166"/>
    <w:pPr>
      <w:spacing w:before="240" w:after="120"/>
    </w:pPr>
    <w:rPr>
      <w:rFonts w:ascii="Times New Roman" w:hAnsi="Times New Roman"/>
      <w:b/>
      <w:sz w:val="32"/>
    </w:rPr>
  </w:style>
  <w:style w:type="paragraph" w:customStyle="1" w:styleId="Heading2TOC">
    <w:name w:val="Heading2 TOC"/>
    <w:basedOn w:val="Normal"/>
    <w:qFormat/>
    <w:rsid w:val="00FC0166"/>
    <w:pPr>
      <w:spacing w:before="240" w:after="60"/>
    </w:pPr>
    <w:rPr>
      <w:rFonts w:ascii="Times New Roman" w:hAnsi="Times New Roman"/>
      <w:b/>
      <w:sz w:val="28"/>
    </w:rPr>
  </w:style>
  <w:style w:type="character" w:customStyle="1" w:styleId="Underline">
    <w:name w:val="Underline"/>
    <w:qFormat/>
    <w:rsid w:val="00FC0166"/>
    <w:rPr>
      <w:u w:val="single"/>
    </w:rPr>
  </w:style>
  <w:style w:type="character" w:customStyle="1" w:styleId="BoldandItalics">
    <w:name w:val="Bold and Italics"/>
    <w:qFormat/>
    <w:rsid w:val="00FC0166"/>
    <w:rPr>
      <w:b/>
      <w:i/>
      <w:u w:val="none"/>
    </w:rPr>
  </w:style>
  <w:style w:type="paragraph" w:styleId="BalloonText">
    <w:name w:val="Balloon Text"/>
    <w:basedOn w:val="Normal"/>
    <w:link w:val="BalloonTextChar"/>
    <w:rsid w:val="00FC0166"/>
    <w:rPr>
      <w:rFonts w:ascii="Tahoma" w:hAnsi="Tahoma" w:cs="Tahoma"/>
      <w:sz w:val="16"/>
      <w:szCs w:val="16"/>
    </w:rPr>
  </w:style>
  <w:style w:type="character" w:customStyle="1" w:styleId="BalloonTextChar">
    <w:name w:val="Balloon Text Char"/>
    <w:link w:val="BalloonText"/>
    <w:rsid w:val="00FC01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016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C016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1576</Words>
  <Characters>9937</Characters>
  <Application>Microsoft Office Word</Application>
  <DocSecurity>0</DocSecurity>
  <Lines>365</Lines>
  <Paragraphs>189</Paragraphs>
  <ScaleCrop>false</ScaleCrop>
  <Company>Author-it Software Corporation Ltd.</Company>
  <LinksUpToDate>false</LinksUpToDate>
  <CharactersWithSpaces>11436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LMFGG3019B Conduct commercial and structural glazing</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2012-05-26T17:35:00Z</dcterms:created>
  <dcterms:modified xsi:type="dcterms:W3CDTF">2012-05-26T17:35:00Z</dcterms:modified>
</cp:coreProperties>
</file>