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3E43" w:rsidP="00D43E43">
      <w:pPr>
        <w:pStyle w:val="Title"/>
      </w:pPr>
      <w:r>
        <w:fldChar w:fldCharType="begin"/>
      </w:r>
      <w:r>
        <w:instrText xml:space="preserve"> TITLE   \* MERGEFORMAT </w:instrText>
      </w:r>
      <w:r>
        <w:fldChar w:fldCharType="separate"/>
      </w:r>
      <w:r>
        <w:t>LMFGG3002C Assess glass and glazing requirements</w:t>
      </w:r>
      <w:r>
        <w:fldChar w:fldCharType="end"/>
      </w:r>
    </w:p>
    <w:p w:rsidR="00D43E43" w:rsidP="00D43E43">
      <w:pPr>
        <w:pStyle w:val="Version"/>
        <w:sectPr w:rsidSect="004F0A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0A30" w:rsidP="004F0A30">
      <w:pPr>
        <w:pStyle w:val="SuperHeading"/>
      </w:pPr>
      <w:r w:rsidRPr="004F0A30">
        <w:t>LMFGG3002C Assess glass and glazing requirements</w:t>
      </w:r>
    </w:p>
    <w:p w:rsidR="00000000" w:rsidRPr="004F0A30" w:rsidP="004F0A30">
      <w:pPr>
        <w:pStyle w:val="Heading1"/>
      </w:pPr>
      <w:bookmarkStart w:id="1" w:name="O_351244"/>
      <w:bookmarkEnd w:id="1"/>
      <w:r w:rsidRPr="004F0A30">
        <w:t>Modification History</w:t>
      </w:r>
    </w:p>
    <w:p w:rsidR="00000000" w:rsidRPr="004F0A30" w:rsidP="004F0A30">
      <w:pPr>
        <w:pStyle w:val="BodyText"/>
      </w:pPr>
      <w:r w:rsidRPr="004F0A30">
        <w:t>Updated format, added references to AS 1288, revised Evidence Guide. Outcome equivalent.</w:t>
      </w:r>
    </w:p>
    <w:p w:rsidR="00000000" w:rsidRPr="004F0A30" w:rsidP="004F0A30">
      <w:pPr>
        <w:pStyle w:val="AllowPageBreak"/>
      </w:pPr>
    </w:p>
    <w:p w:rsidR="00000000" w:rsidRPr="004F0A30" w:rsidP="004F0A30">
      <w:pPr>
        <w:pStyle w:val="Heading1"/>
      </w:pPr>
      <w:bookmarkStart w:id="2" w:name="O_351245"/>
      <w:bookmarkEnd w:id="2"/>
      <w:r w:rsidRPr="004F0A30">
        <w:t>Unit Descriptor</w:t>
      </w:r>
    </w:p>
    <w:p w:rsidR="00000000" w:rsidRPr="004F0A30" w:rsidP="004F0A30">
      <w:pPr>
        <w:pStyle w:val="BodyText"/>
      </w:pPr>
      <w:r w:rsidRPr="004F0A30">
        <w:t>This unit of competency covers</w:t>
      </w:r>
      <w:r w:rsidRPr="004F0A30">
        <w:t xml:space="preserve"> the skills and knowledge required to assess and identify glass and glazing requirements for buildings to comply with AS 1288:2006 Glass in buildings - Selection and installation.</w:t>
      </w:r>
    </w:p>
    <w:p w:rsidR="00000000" w:rsidRPr="004F0A30" w:rsidP="004F0A30">
      <w:pPr>
        <w:pStyle w:val="AllowPageBreak"/>
      </w:pPr>
    </w:p>
    <w:p w:rsidR="00000000" w:rsidRPr="004F0A30" w:rsidP="004F0A30">
      <w:pPr>
        <w:pStyle w:val="Heading1"/>
      </w:pPr>
      <w:bookmarkStart w:id="3" w:name="O_351246"/>
      <w:bookmarkEnd w:id="3"/>
      <w:r w:rsidRPr="004F0A30">
        <w:t>Application of the Unit</w:t>
      </w:r>
    </w:p>
    <w:p w:rsidR="00000000" w:rsidRPr="004F0A30" w:rsidP="004F0A30">
      <w:pPr>
        <w:pStyle w:val="BodyText"/>
      </w:pPr>
      <w:r w:rsidRPr="004F0A30">
        <w:t xml:space="preserve">This unit involves assessing glass </w:t>
      </w:r>
      <w:r w:rsidRPr="004F0A30">
        <w:t>and glazing requirements generally performed individually and may be on a one-to-one basis with a customer/supervisor, with only limited supervision. The work may be performed in workplaces which are involved in the manufacture, processing and/or installat</w:t>
      </w:r>
      <w:r w:rsidRPr="004F0A30">
        <w:t xml:space="preserve">ion of sheet glass and requires individuals to demonstrate discretion, judgement and problem solving. </w:t>
      </w:r>
    </w:p>
    <w:p w:rsidR="00000000" w:rsidRPr="004F0A30" w:rsidP="004F0A30">
      <w:pPr>
        <w:pStyle w:val="AllowPageBreak"/>
      </w:pPr>
    </w:p>
    <w:p w:rsidR="00000000" w:rsidRPr="004F0A30" w:rsidP="004F0A30">
      <w:pPr>
        <w:pStyle w:val="Heading1"/>
      </w:pPr>
      <w:bookmarkStart w:id="4" w:name="O_351247"/>
      <w:bookmarkEnd w:id="4"/>
      <w:r w:rsidRPr="004F0A30">
        <w:t>Licensing/Regulatory Information</w:t>
      </w:r>
    </w:p>
    <w:p w:rsidR="00000000" w:rsidRPr="004F0A30" w:rsidP="004F0A30">
      <w:pPr>
        <w:pStyle w:val="BodyText"/>
      </w:pPr>
      <w:r w:rsidRPr="004F0A30">
        <w:t>Not applicable.</w:t>
      </w:r>
    </w:p>
    <w:p w:rsidR="00000000" w:rsidRPr="004F0A30" w:rsidP="004F0A30">
      <w:pPr>
        <w:pStyle w:val="AllowPageBreak"/>
      </w:pPr>
    </w:p>
    <w:p w:rsidR="00000000" w:rsidRPr="004F0A30" w:rsidP="004F0A30">
      <w:pPr>
        <w:pStyle w:val="Heading1"/>
      </w:pPr>
      <w:bookmarkStart w:id="5" w:name="O_351248"/>
      <w:bookmarkEnd w:id="5"/>
      <w:r w:rsidRPr="004F0A30">
        <w:t>Pre-Requisites</w:t>
      </w:r>
    </w:p>
    <w:p w:rsidR="00000000" w:rsidRPr="004F0A30" w:rsidP="004F0A30">
      <w:pPr>
        <w:pStyle w:val="BodyText"/>
      </w:pPr>
      <w:r w:rsidRPr="004F0A30">
        <w:t>Not applicable.</w:t>
      </w:r>
    </w:p>
    <w:p w:rsidR="00000000" w:rsidRPr="004F0A30" w:rsidP="004F0A30">
      <w:pPr>
        <w:pStyle w:val="AllowPageBreak"/>
      </w:pPr>
    </w:p>
    <w:p w:rsidR="00000000" w:rsidRPr="004F0A30" w:rsidP="004F0A30">
      <w:pPr>
        <w:pStyle w:val="Heading1"/>
      </w:pPr>
      <w:bookmarkStart w:id="6" w:name="O_351249"/>
      <w:bookmarkEnd w:id="6"/>
      <w:r w:rsidRPr="004F0A30">
        <w:t>Employability Skills Information</w:t>
      </w:r>
    </w:p>
    <w:p w:rsidR="00000000" w:rsidRPr="004F0A30" w:rsidP="004F0A30">
      <w:pPr>
        <w:pStyle w:val="BodyText"/>
      </w:pPr>
      <w:r w:rsidRPr="004F0A30">
        <w:t>This unit contains employability skills.</w:t>
      </w:r>
    </w:p>
    <w:p w:rsidR="00000000" w:rsidRPr="004F0A30" w:rsidP="004F0A30">
      <w:pPr>
        <w:pStyle w:val="AllowPageBreak"/>
      </w:pPr>
    </w:p>
    <w:p w:rsidR="00000000" w:rsidRPr="004F0A30" w:rsidP="004F0A30">
      <w:pPr>
        <w:pStyle w:val="Heading1"/>
      </w:pPr>
      <w:bookmarkStart w:id="7" w:name="O_351250"/>
      <w:bookmarkEnd w:id="7"/>
      <w:r w:rsidRPr="004F0A30">
        <w:t>Elements and Performance Criteria Pre-Content</w:t>
      </w:r>
    </w:p>
    <w:tbl>
      <w:tblPr>
        <w:tblW w:w="0" w:type="auto"/>
        <w:tblLayout w:type="fixed"/>
        <w:tblCellMar>
          <w:left w:w="62" w:type="dxa"/>
          <w:right w:w="62" w:type="dxa"/>
        </w:tblCellMar>
        <w:tblLook w:val="0000"/>
      </w:tblPr>
      <w:tblGrid>
        <w:gridCol w:w="2640"/>
        <w:gridCol w:w="6380"/>
      </w:tblGrid>
      <w:tr w:rsidTr="004F0A3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4F0A30" w:rsidP="004F0A30">
            <w:pPr>
              <w:pStyle w:val="BodyText"/>
            </w:pPr>
            <w:r w:rsidRPr="004F0A30">
              <w:t>Performance criteria describe the performance needed to demonstrate achievement of the element. Where bold italicised text is used, further information is detailed in the required skills and knowledge section and the range statement. Assessment of performa</w:t>
            </w:r>
            <w:r w:rsidRPr="004F0A30">
              <w:t>nce is to be consistent with the evidence guide.</w:t>
            </w:r>
          </w:p>
        </w:tc>
      </w:tr>
    </w:tbl>
    <w:p w:rsidR="00000000" w:rsidRPr="004F0A30" w:rsidP="004F0A30">
      <w:pPr>
        <w:pStyle w:val="BodyText"/>
      </w:pPr>
    </w:p>
    <w:p w:rsidR="00000000" w:rsidRPr="004F0A30" w:rsidP="004F0A30">
      <w:pPr>
        <w:pStyle w:val="AllowPageBreak"/>
      </w:pPr>
    </w:p>
    <w:p w:rsidR="00000000" w:rsidRPr="004F0A30" w:rsidP="004F0A30">
      <w:pPr>
        <w:pStyle w:val="Heading1"/>
      </w:pPr>
      <w:bookmarkStart w:id="8" w:name="O_351251"/>
      <w:bookmarkEnd w:id="8"/>
      <w:r w:rsidRPr="004F0A3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F0A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1</w:t>
            </w:r>
          </w:p>
        </w:tc>
        <w:tc>
          <w:tcPr>
            <w:tcW w:w="1962" w:type="dxa"/>
            <w:vMerge w:val="restart"/>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Identify work requirements</w:t>
            </w:r>
          </w:p>
        </w:tc>
        <w:tc>
          <w:tcPr>
            <w:tcW w:w="770"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1.1</w:t>
            </w:r>
          </w:p>
        </w:tc>
        <w:tc>
          <w:tcPr>
            <w:tcW w:w="5610"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 xml:space="preserve">Customer requirements and expectations regarding glass and glazing work or technical advice are identified and confirmed </w:t>
            </w:r>
            <w:r w:rsidRPr="004F0A30">
              <w:t>through a process of liaison and consultation</w:t>
            </w:r>
          </w:p>
        </w:tc>
      </w:tr>
      <w:tr w:rsidTr="004F0A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1.2</w:t>
            </w:r>
          </w:p>
        </w:tc>
        <w:tc>
          <w:tcPr>
            <w:tcW w:w="5610"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 xml:space="preserve">Occupational health and safety (OHS) requirements for </w:t>
            </w:r>
            <w:r w:rsidRPr="004F0A30">
              <w:rPr>
                <w:rStyle w:val="BoldandItalics"/>
              </w:rPr>
              <w:t>assessing glass and glazing</w:t>
            </w:r>
            <w:r w:rsidRPr="004F0A30">
              <w:t xml:space="preserve"> requirements are observed throughout the work</w:t>
            </w:r>
          </w:p>
        </w:tc>
      </w:tr>
      <w:tr w:rsidTr="004F0A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1.3</w:t>
            </w:r>
          </w:p>
        </w:tc>
        <w:tc>
          <w:tcPr>
            <w:tcW w:w="5610"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 xml:space="preserve">Requirements are recorded using appropriate </w:t>
            </w:r>
            <w:r w:rsidRPr="004F0A30">
              <w:rPr>
                <w:rStyle w:val="BoldandItalics"/>
              </w:rPr>
              <w:t>tools and equipment</w:t>
            </w:r>
            <w:r w:rsidRPr="004F0A30">
              <w:t xml:space="preserve"> and </w:t>
            </w:r>
            <w:r w:rsidRPr="004F0A30">
              <w:t xml:space="preserve">confirmed according to </w:t>
            </w:r>
            <w:r w:rsidRPr="004F0A30">
              <w:rPr>
                <w:rStyle w:val="BoldandItalics"/>
              </w:rPr>
              <w:t>workplace procedures</w:t>
            </w:r>
            <w:r w:rsidRPr="004F0A30">
              <w:t xml:space="preserve"> and requirements</w:t>
            </w:r>
          </w:p>
        </w:tc>
      </w:tr>
      <w:tr w:rsidTr="004F0A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1.4</w:t>
            </w:r>
          </w:p>
        </w:tc>
        <w:tc>
          <w:tcPr>
            <w:tcW w:w="5610" w:type="dxa"/>
            <w:tcBorders>
              <w:top w:val="nil"/>
              <w:left w:val="nil"/>
              <w:bottom w:val="nil"/>
              <w:right w:val="nil"/>
            </w:tcBorders>
            <w:tcMar>
              <w:top w:w="0" w:type="dxa"/>
              <w:left w:w="62" w:type="dxa"/>
              <w:bottom w:w="0" w:type="dxa"/>
              <w:right w:w="62" w:type="dxa"/>
            </w:tcMar>
          </w:tcPr>
          <w:p w:rsidR="00000000" w:rsidRPr="004F0A30" w:rsidP="004F0A30">
            <w:pPr>
              <w:pStyle w:val="BodyText"/>
            </w:pPr>
            <w:r w:rsidRPr="004F0A30">
              <w:t>The process for assessing glass and glazing requirements is identified</w:t>
            </w:r>
          </w:p>
        </w:tc>
      </w:tr>
    </w:tbl>
    <w:p w:rsidR="00000000" w:rsidRPr="004F0A30" w:rsidP="004F0A30">
      <w:pPr>
        <w:pStyle w:val="BodyText"/>
      </w:pPr>
    </w:p>
    <w:tbl>
      <w:tblPr>
        <w:tblW w:w="0" w:type="auto"/>
        <w:tblLayout w:type="fixed"/>
        <w:tblCellMar>
          <w:left w:w="62" w:type="dxa"/>
          <w:right w:w="62" w:type="dxa"/>
        </w:tblCellMar>
        <w:tblLook w:val="0000"/>
      </w:tblPr>
      <w:tblGrid>
        <w:gridCol w:w="678"/>
        <w:gridCol w:w="1962"/>
        <w:gridCol w:w="770"/>
        <w:gridCol w:w="5610"/>
      </w:tblGrid>
      <w:tr w:rsidTr="004F0A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2</w:t>
            </w:r>
          </w:p>
        </w:tc>
        <w:tc>
          <w:tcPr>
            <w:tcW w:w="1962" w:type="dxa"/>
            <w:vMerge w:val="restart"/>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Prepare for work</w:t>
            </w:r>
          </w:p>
        </w:tc>
        <w:tc>
          <w:tcPr>
            <w:tcW w:w="770"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2.1</w:t>
            </w:r>
          </w:p>
        </w:tc>
        <w:tc>
          <w:tcPr>
            <w:tcW w:w="5610"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Work sequence is planned in a logical order to suit the job</w:t>
            </w:r>
          </w:p>
        </w:tc>
      </w:tr>
      <w:tr w:rsidTr="004F0A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2.2</w:t>
            </w:r>
          </w:p>
        </w:tc>
        <w:tc>
          <w:tcPr>
            <w:tcW w:w="5610"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Research materials are accessed and analysed for applicability</w:t>
            </w:r>
          </w:p>
        </w:tc>
      </w:tr>
      <w:tr w:rsidTr="004F0A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2.3</w:t>
            </w:r>
          </w:p>
        </w:tc>
        <w:tc>
          <w:tcPr>
            <w:tcW w:w="5610"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Site visit is conducted, if possible, to confirm requirements and identify any restrictions or unforeseen hazards/considerations</w:t>
            </w:r>
          </w:p>
        </w:tc>
      </w:tr>
      <w:tr w:rsidTr="004F0A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2.4</w:t>
            </w:r>
          </w:p>
        </w:tc>
        <w:tc>
          <w:tcPr>
            <w:tcW w:w="5610" w:type="dxa"/>
            <w:tcBorders>
              <w:top w:val="nil"/>
              <w:left w:val="nil"/>
              <w:bottom w:val="nil"/>
              <w:right w:val="nil"/>
            </w:tcBorders>
            <w:tcMar>
              <w:top w:w="0" w:type="dxa"/>
              <w:left w:w="62" w:type="dxa"/>
              <w:bottom w:w="0" w:type="dxa"/>
              <w:right w:w="62" w:type="dxa"/>
            </w:tcMar>
          </w:tcPr>
          <w:p w:rsidR="00000000" w:rsidRPr="004F0A30" w:rsidP="004F0A30">
            <w:pPr>
              <w:pStyle w:val="BodyText"/>
            </w:pPr>
            <w:r w:rsidRPr="004F0A30">
              <w:t>Product sources are contacted to ascertain curren</w:t>
            </w:r>
            <w:r w:rsidRPr="004F0A30">
              <w:t>t developments, if appropriate</w:t>
            </w:r>
          </w:p>
        </w:tc>
      </w:tr>
    </w:tbl>
    <w:p w:rsidR="00000000" w:rsidRPr="004F0A30" w:rsidP="004F0A30">
      <w:pPr>
        <w:pStyle w:val="BodyText"/>
      </w:pPr>
    </w:p>
    <w:tbl>
      <w:tblPr>
        <w:tblW w:w="0" w:type="auto"/>
        <w:tblLayout w:type="fixed"/>
        <w:tblCellMar>
          <w:left w:w="62" w:type="dxa"/>
          <w:right w:w="62" w:type="dxa"/>
        </w:tblCellMar>
        <w:tblLook w:val="0000"/>
      </w:tblPr>
      <w:tblGrid>
        <w:gridCol w:w="678"/>
        <w:gridCol w:w="1962"/>
        <w:gridCol w:w="770"/>
        <w:gridCol w:w="5610"/>
      </w:tblGrid>
      <w:tr w:rsidTr="004F0A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3</w:t>
            </w:r>
          </w:p>
        </w:tc>
        <w:tc>
          <w:tcPr>
            <w:tcW w:w="1962" w:type="dxa"/>
            <w:vMerge w:val="restart"/>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Conduct assessment</w:t>
            </w:r>
          </w:p>
        </w:tc>
        <w:tc>
          <w:tcPr>
            <w:tcW w:w="770"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3.1</w:t>
            </w:r>
          </w:p>
        </w:tc>
        <w:tc>
          <w:tcPr>
            <w:tcW w:w="5610"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Influencing factors are identified and their significance and impact on the end product determined</w:t>
            </w:r>
          </w:p>
        </w:tc>
      </w:tr>
      <w:tr w:rsidTr="004F0A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3.2</w:t>
            </w:r>
          </w:p>
        </w:tc>
        <w:tc>
          <w:tcPr>
            <w:tcW w:w="5610"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 xml:space="preserve">Specifications for the </w:t>
            </w:r>
            <w:r w:rsidRPr="004F0A30">
              <w:rPr>
                <w:rStyle w:val="SpecialBold"/>
              </w:rPr>
              <w:t>glass and glazing</w:t>
            </w:r>
            <w:r w:rsidRPr="004F0A30">
              <w:t xml:space="preserve"> requirement are documented in accordance </w:t>
            </w:r>
            <w:r w:rsidRPr="004F0A30">
              <w:t>with workplace procedures</w:t>
            </w:r>
          </w:p>
        </w:tc>
      </w:tr>
      <w:tr w:rsidTr="004F0A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3.3</w:t>
            </w:r>
          </w:p>
        </w:tc>
        <w:tc>
          <w:tcPr>
            <w:tcW w:w="5610"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Products/types of glass are identified and their application determined</w:t>
            </w:r>
          </w:p>
        </w:tc>
      </w:tr>
      <w:tr w:rsidTr="004F0A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3.4</w:t>
            </w:r>
          </w:p>
        </w:tc>
        <w:tc>
          <w:tcPr>
            <w:tcW w:w="5610"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Technical or other professional advice is sought, if applicable and available, in accordance with workplace procedures</w:t>
            </w:r>
          </w:p>
        </w:tc>
      </w:tr>
      <w:tr w:rsidTr="004F0A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3.5</w:t>
            </w:r>
          </w:p>
        </w:tc>
        <w:tc>
          <w:tcPr>
            <w:tcW w:w="5610"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Possible solutions</w:t>
            </w:r>
            <w:r w:rsidRPr="004F0A30">
              <w:t xml:space="preserve"> are modelled or trialled in accordance with workplace procedures</w:t>
            </w:r>
          </w:p>
        </w:tc>
      </w:tr>
      <w:tr w:rsidTr="004F0A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3.6</w:t>
            </w:r>
          </w:p>
        </w:tc>
        <w:tc>
          <w:tcPr>
            <w:tcW w:w="5610" w:type="dxa"/>
            <w:tcBorders>
              <w:top w:val="nil"/>
              <w:left w:val="nil"/>
              <w:bottom w:val="nil"/>
              <w:right w:val="nil"/>
            </w:tcBorders>
            <w:tcMar>
              <w:top w:w="0" w:type="dxa"/>
              <w:left w:w="62" w:type="dxa"/>
              <w:bottom w:w="0" w:type="dxa"/>
              <w:right w:w="62" w:type="dxa"/>
            </w:tcMar>
          </w:tcPr>
          <w:p w:rsidR="00000000" w:rsidRPr="004F0A30" w:rsidP="004F0A30">
            <w:pPr>
              <w:pStyle w:val="BodyText"/>
            </w:pPr>
            <w:r w:rsidRPr="004F0A30">
              <w:t>Optimal solution is identified and specifications confirmed</w:t>
            </w:r>
          </w:p>
        </w:tc>
      </w:tr>
    </w:tbl>
    <w:p w:rsidR="00000000" w:rsidRPr="004F0A30" w:rsidP="004F0A30">
      <w:pPr>
        <w:pStyle w:val="BodyText"/>
      </w:pPr>
    </w:p>
    <w:tbl>
      <w:tblPr>
        <w:tblW w:w="0" w:type="auto"/>
        <w:tblLayout w:type="fixed"/>
        <w:tblCellMar>
          <w:left w:w="62" w:type="dxa"/>
          <w:right w:w="62" w:type="dxa"/>
        </w:tblCellMar>
        <w:tblLook w:val="0000"/>
      </w:tblPr>
      <w:tblGrid>
        <w:gridCol w:w="678"/>
        <w:gridCol w:w="1962"/>
        <w:gridCol w:w="770"/>
        <w:gridCol w:w="5610"/>
      </w:tblGrid>
      <w:tr w:rsidTr="004F0A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4</w:t>
            </w:r>
          </w:p>
        </w:tc>
        <w:tc>
          <w:tcPr>
            <w:tcW w:w="1962" w:type="dxa"/>
            <w:vMerge w:val="restart"/>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Complete work</w:t>
            </w:r>
          </w:p>
        </w:tc>
        <w:tc>
          <w:tcPr>
            <w:tcW w:w="770"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4.1</w:t>
            </w:r>
          </w:p>
        </w:tc>
        <w:tc>
          <w:tcPr>
            <w:tcW w:w="5610"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Solution is converted into work instructions/job orders in accordance with workplace procedures</w:t>
            </w:r>
          </w:p>
        </w:tc>
      </w:tr>
      <w:tr w:rsidTr="004F0A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4.2</w:t>
            </w:r>
          </w:p>
        </w:tc>
        <w:tc>
          <w:tcPr>
            <w:tcW w:w="5610" w:type="dxa"/>
            <w:tcBorders>
              <w:top w:val="nil"/>
              <w:left w:val="nil"/>
              <w:bottom w:val="nil"/>
              <w:right w:val="nil"/>
            </w:tcBorders>
            <w:tcMar>
              <w:top w:w="0" w:type="dxa"/>
              <w:left w:w="62" w:type="dxa"/>
              <w:bottom w:w="0" w:type="dxa"/>
              <w:right w:w="62" w:type="dxa"/>
            </w:tcMar>
          </w:tcPr>
          <w:p w:rsidR="00000000" w:rsidRPr="004F0A30" w:rsidP="004F0A30">
            <w:pPr>
              <w:pStyle w:val="BodyText"/>
            </w:pPr>
            <w:r w:rsidRPr="004F0A30">
              <w:t>Other documentation, including any advice/referral to customer, is completed in accordance with workplace practices</w:t>
            </w:r>
          </w:p>
        </w:tc>
      </w:tr>
    </w:tbl>
    <w:p w:rsidR="00000000" w:rsidRPr="004F0A30" w:rsidP="004F0A30">
      <w:pPr>
        <w:pStyle w:val="BodyText"/>
      </w:pPr>
    </w:p>
    <w:p w:rsidR="00000000" w:rsidRPr="004F0A30" w:rsidP="004F0A30">
      <w:pPr>
        <w:pStyle w:val="AllowPageBreak"/>
      </w:pPr>
    </w:p>
    <w:p w:rsidR="00000000" w:rsidRPr="004F0A30" w:rsidP="004F0A30">
      <w:pPr>
        <w:pStyle w:val="Heading1"/>
      </w:pPr>
      <w:bookmarkStart w:id="9" w:name="O_351252"/>
      <w:bookmarkEnd w:id="9"/>
      <w:r w:rsidRPr="004F0A30">
        <w:t>Required Skills and Knowledge</w:t>
      </w:r>
    </w:p>
    <w:tbl>
      <w:tblPr>
        <w:tblW w:w="9462" w:type="dxa"/>
        <w:tblLayout w:type="fixed"/>
        <w:tblCellMar>
          <w:left w:w="62" w:type="dxa"/>
          <w:right w:w="62" w:type="dxa"/>
        </w:tblCellMar>
        <w:tblLook w:val="0000"/>
      </w:tblPr>
      <w:tblGrid>
        <w:gridCol w:w="9462"/>
      </w:tblGrid>
      <w:tr w:rsidTr="004F0A3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This section describes the skills and knowledge required for this unit.</w:t>
            </w:r>
          </w:p>
        </w:tc>
      </w:tr>
      <w:tr w:rsidTr="004F0A3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p>
        </w:tc>
      </w:tr>
      <w:tr w:rsidTr="004F0A3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F0A30" w:rsidP="004F0A30">
            <w:pPr>
              <w:pStyle w:val="BodyText"/>
            </w:pPr>
            <w:r w:rsidRPr="004F0A30">
              <w:rPr>
                <w:rStyle w:val="SpecialBold"/>
              </w:rPr>
              <w:t>Required skills include:</w:t>
            </w:r>
          </w:p>
          <w:p w:rsidR="00000000" w:rsidRPr="004F0A30" w:rsidP="004F0A30">
            <w:pPr>
              <w:pStyle w:val="ListBullet"/>
            </w:pPr>
            <w:r w:rsidRPr="004F0A30">
              <w:t xml:space="preserve">collecting, organising and understanding information related to glass and glazing, work orders, basic plans and safety procedures </w:t>
            </w:r>
          </w:p>
          <w:p w:rsidR="00000000" w:rsidRPr="004F0A30" w:rsidP="004F0A30">
            <w:pPr>
              <w:pStyle w:val="ListBullet"/>
            </w:pPr>
            <w:r w:rsidRPr="004F0A30">
              <w:t>using communication skills to the level required to confirm work requirements and specifications; c</w:t>
            </w:r>
            <w:r w:rsidRPr="004F0A30">
              <w:t>ommunicate effectively regarding work requirements with supervisors, other workers and customers; report work outcomes and problems; and to relate to people from a range of social, cultural and ethnic backgrounds, and of varying physical and mental abiliti</w:t>
            </w:r>
            <w:r w:rsidRPr="004F0A30">
              <w:t>es</w:t>
            </w:r>
          </w:p>
          <w:p w:rsidR="00000000" w:rsidRPr="004F0A30" w:rsidP="004F0A30">
            <w:pPr>
              <w:pStyle w:val="ListBullet"/>
            </w:pPr>
            <w:r w:rsidRPr="004F0A30">
              <w:t>using literacy skills to the level required to understand information related to work orders, including common industry terminology, plans and safety procedures; prepare reports; and interpret technical information and specifications</w:t>
            </w:r>
          </w:p>
          <w:p w:rsidR="00000000" w:rsidRPr="004F0A30" w:rsidP="004F0A30">
            <w:pPr>
              <w:pStyle w:val="ListBullet"/>
            </w:pPr>
            <w:r w:rsidRPr="004F0A30">
              <w:t>planning and organi</w:t>
            </w:r>
            <w:r w:rsidRPr="004F0A30">
              <w:t xml:space="preserve">sing activities, including the preparation and layout of the work area, and the obtaining of information and reference materials to facilitate assessment, avoid workflow interruptions and assist efficacy of solutions </w:t>
            </w:r>
          </w:p>
          <w:p w:rsidR="00000000" w:rsidRPr="004F0A30" w:rsidP="004F0A30">
            <w:pPr>
              <w:pStyle w:val="ListBullet"/>
            </w:pPr>
            <w:r w:rsidRPr="004F0A30">
              <w:t>working with others and in a team by r</w:t>
            </w:r>
            <w:r w:rsidRPr="004F0A30">
              <w:t xml:space="preserve">ecognising dependencies and using cooperative approaches to optimise workflow and productivity </w:t>
            </w:r>
          </w:p>
          <w:p w:rsidR="00000000" w:rsidRPr="004F0A30" w:rsidP="004F0A30">
            <w:pPr>
              <w:pStyle w:val="ListBullet"/>
            </w:pPr>
            <w:r w:rsidRPr="004F0A30">
              <w:t>using mathematical ideas and techniques to correctly complete measurements, calculate work requirements, optimise glass sizes for application and assembly of re</w:t>
            </w:r>
            <w:r w:rsidRPr="004F0A30">
              <w:t xml:space="preserve">quired resources </w:t>
            </w:r>
          </w:p>
          <w:p w:rsidR="00000000" w:rsidRPr="004F0A30" w:rsidP="004F0A30">
            <w:pPr>
              <w:pStyle w:val="ListBullet"/>
            </w:pPr>
            <w:r w:rsidRPr="004F0A30">
              <w:t xml:space="preserve">using workplace technology related to the assessment of glass and glazing requirements </w:t>
            </w:r>
          </w:p>
          <w:p w:rsidR="00000000" w:rsidP="004F0A30">
            <w:pPr>
              <w:pStyle w:val="ListBullet"/>
              <w:rPr>
                <w:lang w:val="en-NZ"/>
              </w:rPr>
            </w:pPr>
            <w:r w:rsidRPr="004F0A30">
              <w:t>modifying activities to cater for variations in workplace cultures and environment</w:t>
            </w:r>
          </w:p>
        </w:tc>
      </w:tr>
      <w:tr w:rsidTr="004F0A3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F0A30">
            <w:pPr>
              <w:pStyle w:val="BodyText"/>
              <w:rPr>
                <w:lang w:val="en-NZ"/>
              </w:rPr>
            </w:pPr>
          </w:p>
        </w:tc>
      </w:tr>
      <w:tr w:rsidTr="004F0A3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F0A30" w:rsidP="004F0A30">
            <w:pPr>
              <w:pStyle w:val="BodyText"/>
            </w:pPr>
            <w:r w:rsidRPr="004F0A30">
              <w:rPr>
                <w:rStyle w:val="SpecialBold"/>
              </w:rPr>
              <w:t>Required knowledge includes:</w:t>
            </w:r>
          </w:p>
          <w:p w:rsidR="00000000" w:rsidRPr="004F0A30" w:rsidP="004F0A30">
            <w:pPr>
              <w:pStyle w:val="ListBullet"/>
            </w:pPr>
            <w:r w:rsidRPr="004F0A30">
              <w:t>workplace operating procedures and AS 1288:2006 Glass in buildings - Selection and installation</w:t>
            </w:r>
          </w:p>
          <w:p w:rsidR="00000000" w:rsidRPr="004F0A30" w:rsidP="004F0A30">
            <w:pPr>
              <w:pStyle w:val="ListBullet"/>
            </w:pPr>
            <w:r w:rsidRPr="004F0A30">
              <w:t xml:space="preserve">the qualities and characteristics of glass, including types, qualities, applications and limitations </w:t>
            </w:r>
          </w:p>
          <w:p w:rsidR="00000000" w:rsidRPr="004F0A30" w:rsidP="004F0A30">
            <w:pPr>
              <w:pStyle w:val="ListBullet"/>
            </w:pPr>
            <w:r w:rsidRPr="004F0A30">
              <w:t>products and processes and current trends and developments</w:t>
            </w:r>
            <w:r w:rsidRPr="004F0A30">
              <w:t xml:space="preserve"> in glass and glazing techniques/applications </w:t>
            </w:r>
          </w:p>
          <w:p w:rsidR="00000000" w:rsidRPr="004F0A30" w:rsidP="004F0A30">
            <w:pPr>
              <w:pStyle w:val="ListBullet"/>
            </w:pPr>
            <w:r w:rsidRPr="004F0A30">
              <w:t xml:space="preserve">workflow and operating requirements of work systems in own work area </w:t>
            </w:r>
          </w:p>
          <w:p w:rsidR="00000000" w:rsidRPr="004F0A30" w:rsidP="004F0A30">
            <w:pPr>
              <w:pStyle w:val="ListBullet"/>
            </w:pPr>
            <w:r w:rsidRPr="004F0A30">
              <w:t>workplace safety system requirements related to the handling and installation of glass</w:t>
            </w:r>
          </w:p>
        </w:tc>
      </w:tr>
    </w:tbl>
    <w:p w:rsidR="00D43E43" w:rsidP="004F0A30">
      <w:pPr>
        <w:pStyle w:val="ListBullet"/>
      </w:pPr>
    </w:p>
    <w:p w:rsidR="00D43E43" w:rsidP="004F0A30">
      <w:pPr>
        <w:pStyle w:val="ListBullet"/>
      </w:pPr>
    </w:p>
    <w:p w:rsidR="00000000" w:rsidRPr="004F0A30" w:rsidP="004F0A30">
      <w:pPr>
        <w:pStyle w:val="Heading1"/>
      </w:pPr>
      <w:bookmarkStart w:id="10" w:name="O_351253"/>
      <w:bookmarkEnd w:id="10"/>
      <w:r w:rsidRPr="004F0A30">
        <w:t>Evidence Guide</w:t>
      </w:r>
    </w:p>
    <w:tbl>
      <w:tblPr>
        <w:tblW w:w="9462" w:type="dxa"/>
        <w:tblLayout w:type="fixed"/>
        <w:tblCellMar>
          <w:left w:w="62" w:type="dxa"/>
          <w:right w:w="62" w:type="dxa"/>
        </w:tblCellMar>
        <w:tblLook w:val="0000"/>
      </w:tblPr>
      <w:tblGrid>
        <w:gridCol w:w="3800"/>
        <w:gridCol w:w="5662"/>
      </w:tblGrid>
      <w:tr w:rsidTr="004F0A30">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The evidence guide provides advice on assessment and must be read in conjunction with the performance criteria, required skills and knowledge, range statement and the Assessment Guidelines for the Training Package.</w:t>
            </w:r>
          </w:p>
        </w:tc>
      </w:tr>
      <w:tr w:rsidTr="004F0A3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A30">
            <w:pPr>
              <w:pStyle w:val="BodyText"/>
              <w:rPr>
                <w:lang w:val="en-NZ"/>
              </w:rPr>
            </w:pPr>
            <w:r w:rsidRPr="004F0A30">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A30">
            <w:pPr>
              <w:pStyle w:val="BodyText"/>
              <w:rPr>
                <w:lang w:val="en-NZ"/>
              </w:rPr>
            </w:pPr>
            <w:r w:rsidRPr="004F0A30">
              <w:t>Assessment proce</w:t>
            </w:r>
            <w:r w:rsidRPr="004F0A30">
              <w:t>sses and techniques must be culturally appropriate and appropriate to the language, literacy and numeracy capacity of the candidate and the work being performed.</w:t>
            </w:r>
          </w:p>
        </w:tc>
      </w:tr>
      <w:tr w:rsidTr="004F0A3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A30">
            <w:pPr>
              <w:pStyle w:val="BodyText"/>
              <w:rPr>
                <w:lang w:val="en-NZ"/>
              </w:rPr>
            </w:pPr>
            <w:r w:rsidRPr="004F0A30">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A30" w:rsidP="004F0A30">
            <w:pPr>
              <w:pStyle w:val="BodyText"/>
            </w:pPr>
            <w:r w:rsidRPr="004F0A30">
              <w:t>Assessors must be satisfied that the candidate can competently and consistently:</w:t>
            </w:r>
          </w:p>
          <w:p w:rsidR="00000000" w:rsidRPr="004F0A30" w:rsidP="004F0A30">
            <w:pPr>
              <w:pStyle w:val="ListBullet"/>
            </w:pPr>
            <w:r w:rsidRPr="004F0A30">
              <w:t>interpret glass and glazing requirements and accurately determine solutions to meet work situations/customer queries</w:t>
            </w:r>
          </w:p>
          <w:p w:rsidR="00000000" w:rsidRPr="004F0A30" w:rsidP="004F0A30">
            <w:pPr>
              <w:pStyle w:val="ListBullet"/>
            </w:pPr>
            <w:r w:rsidRPr="004F0A30">
              <w:t>identify and confirm requirements/customer expectations</w:t>
            </w:r>
          </w:p>
          <w:p w:rsidR="00000000" w:rsidRPr="004F0A30" w:rsidP="004F0A30">
            <w:pPr>
              <w:pStyle w:val="ListBullet"/>
            </w:pPr>
            <w:r w:rsidRPr="004F0A30">
              <w:t>l</w:t>
            </w:r>
            <w:r w:rsidRPr="004F0A30">
              <w:t xml:space="preserve">ocate, interpret and apply information for situation to be assessed </w:t>
            </w:r>
          </w:p>
          <w:p w:rsidR="00000000" w:rsidRPr="004F0A30" w:rsidP="004F0A30">
            <w:pPr>
              <w:pStyle w:val="ListBullet"/>
            </w:pPr>
            <w:r w:rsidRPr="004F0A30">
              <w:t xml:space="preserve">as a minimum: </w:t>
            </w:r>
          </w:p>
          <w:p w:rsidR="00000000" w:rsidRPr="004F0A30" w:rsidP="004F0A30">
            <w:pPr>
              <w:pStyle w:val="ListBullet2"/>
            </w:pPr>
            <w:r w:rsidRPr="004F0A30">
              <w:t xml:space="preserve">apply the requirements of AS 1288:2006 Glass in buildings - Selection and installation (requires an understanding of scope, definitions, abbreviations and symbols) </w:t>
            </w:r>
          </w:p>
          <w:p w:rsidR="00000000" w:rsidRPr="004F0A30" w:rsidP="004F0A30">
            <w:pPr>
              <w:pStyle w:val="ListBullet2"/>
            </w:pPr>
            <w:r w:rsidRPr="004F0A30">
              <w:t xml:space="preserve">determine thickness limits for standard nominal thickness of glass </w:t>
            </w:r>
          </w:p>
          <w:p w:rsidR="00000000" w:rsidRPr="004F0A30" w:rsidP="004F0A30">
            <w:pPr>
              <w:pStyle w:val="ListBullet2"/>
            </w:pPr>
            <w:r w:rsidRPr="004F0A30">
              <w:t xml:space="preserve">identify and calculate aspect ratios </w:t>
            </w:r>
          </w:p>
          <w:p w:rsidR="00000000" w:rsidRPr="004F0A30" w:rsidP="004F0A30">
            <w:pPr>
              <w:pStyle w:val="ListBullet2"/>
            </w:pPr>
            <w:r w:rsidRPr="004F0A30">
              <w:t>determine minimum nominal glass thicknesses for various glazing situations affected by human impact</w:t>
            </w:r>
          </w:p>
          <w:p w:rsidR="00000000" w:rsidRPr="004F0A30" w:rsidP="004F0A30">
            <w:pPr>
              <w:pStyle w:val="ListBullet2"/>
            </w:pPr>
            <w:r w:rsidRPr="004F0A30">
              <w:t xml:space="preserve">identify types of safety glazing materials </w:t>
            </w:r>
          </w:p>
          <w:p w:rsidR="00000000" w:rsidRPr="004F0A30" w:rsidP="004F0A30">
            <w:pPr>
              <w:pStyle w:val="ListBullet2"/>
            </w:pPr>
            <w:r w:rsidRPr="004F0A30">
              <w:t>determ</w:t>
            </w:r>
            <w:r w:rsidRPr="004F0A30">
              <w:t xml:space="preserve">ine the safety glazing materials for various glazing situations </w:t>
            </w:r>
          </w:p>
          <w:p w:rsidR="00000000" w:rsidRPr="004F0A30" w:rsidP="004F0A30">
            <w:pPr>
              <w:pStyle w:val="ListBullet2"/>
            </w:pPr>
            <w:r w:rsidRPr="004F0A30">
              <w:t>identify basic installation details for glazing</w:t>
            </w:r>
          </w:p>
          <w:p w:rsidR="00000000" w:rsidP="004F0A30">
            <w:pPr>
              <w:pStyle w:val="ListBullet2"/>
              <w:rPr>
                <w:lang w:val="en-NZ"/>
              </w:rPr>
            </w:pPr>
            <w:r w:rsidRPr="004F0A30">
              <w:t>identify the design considerations and glazing techniques for sill supported toughened glass assemblies.</w:t>
            </w:r>
          </w:p>
        </w:tc>
      </w:tr>
      <w:tr w:rsidTr="004F0A3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A30">
            <w:pPr>
              <w:pStyle w:val="BodyText"/>
              <w:rPr>
                <w:lang w:val="en-NZ"/>
              </w:rPr>
            </w:pPr>
            <w:r w:rsidRPr="004F0A30">
              <w:t>Context of and specific resources for</w:t>
            </w:r>
            <w:r w:rsidRPr="004F0A30">
              <w:t xml:space="preserve">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A30" w:rsidP="004F0A30">
            <w:pPr>
              <w:pStyle w:val="BodyText"/>
            </w:pPr>
            <w:r w:rsidRPr="004F0A30">
              <w:t>The application of competency is to be assessed in the workplace or realistically simulated workplace.</w:t>
            </w:r>
          </w:p>
          <w:p w:rsidR="00000000" w:rsidRPr="004F0A30" w:rsidP="004F0A30">
            <w:pPr>
              <w:pStyle w:val="BodyText"/>
            </w:pPr>
            <w:r w:rsidRPr="004F0A30">
              <w:t>Assessment is to occur under standard and authorised work practices, safety requirements and environmental constraints.</w:t>
            </w:r>
          </w:p>
          <w:p w:rsidR="00000000" w:rsidRPr="004F0A30" w:rsidP="004F0A30">
            <w:pPr>
              <w:pStyle w:val="BodyText"/>
            </w:pPr>
            <w:r w:rsidRPr="004F0A30">
              <w:t>Assessment of essenti</w:t>
            </w:r>
            <w:r w:rsidRPr="004F0A30">
              <w:t>al underpinning knowledge, other than confirmatory questions, will usually be conducted in an off-site context.</w:t>
            </w:r>
          </w:p>
          <w:p w:rsidR="00000000" w:rsidRPr="004F0A30" w:rsidP="004F0A30">
            <w:pPr>
              <w:pStyle w:val="BodyText"/>
            </w:pPr>
            <w:r w:rsidRPr="004F0A30">
              <w:t>Assessment is to comply with relevant regulatory or Australian Standard requirements.</w:t>
            </w:r>
          </w:p>
          <w:p w:rsidR="00000000" w:rsidRPr="004F0A30" w:rsidP="004F0A30">
            <w:pPr>
              <w:pStyle w:val="BodyText"/>
            </w:pPr>
            <w:r w:rsidRPr="004F0A30">
              <w:t>The following resources should be made available:</w:t>
            </w:r>
          </w:p>
          <w:p w:rsidR="00000000" w:rsidRPr="004F0A30" w:rsidP="004F0A30">
            <w:pPr>
              <w:pStyle w:val="ListBullet"/>
            </w:pPr>
            <w:r w:rsidRPr="004F0A30">
              <w:t>work requirements</w:t>
            </w:r>
          </w:p>
          <w:p w:rsidR="00000000" w:rsidRPr="004F0A30" w:rsidP="004F0A30">
            <w:pPr>
              <w:pStyle w:val="ListBullet"/>
            </w:pPr>
            <w:r w:rsidRPr="004F0A30">
              <w:t xml:space="preserve">workplace operating procedures </w:t>
            </w:r>
          </w:p>
          <w:p w:rsidR="00000000" w:rsidP="004F0A30">
            <w:pPr>
              <w:pStyle w:val="ListBullet"/>
              <w:rPr>
                <w:lang w:val="en-NZ"/>
              </w:rPr>
            </w:pPr>
            <w:r w:rsidRPr="004F0A30">
              <w:t>an appropriate work area.</w:t>
            </w:r>
          </w:p>
        </w:tc>
      </w:tr>
      <w:tr w:rsidTr="004F0A3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A30">
            <w:pPr>
              <w:pStyle w:val="BodyText"/>
              <w:rPr>
                <w:lang w:val="en-NZ"/>
              </w:rPr>
            </w:pPr>
            <w:r w:rsidRPr="004F0A30">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A30" w:rsidP="004F0A30">
            <w:pPr>
              <w:pStyle w:val="BodyText"/>
            </w:pPr>
            <w:r w:rsidRPr="004F0A30">
              <w:t>Assessment must satisfy the endorsed Assessment Guidelines of the LMF02 Furnishing Industry Training Package.</w:t>
            </w:r>
          </w:p>
          <w:p w:rsidR="00000000" w:rsidRPr="004F0A30" w:rsidP="004F0A30">
            <w:pPr>
              <w:pStyle w:val="BodyText"/>
            </w:pPr>
            <w:r w:rsidRPr="004F0A30">
              <w:t xml:space="preserve">Assessment methods must confirm consistency and </w:t>
            </w:r>
            <w:r w:rsidRPr="004F0A30">
              <w:t>accuracy of performance (over time and in a range of workplace relevant contexts) together with application of underpinning knowledge.</w:t>
            </w:r>
          </w:p>
          <w:p w:rsidR="00000000" w:rsidRPr="004F0A30" w:rsidP="004F0A30">
            <w:pPr>
              <w:pStyle w:val="BodyText"/>
            </w:pPr>
            <w:r w:rsidRPr="004F0A30">
              <w:t>Assessment methods must be by direct observation of tasks and include questioning on underpinning knowledge to ensure cor</w:t>
            </w:r>
            <w:r w:rsidRPr="004F0A30">
              <w:t>rect interpretation and application.</w:t>
            </w:r>
          </w:p>
          <w:p w:rsidR="00000000" w:rsidRPr="004F0A30" w:rsidP="004F0A30">
            <w:pPr>
              <w:pStyle w:val="BodyText"/>
            </w:pPr>
            <w:r w:rsidRPr="004F0A30">
              <w:t>Assessment may be applied under project-related conditions (real or simulated) and require evidence of process.</w:t>
            </w:r>
          </w:p>
          <w:p w:rsidR="00000000" w:rsidRPr="004F0A30" w:rsidP="004F0A30">
            <w:pPr>
              <w:pStyle w:val="BodyText"/>
            </w:pPr>
            <w:r w:rsidRPr="004F0A30">
              <w:t>Assessment must confirm a reasonable inference that competency is able not only to be satisfied under the p</w:t>
            </w:r>
            <w:r w:rsidRPr="004F0A30">
              <w:t>articular circumstance, but is able to be transferred to other circumstances.</w:t>
            </w:r>
          </w:p>
          <w:p w:rsidR="00000000" w:rsidP="004F0A30">
            <w:pPr>
              <w:pStyle w:val="BodyText"/>
              <w:rPr>
                <w:lang w:val="en-NZ"/>
              </w:rPr>
            </w:pPr>
            <w:r w:rsidRPr="004F0A30">
              <w:t>Assessment may be in conjunction with assessment of other units of competency.</w:t>
            </w:r>
          </w:p>
        </w:tc>
      </w:tr>
      <w:tr w:rsidTr="004F0A3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A30">
            <w:pPr>
              <w:pStyle w:val="BodyText"/>
              <w:rPr>
                <w:lang w:val="en-NZ"/>
              </w:rPr>
            </w:pPr>
            <w:r w:rsidRPr="004F0A30">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A30" w:rsidP="004F0A30">
            <w:pPr>
              <w:pStyle w:val="BodyText"/>
            </w:pPr>
          </w:p>
        </w:tc>
      </w:tr>
    </w:tbl>
    <w:p w:rsidR="00000000" w:rsidRPr="004F0A30" w:rsidP="004F0A30">
      <w:pPr>
        <w:pStyle w:val="BodyText"/>
      </w:pPr>
    </w:p>
    <w:p w:rsidR="00000000" w:rsidRPr="004F0A30" w:rsidP="004F0A30">
      <w:pPr>
        <w:pStyle w:val="AllowPageBreak"/>
      </w:pPr>
    </w:p>
    <w:p w:rsidR="00000000" w:rsidRPr="004F0A30" w:rsidP="004F0A30">
      <w:pPr>
        <w:pStyle w:val="Heading1"/>
      </w:pPr>
      <w:bookmarkStart w:id="11" w:name="O_351254"/>
      <w:bookmarkEnd w:id="11"/>
      <w:r w:rsidRPr="004F0A30">
        <w:t>Range Statement</w:t>
      </w:r>
    </w:p>
    <w:tbl>
      <w:tblPr>
        <w:tblW w:w="9462" w:type="dxa"/>
        <w:tblLayout w:type="fixed"/>
        <w:tblCellMar>
          <w:left w:w="62" w:type="dxa"/>
          <w:right w:w="62" w:type="dxa"/>
        </w:tblCellMar>
        <w:tblLook w:val="0000"/>
      </w:tblPr>
      <w:tblGrid>
        <w:gridCol w:w="3800"/>
        <w:gridCol w:w="5662"/>
      </w:tblGrid>
      <w:tr w:rsidTr="004F0A30">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4F0A30">
            <w:pPr>
              <w:pStyle w:val="BodyText"/>
              <w:rPr>
                <w:lang w:val="en-NZ"/>
              </w:rPr>
            </w:pPr>
            <w:r w:rsidRPr="004F0A30">
              <w:t>The range statement relates to the unit of competency as a whole. It allows for different work environments and situations that may affect performance. Bold italicised wording, if used in the performance criteria, is detailed below. Essential operating con</w:t>
            </w:r>
            <w:r w:rsidRPr="004F0A30">
              <w:t>ditions that may be present with training and assessment (depending on the work situation, needs of the candidate, accessibility of the item, and local industry and regional contexts) may also be included.</w:t>
            </w:r>
          </w:p>
        </w:tc>
      </w:tr>
      <w:tr w:rsidTr="004F0A3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A30">
            <w:pPr>
              <w:pStyle w:val="BodyText"/>
              <w:rPr>
                <w:lang w:val="en-NZ"/>
              </w:rPr>
            </w:pPr>
            <w:r w:rsidRPr="004F0A30">
              <w:rPr>
                <w:rStyle w:val="BoldandItalics"/>
              </w:rPr>
              <w:t>Glass and glazing assessment</w:t>
            </w:r>
            <w:r w:rsidRPr="004F0A30">
              <w:rPr>
                <w:rStyle w:val="SpecialBold"/>
              </w:rPr>
              <w:t xml:space="preserve"> 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A30" w:rsidP="004F0A30">
            <w:pPr>
              <w:pStyle w:val="ListBullet"/>
            </w:pPr>
            <w:r w:rsidRPr="004F0A30">
              <w:t>the asse</w:t>
            </w:r>
            <w:r w:rsidRPr="004F0A30">
              <w:t>ssment required for all glass and glazing tasks. It may be a formal and documented process or an informal on-the-job assessment of a situation/requirement</w:t>
            </w:r>
          </w:p>
          <w:p w:rsidR="00000000" w:rsidRPr="004F0A30" w:rsidP="004F0A30">
            <w:pPr>
              <w:pStyle w:val="ListBullet"/>
            </w:pPr>
            <w:r w:rsidRPr="004F0A30">
              <w:t>compliance with:</w:t>
            </w:r>
          </w:p>
          <w:p w:rsidR="00000000" w:rsidRPr="004F0A30" w:rsidP="004F0A30">
            <w:pPr>
              <w:pStyle w:val="ListBullet2"/>
            </w:pPr>
            <w:r w:rsidRPr="004F0A30">
              <w:t>AS 1288 Glass and glazing in buildings - Selection and installation</w:t>
            </w:r>
          </w:p>
          <w:p w:rsidR="00000000" w:rsidRPr="004F0A30" w:rsidP="004F0A30">
            <w:pPr>
              <w:pStyle w:val="ListBullet2"/>
            </w:pPr>
            <w:r w:rsidRPr="004F0A30">
              <w:t xml:space="preserve">AS/NZS 2208:1996 Safety glazing materials in buildings </w:t>
            </w:r>
          </w:p>
          <w:p w:rsidR="00000000" w:rsidRPr="004F0A30" w:rsidP="004F0A30">
            <w:pPr>
              <w:pStyle w:val="ListBullet"/>
            </w:pPr>
            <w:r w:rsidRPr="004F0A30">
              <w:t>factors which may influence the assessment, such as:</w:t>
            </w:r>
          </w:p>
          <w:p w:rsidR="00000000" w:rsidRPr="004F0A30" w:rsidP="004F0A30">
            <w:pPr>
              <w:pStyle w:val="ListBullet2"/>
            </w:pPr>
            <w:r w:rsidRPr="004F0A30">
              <w:t xml:space="preserve">wind loading considerations </w:t>
            </w:r>
          </w:p>
          <w:p w:rsidR="00000000" w:rsidP="004F0A30">
            <w:pPr>
              <w:pStyle w:val="ListBullet2"/>
              <w:rPr>
                <w:lang w:val="en-NZ"/>
              </w:rPr>
            </w:pPr>
            <w:r w:rsidRPr="004F0A30">
              <w:t xml:space="preserve">human impact considerations </w:t>
            </w:r>
          </w:p>
        </w:tc>
      </w:tr>
      <w:tr w:rsidTr="004F0A30">
        <w:tblPrEx>
          <w:tblW w:w="9462" w:type="dxa"/>
          <w:tblLayout w:type="fixed"/>
          <w:tblCellMar>
            <w:left w:w="62" w:type="dxa"/>
            <w:right w:w="62" w:type="dxa"/>
          </w:tblCellMar>
          <w:tblLook w:val="0000"/>
        </w:tblPrEx>
        <w:trPr>
          <w:trHeight w:val="1687"/>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A30">
            <w:pPr>
              <w:pStyle w:val="BodyText"/>
              <w:rPr>
                <w:lang w:val="en-NZ"/>
              </w:rPr>
            </w:pPr>
            <w:r w:rsidRPr="004F0A30">
              <w:rPr>
                <w:rStyle w:val="BoldandItalics"/>
              </w:rPr>
              <w:t>Tools and equipment</w:t>
            </w:r>
            <w:r w:rsidRPr="004F0A30">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A30" w:rsidP="004F0A30">
            <w:pPr>
              <w:pStyle w:val="ListBullet"/>
            </w:pPr>
            <w:r w:rsidRPr="004F0A30">
              <w:t>tape measures</w:t>
            </w:r>
          </w:p>
          <w:p w:rsidR="00000000" w:rsidRPr="004F0A30" w:rsidP="004F0A30">
            <w:pPr>
              <w:pStyle w:val="ListBullet"/>
            </w:pPr>
            <w:r w:rsidRPr="004F0A30">
              <w:t>calculators</w:t>
            </w:r>
          </w:p>
          <w:p w:rsidR="00000000" w:rsidRPr="004F0A30" w:rsidP="004F0A30">
            <w:pPr>
              <w:pStyle w:val="ListBullet"/>
            </w:pPr>
            <w:r w:rsidRPr="004F0A30">
              <w:t>glass thickness and glazing material indicators</w:t>
            </w:r>
          </w:p>
          <w:p w:rsidR="00000000" w:rsidRPr="004F0A30" w:rsidP="004F0A30">
            <w:pPr>
              <w:pStyle w:val="ListBullet"/>
            </w:pPr>
            <w:r w:rsidRPr="004F0A30">
              <w:t>product data and samples</w:t>
            </w:r>
          </w:p>
          <w:p w:rsidR="00000000" w:rsidRPr="004F0A30" w:rsidP="004F0A30">
            <w:pPr>
              <w:pStyle w:val="ListBullet"/>
            </w:pPr>
            <w:r w:rsidRPr="004F0A30">
              <w:t>relevant standards/codes</w:t>
            </w:r>
          </w:p>
          <w:p w:rsidR="00000000" w:rsidP="004F0A30">
            <w:pPr>
              <w:pStyle w:val="ListBullet"/>
              <w:rPr>
                <w:lang w:val="en-NZ"/>
              </w:rPr>
            </w:pPr>
            <w:r w:rsidRPr="004F0A30">
              <w:t>stationery and calculator</w:t>
            </w:r>
          </w:p>
        </w:tc>
      </w:tr>
      <w:tr w:rsidTr="004F0A3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A30">
            <w:pPr>
              <w:pStyle w:val="BodyText"/>
              <w:rPr>
                <w:lang w:val="en-NZ"/>
              </w:rPr>
            </w:pPr>
            <w:r w:rsidRPr="004F0A30">
              <w:rPr>
                <w:rStyle w:val="BoldandItalics"/>
              </w:rPr>
              <w:t>Workplace procedures</w:t>
            </w:r>
            <w:r w:rsidRPr="004F0A30">
              <w:rPr>
                <w:rStyle w:val="SpecialBold"/>
              </w:rPr>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A30" w:rsidP="004F0A30">
            <w:pPr>
              <w:pStyle w:val="ListBullet"/>
            </w:pPr>
            <w:r w:rsidRPr="004F0A30">
              <w:t>work procedures/instructions relating to assessment of glass and glazing requirements</w:t>
            </w:r>
          </w:p>
          <w:p w:rsidR="00000000" w:rsidRPr="004F0A30" w:rsidP="004F0A30">
            <w:pPr>
              <w:pStyle w:val="ListBullet"/>
            </w:pPr>
            <w:r w:rsidRPr="004F0A30">
              <w:t>regulatory/leg</w:t>
            </w:r>
            <w:r w:rsidRPr="004F0A30">
              <w:t>islative requirements, particularly those pertaining to building codes, OHS and environmental requirements</w:t>
            </w:r>
          </w:p>
          <w:p w:rsidR="00000000" w:rsidRPr="004F0A30" w:rsidP="004F0A30">
            <w:pPr>
              <w:pStyle w:val="ListBullet"/>
            </w:pPr>
            <w:r w:rsidRPr="004F0A30">
              <w:t>manufacturer specifications and instructions, particularly those pertaining to new products/developments</w:t>
            </w:r>
          </w:p>
          <w:p w:rsidR="00000000" w:rsidRPr="004F0A30" w:rsidP="004F0A30">
            <w:pPr>
              <w:pStyle w:val="ListBullet"/>
            </w:pPr>
            <w:r w:rsidRPr="004F0A30">
              <w:t>organisation work specifications and require</w:t>
            </w:r>
            <w:r w:rsidRPr="004F0A30">
              <w:t>ments</w:t>
            </w:r>
          </w:p>
          <w:p w:rsidR="00000000" w:rsidRPr="004F0A30" w:rsidP="004F0A30">
            <w:pPr>
              <w:pStyle w:val="ListBullet"/>
            </w:pPr>
            <w:r w:rsidRPr="004F0A30">
              <w:t>authorised organisational or external personnel</w:t>
            </w:r>
          </w:p>
        </w:tc>
      </w:tr>
    </w:tbl>
    <w:p w:rsidR="00000000" w:rsidRPr="004F0A30" w:rsidP="004F0A30">
      <w:pPr>
        <w:pStyle w:val="BodyText"/>
      </w:pPr>
    </w:p>
    <w:p w:rsidR="00000000" w:rsidRPr="004F0A30" w:rsidP="004F0A30">
      <w:pPr>
        <w:pStyle w:val="AllowPageBreak"/>
      </w:pPr>
    </w:p>
    <w:p w:rsidR="00000000" w:rsidRPr="004F0A30" w:rsidP="004F0A30">
      <w:pPr>
        <w:pStyle w:val="Heading1"/>
      </w:pPr>
      <w:bookmarkStart w:id="12" w:name="O_351255"/>
      <w:bookmarkEnd w:id="12"/>
      <w:r w:rsidRPr="004F0A30">
        <w:t>Unit Sector(s)</w:t>
      </w:r>
    </w:p>
    <w:p w:rsidR="00000000" w:rsidRPr="004F0A30" w:rsidP="004F0A30">
      <w:pPr>
        <w:pStyle w:val="BodyText"/>
      </w:pPr>
      <w:r w:rsidRPr="004F0A30">
        <w:t>Glass and glazing</w:t>
      </w:r>
    </w:p>
    <w:p w:rsidR="00000000" w:rsidRPr="004F0A30" w:rsidP="004F0A30">
      <w:pPr>
        <w:pStyle w:val="AllowPageBreak"/>
      </w:pPr>
    </w:p>
    <w:p w:rsidR="00000000" w:rsidRPr="004F0A30" w:rsidP="004F0A30">
      <w:pPr>
        <w:pStyle w:val="Heading1"/>
      </w:pPr>
      <w:bookmarkStart w:id="13" w:name="O_351256"/>
      <w:bookmarkEnd w:id="13"/>
      <w:r w:rsidRPr="004F0A30">
        <w:t>Custom Content Section</w:t>
      </w:r>
    </w:p>
    <w:p w:rsidR="00000000" w:rsidRPr="004F0A30" w:rsidP="004F0A30">
      <w:pPr>
        <w:pStyle w:val="BodyText"/>
      </w:pPr>
      <w:r w:rsidRPr="004F0A30">
        <w:t>Not applicable.</w:t>
      </w:r>
    </w:p>
    <w:p w:rsidR="00000000" w:rsidRPr="004F0A30" w:rsidP="004F0A30"/>
    <w:sectPr w:rsidSect="004F0A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A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3E43" w:rsidP="00D43E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A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E43" w:rsidP="004F0A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43E43" w:rsidP="004F0A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43E43" w:rsidP="004F0A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A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3E43" w:rsidP="00D43E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A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E43" w:rsidP="004F0A30">
    <w:pPr>
      <w:pStyle w:val="Header"/>
      <w:framePr w:wrap="around"/>
    </w:pPr>
    <w:r>
      <w:fldChar w:fldCharType="begin"/>
    </w:r>
    <w:r>
      <w:instrText xml:space="preserve"> TITLE   \* MERGEFORMAT </w:instrText>
    </w:r>
    <w:r>
      <w:fldChar w:fldCharType="separate"/>
    </w:r>
    <w:r>
      <w:t>LMFGG3002C Assess glass and glazing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3E43" w:rsidP="004F0A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6410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1029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E2F8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A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0A30"/>
    <w:pPr>
      <w:spacing w:before="360" w:after="60"/>
      <w:outlineLvl w:val="0"/>
    </w:pPr>
    <w:rPr>
      <w:sz w:val="32"/>
    </w:rPr>
  </w:style>
  <w:style w:type="paragraph" w:styleId="Heading2">
    <w:name w:val="heading 2"/>
    <w:basedOn w:val="HeadingBase"/>
    <w:next w:val="BodyText"/>
    <w:link w:val="Heading2Char"/>
    <w:qFormat/>
    <w:rsid w:val="004F0A30"/>
    <w:pPr>
      <w:keepLines/>
      <w:spacing w:before="240" w:after="120"/>
      <w:outlineLvl w:val="1"/>
    </w:pPr>
    <w:rPr>
      <w:sz w:val="28"/>
      <w:szCs w:val="40"/>
    </w:rPr>
  </w:style>
  <w:style w:type="paragraph" w:styleId="Heading3">
    <w:name w:val="heading 3"/>
    <w:basedOn w:val="HeadingBase"/>
    <w:next w:val="BodyText"/>
    <w:link w:val="Heading3Char"/>
    <w:qFormat/>
    <w:rsid w:val="004F0A30"/>
    <w:pPr>
      <w:spacing w:before="180" w:after="120"/>
      <w:outlineLvl w:val="2"/>
    </w:pPr>
    <w:rPr>
      <w:spacing w:val="-10"/>
      <w:kern w:val="32"/>
    </w:rPr>
  </w:style>
  <w:style w:type="paragraph" w:styleId="Heading4">
    <w:name w:val="heading 4"/>
    <w:basedOn w:val="HeadingBase"/>
    <w:next w:val="BodyText"/>
    <w:link w:val="Heading4Char"/>
    <w:qFormat/>
    <w:rsid w:val="004F0A30"/>
    <w:pPr>
      <w:spacing w:before="160" w:after="120"/>
      <w:outlineLvl w:val="3"/>
    </w:pPr>
    <w:rPr>
      <w:sz w:val="22"/>
    </w:rPr>
  </w:style>
  <w:style w:type="paragraph" w:styleId="Heading5">
    <w:name w:val="heading 5"/>
    <w:basedOn w:val="HeadingBase"/>
    <w:next w:val="Normal"/>
    <w:link w:val="Heading5Char"/>
    <w:qFormat/>
    <w:rsid w:val="004F0A30"/>
    <w:pPr>
      <w:spacing w:before="80"/>
      <w:outlineLvl w:val="4"/>
    </w:pPr>
    <w:rPr>
      <w:color w:val="918585"/>
      <w:sz w:val="20"/>
    </w:rPr>
  </w:style>
  <w:style w:type="paragraph" w:styleId="Heading6">
    <w:name w:val="heading 6"/>
    <w:basedOn w:val="HeadingBase"/>
    <w:next w:val="Normal"/>
    <w:link w:val="Heading6Char"/>
    <w:qFormat/>
    <w:rsid w:val="004F0A30"/>
    <w:pPr>
      <w:spacing w:before="60"/>
      <w:outlineLvl w:val="5"/>
    </w:pPr>
    <w:rPr>
      <w:color w:val="918585"/>
      <w:sz w:val="20"/>
    </w:rPr>
  </w:style>
  <w:style w:type="paragraph" w:styleId="Heading7">
    <w:name w:val="heading 7"/>
    <w:basedOn w:val="Normal"/>
    <w:next w:val="Normal"/>
    <w:link w:val="Heading7Char"/>
    <w:qFormat/>
    <w:rsid w:val="004F0A30"/>
    <w:pPr>
      <w:ind w:left="720"/>
      <w:outlineLvl w:val="6"/>
    </w:pPr>
    <w:rPr>
      <w:i/>
    </w:rPr>
  </w:style>
  <w:style w:type="paragraph" w:styleId="Heading8">
    <w:name w:val="heading 8"/>
    <w:basedOn w:val="Normal"/>
    <w:next w:val="Normal"/>
    <w:link w:val="Heading8Char"/>
    <w:qFormat/>
    <w:rsid w:val="004F0A30"/>
    <w:pPr>
      <w:ind w:left="720"/>
      <w:outlineLvl w:val="7"/>
    </w:pPr>
    <w:rPr>
      <w:i/>
    </w:rPr>
  </w:style>
  <w:style w:type="paragraph" w:styleId="Heading9">
    <w:name w:val="heading 9"/>
    <w:basedOn w:val="Normal"/>
    <w:next w:val="Normal"/>
    <w:link w:val="Heading9Char"/>
    <w:qFormat/>
    <w:rsid w:val="004F0A30"/>
    <w:pPr>
      <w:ind w:left="720"/>
      <w:outlineLvl w:val="8"/>
    </w:pPr>
    <w:rPr>
      <w:i/>
    </w:rPr>
  </w:style>
  <w:style w:type="character" w:default="1" w:styleId="DefaultParagraphFont">
    <w:name w:val="Default Paragraph Font"/>
    <w:uiPriority w:val="1"/>
    <w:unhideWhenUsed/>
    <w:rsid w:val="004F0A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0A30"/>
  </w:style>
  <w:style w:type="character" w:customStyle="1" w:styleId="Heading1Char">
    <w:name w:val="Heading 1 Char"/>
    <w:basedOn w:val="DefaultParagraphFont"/>
    <w:link w:val="Heading1"/>
    <w:rsid w:val="004F0A30"/>
    <w:rPr>
      <w:rFonts w:ascii="Times New Roman" w:eastAsia="Times New Roman" w:hAnsi="Times New Roman" w:cs="Times New Roman"/>
      <w:b/>
      <w:sz w:val="32"/>
      <w:szCs w:val="20"/>
      <w:lang w:eastAsia="en-US"/>
    </w:rPr>
  </w:style>
  <w:style w:type="paragraph" w:styleId="BodyText">
    <w:name w:val="Body Text"/>
    <w:basedOn w:val="Normal"/>
    <w:link w:val="BodyTextChar"/>
    <w:rsid w:val="004F0A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0A30"/>
    <w:rPr>
      <w:rFonts w:ascii="Times New Roman" w:eastAsia="Times New Roman" w:hAnsi="Times New Roman" w:cs="Times New Roman"/>
      <w:sz w:val="24"/>
      <w:lang w:val="en-US" w:eastAsia="en-US"/>
    </w:rPr>
  </w:style>
  <w:style w:type="paragraph" w:styleId="Footer">
    <w:name w:val="footer"/>
    <w:basedOn w:val="Normal"/>
    <w:link w:val="FooterChar"/>
    <w:rsid w:val="004F0A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0A30"/>
    <w:rPr>
      <w:rFonts w:ascii="Times New Roman" w:eastAsia="Times New Roman" w:hAnsi="Times New Roman" w:cs="Times New Roman"/>
      <w:sz w:val="16"/>
      <w:lang w:val="en-US" w:eastAsia="en-US"/>
    </w:rPr>
  </w:style>
  <w:style w:type="paragraph" w:styleId="ListBullet">
    <w:name w:val="List Bullet"/>
    <w:basedOn w:val="List"/>
    <w:rsid w:val="004F0A30"/>
    <w:pPr>
      <w:numPr>
        <w:numId w:val="13"/>
      </w:numPr>
      <w:tabs>
        <w:tab w:val="clear" w:pos="340"/>
      </w:tabs>
      <w:spacing w:before="40" w:after="40"/>
    </w:pPr>
  </w:style>
  <w:style w:type="character" w:customStyle="1" w:styleId="SpecialBold">
    <w:name w:val="Special Bold"/>
    <w:basedOn w:val="DefaultParagraphFont"/>
    <w:rsid w:val="004F0A30"/>
    <w:rPr>
      <w:b/>
      <w:spacing w:val="0"/>
    </w:rPr>
  </w:style>
  <w:style w:type="paragraph" w:styleId="ListBullet2">
    <w:name w:val="List Bullet 2"/>
    <w:basedOn w:val="List2"/>
    <w:rsid w:val="004F0A30"/>
    <w:pPr>
      <w:numPr>
        <w:numId w:val="14"/>
      </w:numPr>
      <w:tabs>
        <w:tab w:val="clear" w:pos="680"/>
      </w:tabs>
    </w:pPr>
  </w:style>
  <w:style w:type="paragraph" w:styleId="Header">
    <w:name w:val="header"/>
    <w:basedOn w:val="Normal"/>
    <w:link w:val="HeaderChar"/>
    <w:rsid w:val="004F0A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0A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0A30"/>
    <w:pPr>
      <w:spacing w:before="240" w:after="120"/>
      <w:outlineLvl w:val="0"/>
    </w:pPr>
    <w:rPr>
      <w:rFonts w:ascii="Times New Roman" w:hAnsi="Times New Roman"/>
      <w:b/>
      <w:sz w:val="28"/>
    </w:rPr>
  </w:style>
  <w:style w:type="paragraph" w:customStyle="1" w:styleId="AllowPageBreak">
    <w:name w:val="AllowPageBreak"/>
    <w:rsid w:val="004F0A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0A30"/>
    <w:rPr>
      <w:b/>
      <w:i/>
      <w:u w:val="none"/>
    </w:rPr>
  </w:style>
  <w:style w:type="character" w:customStyle="1" w:styleId="Heading2Char">
    <w:name w:val="Heading 2 Char"/>
    <w:basedOn w:val="DefaultParagraphFont"/>
    <w:link w:val="Heading2"/>
    <w:rsid w:val="004F0A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0A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0A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0A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0A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0A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0A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0A30"/>
    <w:rPr>
      <w:rFonts w:ascii="Courier New" w:eastAsia="Times New Roman" w:hAnsi="Courier New" w:cs="Times New Roman"/>
      <w:i/>
      <w:szCs w:val="20"/>
      <w:lang w:val="en-US" w:eastAsia="en-US"/>
    </w:rPr>
  </w:style>
  <w:style w:type="paragraph" w:customStyle="1" w:styleId="HeadingBase">
    <w:name w:val="Heading Base"/>
    <w:rsid w:val="004F0A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0A30"/>
    <w:pPr>
      <w:tabs>
        <w:tab w:val="right" w:leader="dot" w:pos="9072"/>
      </w:tabs>
      <w:ind w:left="567"/>
    </w:pPr>
    <w:rPr>
      <w:szCs w:val="22"/>
    </w:rPr>
  </w:style>
  <w:style w:type="paragraph" w:customStyle="1" w:styleId="TOCBase">
    <w:name w:val="TOC Base"/>
    <w:rsid w:val="004F0A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0A30"/>
    <w:pPr>
      <w:tabs>
        <w:tab w:val="right" w:leader="dot" w:pos="9072"/>
      </w:tabs>
      <w:spacing w:before="40" w:after="40"/>
      <w:ind w:left="284"/>
    </w:pPr>
    <w:rPr>
      <w:rFonts w:ascii="Times New Roman" w:hAnsi="Times New Roman"/>
    </w:rPr>
  </w:style>
  <w:style w:type="paragraph" w:styleId="TOC1">
    <w:name w:val="toc 1"/>
    <w:basedOn w:val="TOCBase"/>
    <w:next w:val="Normal"/>
    <w:rsid w:val="004F0A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0A30"/>
    <w:pPr>
      <w:spacing w:before="5040"/>
      <w:jc w:val="center"/>
    </w:pPr>
    <w:rPr>
      <w:sz w:val="48"/>
      <w:szCs w:val="72"/>
      <w:lang w:val="en-US"/>
    </w:rPr>
  </w:style>
  <w:style w:type="character" w:customStyle="1" w:styleId="TitleChar">
    <w:name w:val="Title Char"/>
    <w:basedOn w:val="DefaultParagraphFont"/>
    <w:link w:val="Title"/>
    <w:rsid w:val="004F0A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0A30"/>
    <w:pPr>
      <w:tabs>
        <w:tab w:val="left" w:pos="3600"/>
        <w:tab w:val="left" w:pos="3958"/>
      </w:tabs>
    </w:pPr>
  </w:style>
  <w:style w:type="paragraph" w:styleId="List">
    <w:name w:val="List"/>
    <w:basedOn w:val="BodyText"/>
    <w:next w:val="BodyText"/>
    <w:rsid w:val="004F0A30"/>
    <w:pPr>
      <w:tabs>
        <w:tab w:val="left" w:pos="340"/>
      </w:tabs>
      <w:spacing w:before="60" w:after="60"/>
      <w:ind w:left="340" w:hanging="340"/>
    </w:pPr>
  </w:style>
  <w:style w:type="paragraph" w:customStyle="1" w:styleId="Note">
    <w:name w:val="Note"/>
    <w:basedOn w:val="BodyText"/>
    <w:rsid w:val="004F0A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0A30"/>
    <w:pPr>
      <w:framePr w:wrap="auto" w:hAnchor="text" w:y="6049"/>
    </w:pPr>
    <w:rPr>
      <w:color w:val="000000"/>
      <w:sz w:val="40"/>
    </w:rPr>
  </w:style>
  <w:style w:type="paragraph" w:customStyle="1" w:styleId="TOCTitle">
    <w:name w:val="TOCTitle"/>
    <w:basedOn w:val="Heading1"/>
    <w:rsid w:val="004F0A30"/>
    <w:pPr>
      <w:spacing w:after="240"/>
      <w:jc w:val="center"/>
      <w:outlineLvl w:val="9"/>
    </w:pPr>
    <w:rPr>
      <w:caps/>
    </w:rPr>
  </w:style>
  <w:style w:type="paragraph" w:customStyle="1" w:styleId="Version">
    <w:name w:val="Version"/>
    <w:rsid w:val="004F0A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0A30"/>
    <w:pPr>
      <w:keepNext w:val="0"/>
      <w:tabs>
        <w:tab w:val="right" w:pos="4176"/>
      </w:tabs>
      <w:ind w:left="198" w:hanging="198"/>
    </w:pPr>
    <w:rPr>
      <w:rFonts w:ascii="Garamond" w:hAnsi="Garamond"/>
    </w:rPr>
  </w:style>
  <w:style w:type="paragraph" w:styleId="IndexHeading">
    <w:name w:val="index heading"/>
    <w:basedOn w:val="Normal"/>
    <w:next w:val="Index1"/>
    <w:semiHidden/>
    <w:rsid w:val="004F0A30"/>
    <w:pPr>
      <w:spacing w:before="120" w:after="120"/>
    </w:pPr>
    <w:rPr>
      <w:rFonts w:ascii="Arial" w:hAnsi="Arial"/>
      <w:b/>
      <w:color w:val="918585"/>
      <w:sz w:val="24"/>
    </w:rPr>
  </w:style>
  <w:style w:type="paragraph" w:customStyle="1" w:styleId="Chapter">
    <w:name w:val="Chapter"/>
    <w:basedOn w:val="Normal"/>
    <w:rsid w:val="004F0A30"/>
    <w:pPr>
      <w:spacing w:before="240"/>
    </w:pPr>
    <w:rPr>
      <w:rFonts w:ascii="Times New Roman" w:hAnsi="Times New Roman"/>
      <w:smallCaps/>
      <w:spacing w:val="80"/>
      <w:sz w:val="28"/>
    </w:rPr>
  </w:style>
  <w:style w:type="paragraph" w:customStyle="1" w:styleId="InChapter">
    <w:name w:val="InChapter"/>
    <w:basedOn w:val="Heading3"/>
    <w:rsid w:val="004F0A30"/>
    <w:pPr>
      <w:spacing w:after="240"/>
      <w:outlineLvl w:val="9"/>
    </w:pPr>
    <w:rPr>
      <w:noProof/>
    </w:rPr>
  </w:style>
  <w:style w:type="paragraph" w:styleId="Index2">
    <w:name w:val="index 2"/>
    <w:basedOn w:val="Normal"/>
    <w:next w:val="Normal"/>
    <w:semiHidden/>
    <w:rsid w:val="004F0A30"/>
    <w:pPr>
      <w:tabs>
        <w:tab w:val="right" w:pos="4176"/>
      </w:tabs>
      <w:ind w:left="568" w:hanging="284"/>
    </w:pPr>
    <w:rPr>
      <w:rFonts w:ascii="Garamond" w:hAnsi="Garamond"/>
    </w:rPr>
  </w:style>
  <w:style w:type="paragraph" w:customStyle="1" w:styleId="Byline">
    <w:name w:val="Byline"/>
    <w:rsid w:val="004F0A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0A30"/>
    <w:pPr>
      <w:tabs>
        <w:tab w:val="clear" w:pos="3600"/>
        <w:tab w:val="clear" w:pos="3958"/>
      </w:tabs>
      <w:jc w:val="right"/>
    </w:pPr>
  </w:style>
  <w:style w:type="character" w:styleId="Emphasis">
    <w:name w:val="Emphasis"/>
    <w:basedOn w:val="DefaultParagraphFont"/>
    <w:qFormat/>
    <w:rsid w:val="004F0A30"/>
    <w:rPr>
      <w:i/>
    </w:rPr>
  </w:style>
  <w:style w:type="paragraph" w:styleId="Caption">
    <w:name w:val="caption"/>
    <w:basedOn w:val="BodyText"/>
    <w:next w:val="Normal"/>
    <w:qFormat/>
    <w:rsid w:val="004F0A30"/>
    <w:pPr>
      <w:framePr w:w="2268" w:hSpace="181" w:vSpace="181" w:wrap="around" w:vAnchor="text" w:hAnchor="page" w:x="1135" w:y="285" w:anchorLock="1"/>
    </w:pPr>
    <w:rPr>
      <w:i/>
    </w:rPr>
  </w:style>
  <w:style w:type="paragraph" w:customStyle="1" w:styleId="MiniTOCTitle">
    <w:name w:val="MiniTOCTitle"/>
    <w:basedOn w:val="Heading4"/>
    <w:rsid w:val="004F0A30"/>
    <w:pPr>
      <w:spacing w:before="240"/>
      <w:outlineLvl w:val="9"/>
    </w:pPr>
    <w:rPr>
      <w:noProof/>
      <w:sz w:val="24"/>
    </w:rPr>
  </w:style>
  <w:style w:type="paragraph" w:customStyle="1" w:styleId="MiniTOCItem">
    <w:name w:val="MiniTOCItem"/>
    <w:basedOn w:val="ListBullet"/>
    <w:rsid w:val="004F0A30"/>
    <w:pPr>
      <w:numPr>
        <w:numId w:val="0"/>
      </w:numPr>
      <w:tabs>
        <w:tab w:val="right" w:leader="dot" w:pos="6521"/>
      </w:tabs>
      <w:spacing w:before="0" w:after="0"/>
    </w:pPr>
  </w:style>
  <w:style w:type="paragraph" w:customStyle="1" w:styleId="TOFTitle">
    <w:name w:val="TOFTitle"/>
    <w:basedOn w:val="TOCTitle"/>
    <w:rsid w:val="004F0A30"/>
  </w:style>
  <w:style w:type="paragraph" w:styleId="TableofFigures">
    <w:name w:val="table of figures"/>
    <w:basedOn w:val="Normal"/>
    <w:next w:val="Normal"/>
    <w:semiHidden/>
    <w:rsid w:val="004F0A30"/>
    <w:pPr>
      <w:tabs>
        <w:tab w:val="right" w:leader="dot" w:pos="9072"/>
      </w:tabs>
      <w:ind w:left="970" w:hanging="403"/>
    </w:pPr>
    <w:rPr>
      <w:rFonts w:ascii="Times New Roman" w:hAnsi="Times New Roman"/>
      <w:b/>
    </w:rPr>
  </w:style>
  <w:style w:type="paragraph" w:styleId="ListNumber">
    <w:name w:val="List Number"/>
    <w:basedOn w:val="List"/>
    <w:rsid w:val="004F0A30"/>
    <w:pPr>
      <w:numPr>
        <w:numId w:val="11"/>
      </w:numPr>
    </w:pPr>
  </w:style>
  <w:style w:type="character" w:customStyle="1" w:styleId="WingdingSymbols">
    <w:name w:val="Wingding Symbols"/>
    <w:rsid w:val="004F0A30"/>
    <w:rPr>
      <w:rFonts w:ascii="Wingdings" w:hAnsi="Wingdings"/>
    </w:rPr>
  </w:style>
  <w:style w:type="paragraph" w:customStyle="1" w:styleId="TableHeading">
    <w:name w:val="Table Heading"/>
    <w:basedOn w:val="HeadingBase"/>
    <w:rsid w:val="004F0A30"/>
    <w:pPr>
      <w:keepLines/>
      <w:pBdr>
        <w:bottom w:val="single" w:sz="6" w:space="1" w:color="918585"/>
      </w:pBdr>
      <w:spacing w:before="240"/>
    </w:pPr>
  </w:style>
  <w:style w:type="character" w:customStyle="1" w:styleId="HotSpot">
    <w:name w:val="HotSpot"/>
    <w:rsid w:val="004F0A30"/>
    <w:rPr>
      <w:color w:val="0033CC"/>
      <w:u w:val="none"/>
    </w:rPr>
  </w:style>
  <w:style w:type="paragraph" w:customStyle="1" w:styleId="BodyTextRight">
    <w:name w:val="Body Text Right"/>
    <w:basedOn w:val="BodyText"/>
    <w:rsid w:val="004F0A30"/>
    <w:pPr>
      <w:spacing w:before="0" w:after="0"/>
      <w:jc w:val="right"/>
    </w:pPr>
  </w:style>
  <w:style w:type="paragraph" w:styleId="Index3">
    <w:name w:val="index 3"/>
    <w:basedOn w:val="ListNumber2"/>
    <w:next w:val="Normal"/>
    <w:semiHidden/>
    <w:rsid w:val="004F0A30"/>
    <w:pPr>
      <w:numPr>
        <w:numId w:val="0"/>
      </w:numPr>
      <w:tabs>
        <w:tab w:val="right" w:leader="dot" w:pos="4176"/>
      </w:tabs>
    </w:pPr>
  </w:style>
  <w:style w:type="paragraph" w:styleId="ListNumber2">
    <w:name w:val="List Number 2"/>
    <w:basedOn w:val="List2"/>
    <w:rsid w:val="004F0A30"/>
    <w:pPr>
      <w:numPr>
        <w:numId w:val="10"/>
      </w:numPr>
      <w:tabs>
        <w:tab w:val="clear" w:pos="1060"/>
      </w:tabs>
    </w:pPr>
  </w:style>
  <w:style w:type="paragraph" w:customStyle="1" w:styleId="MarginNote">
    <w:name w:val="Margin Note"/>
    <w:basedOn w:val="BodyText"/>
    <w:rsid w:val="004F0A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0A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0A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0A30"/>
    <w:rPr>
      <w:sz w:val="32"/>
    </w:rPr>
  </w:style>
  <w:style w:type="paragraph" w:customStyle="1" w:styleId="HeadingProcedure">
    <w:name w:val="Heading Procedure"/>
    <w:basedOn w:val="HeadingBase"/>
    <w:next w:val="Normal"/>
    <w:rsid w:val="004F0A30"/>
    <w:pPr>
      <w:tabs>
        <w:tab w:val="left" w:pos="0"/>
      </w:tabs>
      <w:spacing w:before="120" w:after="60"/>
    </w:pPr>
    <w:rPr>
      <w:i/>
      <w:color w:val="918585"/>
      <w:sz w:val="22"/>
    </w:rPr>
  </w:style>
  <w:style w:type="paragraph" w:customStyle="1" w:styleId="TableBodyText">
    <w:name w:val="Table Body Text"/>
    <w:basedOn w:val="BodyText"/>
    <w:rsid w:val="004F0A30"/>
    <w:pPr>
      <w:spacing w:before="60" w:after="60"/>
    </w:pPr>
  </w:style>
  <w:style w:type="paragraph" w:styleId="ListContinue">
    <w:name w:val="List Continue"/>
    <w:basedOn w:val="List"/>
    <w:rsid w:val="004F0A30"/>
    <w:pPr>
      <w:ind w:firstLine="0"/>
    </w:pPr>
  </w:style>
  <w:style w:type="paragraph" w:customStyle="1" w:styleId="ListNote">
    <w:name w:val="List Note"/>
    <w:basedOn w:val="List"/>
    <w:rsid w:val="004F0A30"/>
    <w:pPr>
      <w:pBdr>
        <w:top w:val="single" w:sz="6" w:space="2" w:color="918585"/>
        <w:bottom w:val="single" w:sz="6" w:space="2" w:color="918585"/>
      </w:pBdr>
      <w:tabs>
        <w:tab w:val="left" w:pos="1021"/>
      </w:tabs>
      <w:ind w:firstLine="0"/>
    </w:pPr>
  </w:style>
  <w:style w:type="paragraph" w:customStyle="1" w:styleId="Warning">
    <w:name w:val="Warning"/>
    <w:basedOn w:val="BodyText"/>
    <w:rsid w:val="004F0A30"/>
    <w:pPr>
      <w:shd w:val="clear" w:color="auto" w:fill="D9D9D9"/>
      <w:tabs>
        <w:tab w:val="left" w:pos="992"/>
      </w:tabs>
      <w:ind w:left="119" w:right="119"/>
    </w:pPr>
    <w:rPr>
      <w:sz w:val="20"/>
    </w:rPr>
  </w:style>
  <w:style w:type="paragraph" w:customStyle="1" w:styleId="MarginIcons">
    <w:name w:val="Margin Icons"/>
    <w:basedOn w:val="BodyText"/>
    <w:rsid w:val="004F0A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0A30"/>
    <w:rPr>
      <w:rFonts w:ascii="Courier New" w:hAnsi="Courier New"/>
    </w:rPr>
  </w:style>
  <w:style w:type="paragraph" w:customStyle="1" w:styleId="NoteBullet">
    <w:name w:val="Note Bullet"/>
    <w:basedOn w:val="Note"/>
    <w:rsid w:val="004F0A30"/>
    <w:pPr>
      <w:tabs>
        <w:tab w:val="clear" w:pos="680"/>
      </w:tabs>
      <w:spacing w:before="60" w:after="60"/>
    </w:pPr>
  </w:style>
  <w:style w:type="paragraph" w:customStyle="1" w:styleId="SubHeading2">
    <w:name w:val="SubHeading2"/>
    <w:basedOn w:val="HeadingBase"/>
    <w:rsid w:val="004F0A30"/>
    <w:pPr>
      <w:spacing w:before="240" w:after="60"/>
    </w:pPr>
    <w:rPr>
      <w:sz w:val="20"/>
    </w:rPr>
  </w:style>
  <w:style w:type="paragraph" w:customStyle="1" w:styleId="SubHeading1">
    <w:name w:val="SubHeading1"/>
    <w:basedOn w:val="HeadingBase"/>
    <w:rsid w:val="004F0A30"/>
    <w:pPr>
      <w:spacing w:before="240" w:after="60"/>
    </w:pPr>
    <w:rPr>
      <w:color w:val="918585"/>
      <w:sz w:val="22"/>
    </w:rPr>
  </w:style>
  <w:style w:type="paragraph" w:customStyle="1" w:styleId="SideHeading">
    <w:name w:val="Side Heading"/>
    <w:basedOn w:val="HeadingBase"/>
    <w:rsid w:val="004F0A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0A30"/>
    <w:pPr>
      <w:numPr>
        <w:numId w:val="12"/>
      </w:numPr>
    </w:pPr>
  </w:style>
  <w:style w:type="paragraph" w:styleId="PlainText">
    <w:name w:val="Plain Text"/>
    <w:basedOn w:val="Normal"/>
    <w:link w:val="PlainTextChar"/>
    <w:rsid w:val="004F0A30"/>
    <w:rPr>
      <w:sz w:val="20"/>
    </w:rPr>
  </w:style>
  <w:style w:type="character" w:customStyle="1" w:styleId="PlainTextChar">
    <w:name w:val="Plain Text Char"/>
    <w:basedOn w:val="DefaultParagraphFont"/>
    <w:link w:val="PlainText"/>
    <w:rsid w:val="004F0A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0A30"/>
    <w:rPr>
      <w:b/>
      <w:smallCaps/>
    </w:rPr>
  </w:style>
  <w:style w:type="paragraph" w:customStyle="1" w:styleId="TableListNumber">
    <w:name w:val="Table List Number"/>
    <w:basedOn w:val="ListNumber"/>
    <w:rsid w:val="004F0A30"/>
    <w:pPr>
      <w:numPr>
        <w:numId w:val="0"/>
      </w:numPr>
    </w:pPr>
  </w:style>
  <w:style w:type="paragraph" w:styleId="TOC4">
    <w:name w:val="toc 4"/>
    <w:basedOn w:val="TOCBase"/>
    <w:next w:val="Normal"/>
    <w:semiHidden/>
    <w:rsid w:val="004F0A30"/>
    <w:pPr>
      <w:tabs>
        <w:tab w:val="right" w:leader="dot" w:pos="9071"/>
      </w:tabs>
      <w:ind w:left="1701"/>
    </w:pPr>
  </w:style>
  <w:style w:type="paragraph" w:customStyle="1" w:styleId="ListAlpha">
    <w:name w:val="List Alpha"/>
    <w:basedOn w:val="List"/>
    <w:rsid w:val="004F0A30"/>
    <w:pPr>
      <w:numPr>
        <w:numId w:val="9"/>
      </w:numPr>
    </w:pPr>
  </w:style>
  <w:style w:type="paragraph" w:customStyle="1" w:styleId="ListAlpha2">
    <w:name w:val="List Alpha 2"/>
    <w:basedOn w:val="List2"/>
    <w:rsid w:val="004F0A30"/>
    <w:pPr>
      <w:numPr>
        <w:numId w:val="8"/>
      </w:numPr>
    </w:pPr>
  </w:style>
  <w:style w:type="paragraph" w:styleId="List2">
    <w:name w:val="List 2"/>
    <w:basedOn w:val="BodyText"/>
    <w:rsid w:val="004F0A30"/>
    <w:pPr>
      <w:tabs>
        <w:tab w:val="left" w:pos="680"/>
      </w:tabs>
      <w:spacing w:before="60" w:after="60"/>
      <w:ind w:left="680" w:hanging="340"/>
    </w:pPr>
  </w:style>
  <w:style w:type="paragraph" w:styleId="List3">
    <w:name w:val="List 3"/>
    <w:basedOn w:val="BodyText"/>
    <w:rsid w:val="004F0A30"/>
    <w:pPr>
      <w:tabs>
        <w:tab w:val="left" w:pos="1021"/>
      </w:tabs>
      <w:spacing w:before="60" w:after="60"/>
      <w:ind w:left="1020" w:hanging="340"/>
    </w:pPr>
  </w:style>
  <w:style w:type="paragraph" w:styleId="List4">
    <w:name w:val="List 4"/>
    <w:basedOn w:val="BodyText"/>
    <w:rsid w:val="004F0A30"/>
    <w:pPr>
      <w:tabs>
        <w:tab w:val="left" w:pos="1361"/>
      </w:tabs>
      <w:spacing w:before="60" w:after="60"/>
      <w:ind w:left="1361" w:hanging="340"/>
    </w:pPr>
  </w:style>
  <w:style w:type="paragraph" w:styleId="List5">
    <w:name w:val="List 5"/>
    <w:basedOn w:val="BodyText"/>
    <w:rsid w:val="004F0A30"/>
    <w:pPr>
      <w:tabs>
        <w:tab w:val="left" w:pos="1701"/>
      </w:tabs>
      <w:spacing w:before="60" w:after="60"/>
      <w:ind w:left="1701" w:hanging="340"/>
    </w:pPr>
  </w:style>
  <w:style w:type="paragraph" w:styleId="ListBullet3">
    <w:name w:val="List Bullet 3"/>
    <w:basedOn w:val="List3"/>
    <w:rsid w:val="004F0A30"/>
    <w:pPr>
      <w:numPr>
        <w:numId w:val="15"/>
      </w:numPr>
      <w:tabs>
        <w:tab w:val="clear" w:pos="1021"/>
      </w:tabs>
      <w:ind w:left="1037" w:hanging="357"/>
    </w:pPr>
  </w:style>
  <w:style w:type="paragraph" w:styleId="ListBullet4">
    <w:name w:val="List Bullet 4"/>
    <w:basedOn w:val="List4"/>
    <w:rsid w:val="004F0A30"/>
    <w:pPr>
      <w:numPr>
        <w:numId w:val="3"/>
      </w:numPr>
    </w:pPr>
  </w:style>
  <w:style w:type="paragraph" w:styleId="ListBullet5">
    <w:name w:val="List Bullet 5"/>
    <w:basedOn w:val="List5"/>
    <w:rsid w:val="004F0A30"/>
    <w:pPr>
      <w:numPr>
        <w:numId w:val="4"/>
      </w:numPr>
    </w:pPr>
  </w:style>
  <w:style w:type="paragraph" w:styleId="ListContinue2">
    <w:name w:val="List Continue 2"/>
    <w:basedOn w:val="List2"/>
    <w:rsid w:val="004F0A30"/>
    <w:pPr>
      <w:ind w:firstLine="0"/>
    </w:pPr>
  </w:style>
  <w:style w:type="paragraph" w:styleId="ListContinue3">
    <w:name w:val="List Continue 3"/>
    <w:basedOn w:val="List3"/>
    <w:rsid w:val="004F0A30"/>
    <w:pPr>
      <w:ind w:left="1021" w:firstLine="0"/>
    </w:pPr>
  </w:style>
  <w:style w:type="paragraph" w:styleId="ListContinue4">
    <w:name w:val="List Continue 4"/>
    <w:basedOn w:val="List4"/>
    <w:rsid w:val="004F0A30"/>
    <w:pPr>
      <w:ind w:firstLine="0"/>
    </w:pPr>
  </w:style>
  <w:style w:type="paragraph" w:styleId="ListContinue5">
    <w:name w:val="List Continue 5"/>
    <w:basedOn w:val="List5"/>
    <w:rsid w:val="004F0A30"/>
    <w:pPr>
      <w:ind w:firstLine="0"/>
    </w:pPr>
  </w:style>
  <w:style w:type="paragraph" w:styleId="ListNumber3">
    <w:name w:val="List Number 3"/>
    <w:basedOn w:val="List3"/>
    <w:rsid w:val="004F0A30"/>
    <w:pPr>
      <w:numPr>
        <w:numId w:val="5"/>
      </w:numPr>
    </w:pPr>
  </w:style>
  <w:style w:type="paragraph" w:styleId="ListNumber4">
    <w:name w:val="List Number 4"/>
    <w:basedOn w:val="List4"/>
    <w:rsid w:val="004F0A30"/>
    <w:pPr>
      <w:numPr>
        <w:numId w:val="6"/>
      </w:numPr>
    </w:pPr>
  </w:style>
  <w:style w:type="paragraph" w:styleId="ListNumber5">
    <w:name w:val="List Number 5"/>
    <w:basedOn w:val="List5"/>
    <w:rsid w:val="004F0A30"/>
    <w:pPr>
      <w:numPr>
        <w:numId w:val="7"/>
      </w:numPr>
    </w:pPr>
  </w:style>
  <w:style w:type="paragraph" w:styleId="BlockText">
    <w:name w:val="Block Text"/>
    <w:basedOn w:val="Normal"/>
    <w:rsid w:val="004F0A30"/>
    <w:pPr>
      <w:spacing w:after="120"/>
      <w:ind w:left="1440" w:right="1440"/>
    </w:pPr>
  </w:style>
  <w:style w:type="character" w:customStyle="1" w:styleId="Subscript">
    <w:name w:val="Subscript"/>
    <w:basedOn w:val="DefaultParagraphFont"/>
    <w:rsid w:val="004F0A30"/>
    <w:rPr>
      <w:sz w:val="16"/>
      <w:vertAlign w:val="subscript"/>
    </w:rPr>
  </w:style>
  <w:style w:type="character" w:customStyle="1" w:styleId="Superscript">
    <w:name w:val="Superscript"/>
    <w:basedOn w:val="DefaultParagraphFont"/>
    <w:rsid w:val="004F0A30"/>
    <w:rPr>
      <w:sz w:val="16"/>
      <w:vertAlign w:val="superscript"/>
    </w:rPr>
  </w:style>
  <w:style w:type="character" w:customStyle="1" w:styleId="Symbols">
    <w:name w:val="Symbols"/>
    <w:basedOn w:val="DefaultParagraphFont"/>
    <w:rsid w:val="004F0A30"/>
    <w:rPr>
      <w:rFonts w:ascii="Symbol" w:hAnsi="Symbol"/>
    </w:rPr>
  </w:style>
  <w:style w:type="character" w:customStyle="1" w:styleId="MenuOptions">
    <w:name w:val="Menu Options"/>
    <w:basedOn w:val="DefaultParagraphFont"/>
    <w:rsid w:val="004F0A30"/>
    <w:rPr>
      <w:rFonts w:ascii="Arial Narrow" w:hAnsi="Arial Narrow"/>
      <w:smallCaps/>
    </w:rPr>
  </w:style>
  <w:style w:type="character" w:customStyle="1" w:styleId="Buttons">
    <w:name w:val="Buttons"/>
    <w:basedOn w:val="DefaultParagraphFont"/>
    <w:rsid w:val="004F0A30"/>
    <w:rPr>
      <w:b/>
    </w:rPr>
  </w:style>
  <w:style w:type="character" w:customStyle="1" w:styleId="Underlined">
    <w:name w:val="Underlined"/>
    <w:basedOn w:val="DefaultParagraphFont"/>
    <w:rsid w:val="004F0A30"/>
    <w:rPr>
      <w:u w:val="single"/>
    </w:rPr>
  </w:style>
  <w:style w:type="paragraph" w:customStyle="1" w:styleId="TableBodyTextRight">
    <w:name w:val="Table Body Text Right"/>
    <w:basedOn w:val="TableBodyText"/>
    <w:rsid w:val="004F0A30"/>
    <w:pPr>
      <w:widowControl w:val="0"/>
      <w:autoSpaceDE w:val="0"/>
      <w:autoSpaceDN w:val="0"/>
      <w:adjustRightInd w:val="0"/>
      <w:jc w:val="right"/>
    </w:pPr>
    <w:rPr>
      <w:rFonts w:cs="Arial"/>
      <w:szCs w:val="18"/>
    </w:rPr>
  </w:style>
  <w:style w:type="paragraph" w:customStyle="1" w:styleId="CopyrightText">
    <w:name w:val="Copyright Text"/>
    <w:basedOn w:val="BodyText"/>
    <w:rsid w:val="004F0A30"/>
    <w:rPr>
      <w:sz w:val="18"/>
    </w:rPr>
  </w:style>
  <w:style w:type="paragraph" w:customStyle="1" w:styleId="BodySmallRight">
    <w:name w:val="Body Small Right"/>
    <w:basedOn w:val="BodyTextRight"/>
    <w:rsid w:val="004F0A30"/>
    <w:rPr>
      <w:sz w:val="18"/>
      <w:szCs w:val="18"/>
    </w:rPr>
  </w:style>
  <w:style w:type="paragraph" w:customStyle="1" w:styleId="MarginEdition">
    <w:name w:val="Margin Edition"/>
    <w:basedOn w:val="MarginNote"/>
    <w:rsid w:val="004F0A30"/>
    <w:pPr>
      <w:spacing w:before="0" w:after="0"/>
    </w:pPr>
    <w:rPr>
      <w:rFonts w:ascii="Times New Roman" w:hAnsi="Times New Roman"/>
      <w:color w:val="999999"/>
    </w:rPr>
  </w:style>
  <w:style w:type="paragraph" w:customStyle="1" w:styleId="Spacer">
    <w:name w:val="Spacer"/>
    <w:basedOn w:val="Normal"/>
    <w:rsid w:val="004F0A30"/>
    <w:rPr>
      <w:sz w:val="2"/>
      <w:szCs w:val="2"/>
    </w:rPr>
  </w:style>
  <w:style w:type="character" w:customStyle="1" w:styleId="Small">
    <w:name w:val="Small"/>
    <w:basedOn w:val="DefaultParagraphFont"/>
    <w:rsid w:val="004F0A30"/>
    <w:rPr>
      <w:sz w:val="16"/>
    </w:rPr>
  </w:style>
  <w:style w:type="paragraph" w:customStyle="1" w:styleId="WideTable">
    <w:name w:val="Wide Table"/>
    <w:basedOn w:val="Normal"/>
    <w:rsid w:val="004F0A30"/>
    <w:pPr>
      <w:ind w:left="-1418"/>
    </w:pPr>
    <w:rPr>
      <w:sz w:val="2"/>
      <w:szCs w:val="2"/>
    </w:rPr>
  </w:style>
  <w:style w:type="character" w:styleId="PageNumber">
    <w:name w:val="page number"/>
    <w:basedOn w:val="DefaultParagraphFont"/>
    <w:rsid w:val="004F0A30"/>
  </w:style>
  <w:style w:type="paragraph" w:styleId="Quote">
    <w:name w:val="Quote"/>
    <w:basedOn w:val="Heading1"/>
    <w:link w:val="QuoteChar"/>
    <w:qFormat/>
    <w:rsid w:val="004F0A30"/>
    <w:rPr>
      <w:b w:val="0"/>
      <w:sz w:val="72"/>
      <w:szCs w:val="72"/>
      <w:lang w:val="en-NZ"/>
    </w:rPr>
  </w:style>
  <w:style w:type="character" w:customStyle="1" w:styleId="QuoteChar">
    <w:name w:val="Quote Char"/>
    <w:basedOn w:val="DefaultParagraphFont"/>
    <w:link w:val="Quote"/>
    <w:rsid w:val="004F0A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0A30"/>
    <w:pPr>
      <w:pageBreakBefore/>
    </w:pPr>
  </w:style>
  <w:style w:type="paragraph" w:customStyle="1" w:styleId="Border">
    <w:name w:val="Border"/>
    <w:basedOn w:val="Normal"/>
    <w:qFormat/>
    <w:rsid w:val="004F0A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0A30"/>
    <w:rPr>
      <w:b/>
      <w:bCs/>
      <w:i/>
      <w:iCs/>
      <w:color w:val="auto"/>
    </w:rPr>
  </w:style>
  <w:style w:type="paragraph" w:styleId="IntenseQuote">
    <w:name w:val="Intense Quote"/>
    <w:basedOn w:val="Normal"/>
    <w:next w:val="Normal"/>
    <w:link w:val="IntenseQuoteChar"/>
    <w:uiPriority w:val="30"/>
    <w:qFormat/>
    <w:rsid w:val="004F0A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0A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0A30"/>
    <w:rPr>
      <w:smallCaps/>
      <w:color w:val="auto"/>
      <w:u w:val="single"/>
    </w:rPr>
  </w:style>
  <w:style w:type="character" w:styleId="IntenseReference">
    <w:name w:val="Intense Reference"/>
    <w:basedOn w:val="DefaultParagraphFont"/>
    <w:uiPriority w:val="32"/>
    <w:qFormat/>
    <w:rsid w:val="004F0A30"/>
    <w:rPr>
      <w:b/>
      <w:bCs/>
      <w:smallCaps/>
      <w:color w:val="auto"/>
      <w:spacing w:val="5"/>
      <w:u w:val="single"/>
    </w:rPr>
  </w:style>
  <w:style w:type="paragraph" w:customStyle="1" w:styleId="2ColumnHeading">
    <w:name w:val="2Column Heading"/>
    <w:basedOn w:val="BodyText"/>
    <w:qFormat/>
    <w:rsid w:val="004F0A30"/>
    <w:pPr>
      <w:spacing w:after="60"/>
      <w:ind w:left="-2268"/>
    </w:pPr>
    <w:rPr>
      <w:b/>
    </w:rPr>
  </w:style>
  <w:style w:type="paragraph" w:customStyle="1" w:styleId="Heading1TOC">
    <w:name w:val="Heading1 TOC"/>
    <w:basedOn w:val="Normal"/>
    <w:qFormat/>
    <w:rsid w:val="004F0A30"/>
    <w:pPr>
      <w:spacing w:before="240" w:after="120"/>
    </w:pPr>
    <w:rPr>
      <w:rFonts w:ascii="Times New Roman" w:hAnsi="Times New Roman"/>
      <w:b/>
      <w:sz w:val="32"/>
    </w:rPr>
  </w:style>
  <w:style w:type="paragraph" w:customStyle="1" w:styleId="Heading2TOC">
    <w:name w:val="Heading2 TOC"/>
    <w:basedOn w:val="Normal"/>
    <w:qFormat/>
    <w:rsid w:val="004F0A30"/>
    <w:pPr>
      <w:spacing w:before="240" w:after="60"/>
    </w:pPr>
    <w:rPr>
      <w:rFonts w:ascii="Times New Roman" w:hAnsi="Times New Roman"/>
      <w:b/>
      <w:sz w:val="28"/>
    </w:rPr>
  </w:style>
  <w:style w:type="character" w:customStyle="1" w:styleId="Underline">
    <w:name w:val="Underline"/>
    <w:basedOn w:val="DefaultParagraphFont"/>
    <w:qFormat/>
    <w:rsid w:val="004F0A30"/>
    <w:rPr>
      <w:u w:val="single"/>
    </w:rPr>
  </w:style>
  <w:style w:type="paragraph" w:styleId="BalloonText">
    <w:name w:val="Balloon Text"/>
    <w:basedOn w:val="Normal"/>
    <w:link w:val="BalloonTextChar"/>
    <w:rsid w:val="004F0A30"/>
    <w:rPr>
      <w:rFonts w:ascii="Tahoma" w:hAnsi="Tahoma" w:cs="Tahoma"/>
      <w:sz w:val="16"/>
      <w:szCs w:val="16"/>
    </w:rPr>
  </w:style>
  <w:style w:type="character" w:customStyle="1" w:styleId="BalloonTextChar">
    <w:name w:val="Balloon Text Char"/>
    <w:basedOn w:val="DefaultParagraphFont"/>
    <w:link w:val="BalloonText"/>
    <w:rsid w:val="004F0A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0A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0A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1329</Words>
  <Characters>8586</Characters>
  <Application>Microsoft Office Word</Application>
  <DocSecurity>0</DocSecurity>
  <Lines>293</Lines>
  <Paragraphs>138</Paragraphs>
  <ScaleCrop>false</ScaleCrop>
  <Company>Author-it Software Corporation Ltd.</Company>
  <LinksUpToDate>false</LinksUpToDate>
  <CharactersWithSpaces>9845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LMFGG3002C Assess glass and glazing requirements</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2012-05-26T17:33:00Z</dcterms:created>
  <dcterms:modified xsi:type="dcterms:W3CDTF">2012-05-26T17:33:00Z</dcterms:modified>
</cp:coreProperties>
</file>