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5936" w:rsidP="006E5936">
      <w:pPr>
        <w:pStyle w:val="Title"/>
      </w:pPr>
      <w:r>
        <w:fldChar w:fldCharType="begin"/>
      </w:r>
      <w:r>
        <w:instrText xml:space="preserve"> TITLE   \* MERGEFORMAT </w:instrText>
      </w:r>
      <w:r>
        <w:fldChar w:fldCharType="separate"/>
      </w:r>
      <w:r>
        <w:t>LMFGG2001C Use glass and glazing sector hand and power tools</w:t>
      </w:r>
      <w:r>
        <w:fldChar w:fldCharType="end"/>
      </w:r>
    </w:p>
    <w:p w:rsidR="006E5936" w:rsidP="006E5936">
      <w:pPr>
        <w:pStyle w:val="Version"/>
        <w:sectPr w:rsidSect="001D1B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1BE2" w:rsidP="001D1BE2">
      <w:pPr>
        <w:pStyle w:val="SuperHeading"/>
      </w:pPr>
      <w:r w:rsidRPr="001D1BE2">
        <w:t>LMFGG2001C Use glass and glazing sector hand and power tools</w:t>
      </w:r>
    </w:p>
    <w:p w:rsidR="00000000" w:rsidRPr="001D1BE2" w:rsidP="001D1BE2">
      <w:pPr>
        <w:pStyle w:val="Heading1"/>
      </w:pPr>
      <w:bookmarkStart w:id="1" w:name="O_348715"/>
      <w:bookmarkEnd w:id="1"/>
      <w:r w:rsidRPr="001D1BE2">
        <w:t>Modification History</w:t>
      </w:r>
    </w:p>
    <w:p w:rsidR="00000000" w:rsidRPr="001D1BE2" w:rsidP="001D1BE2">
      <w:pPr>
        <w:pStyle w:val="BodyText"/>
      </w:pPr>
      <w:r w:rsidRPr="001D1BE2">
        <w:t>Updated format, added aluminium hand and power tools to Range, revised Evidence Guide. Outcome equivalent.</w:t>
      </w:r>
    </w:p>
    <w:p w:rsidR="00000000" w:rsidRPr="001D1BE2" w:rsidP="001D1BE2">
      <w:pPr>
        <w:pStyle w:val="AllowPageBreak"/>
      </w:pPr>
    </w:p>
    <w:p w:rsidR="00000000" w:rsidRPr="001D1BE2" w:rsidP="001D1BE2">
      <w:pPr>
        <w:pStyle w:val="Heading1"/>
      </w:pPr>
      <w:bookmarkStart w:id="2" w:name="O_348716"/>
      <w:bookmarkEnd w:id="2"/>
      <w:r w:rsidRPr="001D1BE2">
        <w:t>Unit Descriptor</w:t>
      </w:r>
    </w:p>
    <w:p w:rsidR="00000000" w:rsidRPr="001D1BE2" w:rsidP="001D1BE2">
      <w:pPr>
        <w:pStyle w:val="BodyText"/>
      </w:pPr>
      <w:r w:rsidRPr="001D1BE2">
        <w:t>This unit of c</w:t>
      </w:r>
      <w:r w:rsidRPr="001D1BE2">
        <w:t>ompetency covers the skills and knowledge required to use hand and power tools in applications relating to the glass and glazing sector of the furnishing industry, including basic aluminium fabrication.</w:t>
      </w:r>
    </w:p>
    <w:p w:rsidR="00000000" w:rsidRPr="001D1BE2" w:rsidP="001D1BE2">
      <w:pPr>
        <w:pStyle w:val="AllowPageBreak"/>
      </w:pPr>
    </w:p>
    <w:p w:rsidR="00000000" w:rsidRPr="001D1BE2" w:rsidP="001D1BE2">
      <w:pPr>
        <w:pStyle w:val="Heading1"/>
      </w:pPr>
      <w:bookmarkStart w:id="3" w:name="O_348717"/>
      <w:bookmarkEnd w:id="3"/>
      <w:r w:rsidRPr="001D1BE2">
        <w:t>Application of the Unit</w:t>
      </w:r>
    </w:p>
    <w:p w:rsidR="00000000" w:rsidRPr="001D1BE2" w:rsidP="001D1BE2">
      <w:pPr>
        <w:pStyle w:val="BodyText"/>
      </w:pPr>
      <w:r w:rsidRPr="001D1BE2">
        <w:t>This unit su</w:t>
      </w:r>
      <w:r w:rsidRPr="001D1BE2">
        <w:t>pports the attainment of skills and knowledge required for competent workplace performance in glass and glazing job roles. These skills and knowledge are to be used within the scope of the individual’s job and authority.</w:t>
      </w:r>
    </w:p>
    <w:p w:rsidR="00000000" w:rsidRPr="001D1BE2" w:rsidP="001D1BE2">
      <w:pPr>
        <w:pStyle w:val="AllowPageBreak"/>
      </w:pPr>
    </w:p>
    <w:p w:rsidR="00000000" w:rsidRPr="001D1BE2" w:rsidP="001D1BE2">
      <w:pPr>
        <w:pStyle w:val="Heading1"/>
      </w:pPr>
      <w:bookmarkStart w:id="4" w:name="O_348718"/>
      <w:bookmarkEnd w:id="4"/>
      <w:r w:rsidRPr="001D1BE2">
        <w:t>Licensing/Regulato</w:t>
      </w:r>
      <w:r w:rsidRPr="001D1BE2">
        <w:t>ry Information</w:t>
      </w:r>
    </w:p>
    <w:p w:rsidR="00000000" w:rsidRPr="001D1BE2" w:rsidP="001D1BE2">
      <w:pPr>
        <w:pStyle w:val="BodyText"/>
      </w:pPr>
      <w:r w:rsidRPr="001D1BE2">
        <w:t>Not applicable.</w:t>
      </w:r>
    </w:p>
    <w:p w:rsidR="00000000" w:rsidRPr="001D1BE2" w:rsidP="001D1BE2">
      <w:pPr>
        <w:pStyle w:val="AllowPageBreak"/>
      </w:pPr>
    </w:p>
    <w:p w:rsidR="00000000" w:rsidRPr="001D1BE2" w:rsidP="001D1BE2">
      <w:pPr>
        <w:pStyle w:val="Heading1"/>
      </w:pPr>
      <w:bookmarkStart w:id="5" w:name="O_348719"/>
      <w:bookmarkEnd w:id="5"/>
      <w:r w:rsidRPr="001D1BE2">
        <w:t>Pre-Requisites</w:t>
      </w:r>
    </w:p>
    <w:p w:rsidR="00000000" w:rsidRPr="001D1BE2" w:rsidP="001D1BE2">
      <w:pPr>
        <w:pStyle w:val="BodyText"/>
      </w:pPr>
      <w:r w:rsidRPr="001D1BE2">
        <w:t>Not applicable.</w:t>
      </w:r>
    </w:p>
    <w:p w:rsidR="00000000" w:rsidRPr="001D1BE2" w:rsidP="001D1BE2">
      <w:pPr>
        <w:pStyle w:val="AllowPageBreak"/>
      </w:pPr>
    </w:p>
    <w:p w:rsidR="00000000" w:rsidRPr="001D1BE2" w:rsidP="001D1BE2">
      <w:pPr>
        <w:pStyle w:val="Heading1"/>
      </w:pPr>
      <w:bookmarkStart w:id="6" w:name="O_348720"/>
      <w:bookmarkEnd w:id="6"/>
      <w:r w:rsidRPr="001D1BE2">
        <w:t>Employability Skills Information</w:t>
      </w:r>
    </w:p>
    <w:p w:rsidR="00000000" w:rsidRPr="001D1BE2" w:rsidP="001D1BE2">
      <w:pPr>
        <w:pStyle w:val="BodyText"/>
      </w:pPr>
      <w:r w:rsidRPr="001D1BE2">
        <w:t>This unit contains employability skills.</w:t>
      </w:r>
    </w:p>
    <w:p w:rsidR="00000000" w:rsidRPr="001D1BE2" w:rsidP="001D1BE2">
      <w:pPr>
        <w:pStyle w:val="AllowPageBreak"/>
      </w:pPr>
    </w:p>
    <w:p w:rsidR="00000000" w:rsidRPr="001D1BE2" w:rsidP="001D1BE2">
      <w:pPr>
        <w:pStyle w:val="Heading1"/>
      </w:pPr>
      <w:bookmarkStart w:id="7" w:name="O_348721"/>
      <w:bookmarkEnd w:id="7"/>
      <w:r w:rsidRPr="001D1BE2">
        <w:t>Elements and Performance Criteria Pre-Content</w:t>
      </w:r>
    </w:p>
    <w:tbl>
      <w:tblPr>
        <w:tblW w:w="0" w:type="auto"/>
        <w:tblLayout w:type="fixed"/>
        <w:tblCellMar>
          <w:left w:w="62" w:type="dxa"/>
          <w:right w:w="62" w:type="dxa"/>
        </w:tblCellMar>
        <w:tblLook w:val="0000"/>
      </w:tblPr>
      <w:tblGrid>
        <w:gridCol w:w="2640"/>
        <w:gridCol w:w="6380"/>
      </w:tblGrid>
      <w:tr w:rsidTr="001D1BE2">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D1BE2" w:rsidP="001D1BE2">
            <w:pPr>
              <w:pStyle w:val="BodyText"/>
            </w:pPr>
            <w:r w:rsidRPr="001D1BE2">
              <w:t>Performance criteria describe the performance needed to demonstrate achievement of the element. Where bold italicised text is used, further information is detailed in the required skills and</w:t>
            </w:r>
            <w:r w:rsidRPr="001D1BE2">
              <w:t xml:space="preserve"> knowledge section and the range statement. Assessment of performance is to be consistent with the evidence guide.</w:t>
            </w:r>
          </w:p>
        </w:tc>
      </w:tr>
    </w:tbl>
    <w:p w:rsidR="00000000" w:rsidRPr="001D1BE2" w:rsidP="001D1BE2">
      <w:pPr>
        <w:pStyle w:val="BodyText"/>
      </w:pPr>
    </w:p>
    <w:p w:rsidR="00000000" w:rsidRPr="001D1BE2" w:rsidP="001D1BE2">
      <w:pPr>
        <w:pStyle w:val="AllowPageBreak"/>
      </w:pPr>
    </w:p>
    <w:p w:rsidR="00000000" w:rsidRPr="001D1BE2" w:rsidP="001D1BE2">
      <w:pPr>
        <w:pStyle w:val="Heading1"/>
      </w:pPr>
      <w:bookmarkStart w:id="8" w:name="O_348722"/>
      <w:bookmarkEnd w:id="8"/>
      <w:r w:rsidRPr="001D1BE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D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1</w:t>
            </w:r>
          </w:p>
        </w:tc>
        <w:tc>
          <w:tcPr>
            <w:tcW w:w="1962" w:type="dxa"/>
            <w:vMerge w:val="restart"/>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Identify hand and power tools</w:t>
            </w:r>
          </w:p>
        </w:tc>
        <w:tc>
          <w:tcPr>
            <w:tcW w:w="77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1.1</w:t>
            </w:r>
          </w:p>
        </w:tc>
        <w:tc>
          <w:tcPr>
            <w:tcW w:w="561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Types of hand and power tools and their functions ar</w:t>
            </w:r>
            <w:r w:rsidRPr="001D1BE2">
              <w:t>e identified</w:t>
            </w:r>
          </w:p>
        </w:tc>
      </w:tr>
      <w:tr w:rsidTr="001D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1.2</w:t>
            </w:r>
          </w:p>
        </w:tc>
        <w:tc>
          <w:tcPr>
            <w:tcW w:w="561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Sources of, and access to, power supply are recognised and used safely</w:t>
            </w:r>
          </w:p>
        </w:tc>
      </w:tr>
      <w:tr w:rsidTr="001D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1.3</w:t>
            </w:r>
          </w:p>
        </w:tc>
        <w:tc>
          <w:tcPr>
            <w:tcW w:w="561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Occupational health and safety (OHS) requirements for using hand and power tools are recognised and implemented</w:t>
            </w:r>
          </w:p>
        </w:tc>
      </w:tr>
      <w:tr w:rsidTr="001D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p>
        </w:tc>
      </w:tr>
      <w:tr w:rsidTr="001D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2</w:t>
            </w:r>
          </w:p>
        </w:tc>
        <w:tc>
          <w:tcPr>
            <w:tcW w:w="1962" w:type="dxa"/>
            <w:vMerge w:val="restart"/>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Select hand tools</w:t>
            </w:r>
          </w:p>
        </w:tc>
        <w:tc>
          <w:tcPr>
            <w:tcW w:w="770" w:type="dxa"/>
            <w:tcBorders>
              <w:top w:val="nil"/>
              <w:left w:val="nil"/>
              <w:bottom w:val="nil"/>
              <w:right w:val="nil"/>
            </w:tcBorders>
            <w:tcMar>
              <w:top w:w="0" w:type="dxa"/>
              <w:left w:w="62" w:type="dxa"/>
              <w:bottom w:w="0" w:type="dxa"/>
              <w:right w:w="62" w:type="dxa"/>
            </w:tcMar>
          </w:tcPr>
          <w:p w:rsidR="00000000" w:rsidRPr="001D1BE2" w:rsidP="001D1BE2">
            <w:pPr>
              <w:pStyle w:val="BodyText"/>
            </w:pPr>
            <w:r w:rsidRPr="001D1BE2">
              <w:t>2.1</w:t>
            </w:r>
          </w:p>
        </w:tc>
        <w:tc>
          <w:tcPr>
            <w:tcW w:w="561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rPr>
                <w:rStyle w:val="BoldandItalics"/>
              </w:rPr>
              <w:t>Hand tools</w:t>
            </w:r>
            <w:r w:rsidRPr="001D1BE2">
              <w:t xml:space="preserve"> are selected consistent with needs of job</w:t>
            </w:r>
          </w:p>
        </w:tc>
      </w:tr>
      <w:tr w:rsidTr="001D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2.2</w:t>
            </w:r>
          </w:p>
        </w:tc>
        <w:tc>
          <w:tcPr>
            <w:tcW w:w="561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Hand tools are checked for serviceability and safety and any faults reported to supervisor in accordance with enterprise procedures</w:t>
            </w:r>
          </w:p>
        </w:tc>
      </w:tr>
      <w:tr w:rsidTr="001D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2.3</w:t>
            </w:r>
          </w:p>
        </w:tc>
        <w:tc>
          <w:tcPr>
            <w:tcW w:w="561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 xml:space="preserve">Equipment is selected to hold, position or support material for </w:t>
            </w:r>
            <w:r w:rsidRPr="001D1BE2">
              <w:rPr>
                <w:rStyle w:val="BoldandItalics"/>
              </w:rPr>
              <w:t>hand tool</w:t>
            </w:r>
            <w:r w:rsidRPr="001D1BE2">
              <w:t xml:space="preserve"> application, where applicable</w:t>
            </w:r>
          </w:p>
        </w:tc>
      </w:tr>
      <w:tr w:rsidTr="001D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p>
        </w:tc>
      </w:tr>
      <w:tr w:rsidTr="001D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3</w:t>
            </w:r>
          </w:p>
        </w:tc>
        <w:tc>
          <w:tcPr>
            <w:tcW w:w="1962" w:type="dxa"/>
            <w:vMerge w:val="restart"/>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Use hand tools</w:t>
            </w:r>
          </w:p>
        </w:tc>
        <w:tc>
          <w:tcPr>
            <w:tcW w:w="77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3.1</w:t>
            </w:r>
          </w:p>
        </w:tc>
        <w:tc>
          <w:tcPr>
            <w:tcW w:w="561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Material is located and held in position for hand tool application</w:t>
            </w:r>
          </w:p>
        </w:tc>
      </w:tr>
      <w:tr w:rsidTr="001D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3.2</w:t>
            </w:r>
          </w:p>
        </w:tc>
        <w:tc>
          <w:tcPr>
            <w:tcW w:w="561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Hand tools are safely and effectively used according to their intended use and safely stored when not in immediate use</w:t>
            </w:r>
          </w:p>
        </w:tc>
      </w:tr>
      <w:tr w:rsidTr="001D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p>
        </w:tc>
      </w:tr>
      <w:tr w:rsidTr="001D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4</w:t>
            </w:r>
          </w:p>
        </w:tc>
        <w:tc>
          <w:tcPr>
            <w:tcW w:w="1962" w:type="dxa"/>
            <w:vMerge w:val="restart"/>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Select power tools</w:t>
            </w:r>
          </w:p>
        </w:tc>
        <w:tc>
          <w:tcPr>
            <w:tcW w:w="77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4.1</w:t>
            </w:r>
          </w:p>
        </w:tc>
        <w:tc>
          <w:tcPr>
            <w:tcW w:w="561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 xml:space="preserve">Appropriate </w:t>
            </w:r>
            <w:r w:rsidRPr="001D1BE2">
              <w:rPr>
                <w:rStyle w:val="BoldandItalics"/>
              </w:rPr>
              <w:t>personal protective equipment</w:t>
            </w:r>
            <w:r w:rsidRPr="001D1BE2">
              <w:t xml:space="preserve"> is selected, correctly fitted and used at all times</w:t>
            </w:r>
          </w:p>
        </w:tc>
      </w:tr>
      <w:tr w:rsidTr="001D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D1BE2" w:rsidP="001D1BE2">
            <w:pPr>
              <w:pStyle w:val="BodyText"/>
            </w:pPr>
            <w:r w:rsidRPr="001D1BE2">
              <w:t>4.2</w:t>
            </w:r>
          </w:p>
        </w:tc>
        <w:tc>
          <w:tcPr>
            <w:tcW w:w="561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rPr>
                <w:rStyle w:val="BoldandItalics"/>
              </w:rPr>
              <w:t>Power tools</w:t>
            </w:r>
            <w:r w:rsidRPr="001D1BE2">
              <w:t xml:space="preserve"> are selected consistent with needs of job in accordance with conventional work practice</w:t>
            </w:r>
          </w:p>
        </w:tc>
      </w:tr>
      <w:tr w:rsidTr="001D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4.3</w:t>
            </w:r>
          </w:p>
        </w:tc>
        <w:tc>
          <w:tcPr>
            <w:tcW w:w="561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 xml:space="preserve">Power tools are visually checked for serviceability/safety in accordance with OHS requirements and any faults reported to supervisor in accordance </w:t>
            </w:r>
            <w:r w:rsidRPr="001D1BE2">
              <w:t xml:space="preserve">with </w:t>
            </w:r>
            <w:r w:rsidRPr="001D1BE2">
              <w:rPr>
                <w:rStyle w:val="BoldandItalics"/>
              </w:rPr>
              <w:t>enterprise procedures</w:t>
            </w:r>
          </w:p>
        </w:tc>
      </w:tr>
      <w:tr w:rsidTr="001D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4.4</w:t>
            </w:r>
          </w:p>
        </w:tc>
        <w:tc>
          <w:tcPr>
            <w:tcW w:w="561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Equipment is selected to hold, position or support materials for power tool application, where applicable</w:t>
            </w:r>
          </w:p>
        </w:tc>
      </w:tr>
      <w:tr w:rsidTr="001D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p>
        </w:tc>
      </w:tr>
      <w:tr w:rsidTr="001D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5</w:t>
            </w:r>
          </w:p>
        </w:tc>
        <w:tc>
          <w:tcPr>
            <w:tcW w:w="1962" w:type="dxa"/>
            <w:vMerge w:val="restart"/>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Use power tools</w:t>
            </w:r>
          </w:p>
        </w:tc>
        <w:tc>
          <w:tcPr>
            <w:tcW w:w="77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5.1</w:t>
            </w:r>
          </w:p>
        </w:tc>
        <w:tc>
          <w:tcPr>
            <w:tcW w:w="561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Material to be worked on is located and held in position for power tool application, where applicable</w:t>
            </w:r>
          </w:p>
        </w:tc>
      </w:tr>
      <w:tr w:rsidTr="001D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5.2</w:t>
            </w:r>
          </w:p>
        </w:tc>
        <w:tc>
          <w:tcPr>
            <w:tcW w:w="561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Power tools are safely and effectively used in application processes</w:t>
            </w:r>
          </w:p>
        </w:tc>
      </w:tr>
      <w:tr w:rsidTr="001D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5.3</w:t>
            </w:r>
          </w:p>
        </w:tc>
        <w:tc>
          <w:tcPr>
            <w:tcW w:w="561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Power tools are safely switched off and stored when not in use</w:t>
            </w:r>
          </w:p>
        </w:tc>
      </w:tr>
      <w:tr w:rsidTr="001D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p>
        </w:tc>
      </w:tr>
      <w:tr w:rsidTr="001D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6</w:t>
            </w:r>
          </w:p>
        </w:tc>
        <w:tc>
          <w:tcPr>
            <w:tcW w:w="1962" w:type="dxa"/>
            <w:vMerge w:val="restart"/>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Clean up work area and tools</w:t>
            </w:r>
          </w:p>
        </w:tc>
        <w:tc>
          <w:tcPr>
            <w:tcW w:w="77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6.1</w:t>
            </w:r>
          </w:p>
        </w:tc>
        <w:tc>
          <w:tcPr>
            <w:tcW w:w="561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All tools and equipment are cleaned, maintained and stored with relevant documentation completed in accordance with enterprise procedures</w:t>
            </w:r>
          </w:p>
        </w:tc>
      </w:tr>
      <w:tr w:rsidTr="001D1B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6.2</w:t>
            </w:r>
          </w:p>
        </w:tc>
        <w:tc>
          <w:tcPr>
            <w:tcW w:w="5610" w:type="dxa"/>
            <w:tcBorders>
              <w:top w:val="nil"/>
              <w:left w:val="nil"/>
              <w:bottom w:val="nil"/>
              <w:right w:val="nil"/>
            </w:tcBorders>
            <w:tcMar>
              <w:top w:w="0" w:type="dxa"/>
              <w:left w:w="62" w:type="dxa"/>
              <w:bottom w:w="0" w:type="dxa"/>
              <w:right w:w="62" w:type="dxa"/>
            </w:tcMar>
          </w:tcPr>
          <w:p w:rsidR="00000000" w:rsidRPr="001D1BE2" w:rsidP="001D1BE2">
            <w:pPr>
              <w:pStyle w:val="BodyText"/>
            </w:pPr>
            <w:r w:rsidRPr="001D1BE2">
              <w:t>Work area is cleared and waste removed</w:t>
            </w:r>
          </w:p>
        </w:tc>
      </w:tr>
    </w:tbl>
    <w:p w:rsidR="00000000" w:rsidRPr="001D1BE2" w:rsidP="001D1BE2">
      <w:pPr>
        <w:pStyle w:val="BodyText"/>
      </w:pPr>
    </w:p>
    <w:p w:rsidR="00000000" w:rsidRPr="001D1BE2" w:rsidP="001D1BE2">
      <w:pPr>
        <w:pStyle w:val="AllowPageBreak"/>
      </w:pPr>
    </w:p>
    <w:p w:rsidR="00000000" w:rsidRPr="001D1BE2" w:rsidP="001D1BE2">
      <w:pPr>
        <w:pStyle w:val="Heading1"/>
      </w:pPr>
      <w:bookmarkStart w:id="9" w:name="O_348723"/>
      <w:bookmarkEnd w:id="9"/>
      <w:r w:rsidRPr="001D1BE2">
        <w:t>Required Skills and Knowledge</w:t>
      </w:r>
    </w:p>
    <w:tbl>
      <w:tblPr>
        <w:tblW w:w="0" w:type="auto"/>
        <w:tblLayout w:type="fixed"/>
        <w:tblCellMar>
          <w:left w:w="62" w:type="dxa"/>
          <w:right w:w="62" w:type="dxa"/>
        </w:tblCellMar>
        <w:tblLook w:val="0000"/>
      </w:tblPr>
      <w:tblGrid>
        <w:gridCol w:w="9072"/>
      </w:tblGrid>
      <w:tr w:rsidTr="001D1B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This section describes the skills and knowledge required for this unit.</w:t>
            </w:r>
          </w:p>
        </w:tc>
      </w:tr>
      <w:tr w:rsidTr="001D1B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D1BE2" w:rsidP="001D1BE2">
            <w:pPr>
              <w:pStyle w:val="BodyText"/>
            </w:pPr>
            <w:r w:rsidRPr="001D1BE2">
              <w:rPr>
                <w:rStyle w:val="SpecialBold"/>
              </w:rPr>
              <w:t>Required skills include:</w:t>
            </w:r>
          </w:p>
          <w:p w:rsidR="00000000" w:rsidRPr="001D1BE2" w:rsidP="001D1BE2">
            <w:pPr>
              <w:pStyle w:val="ListBullet"/>
            </w:pPr>
            <w:r w:rsidRPr="001D1BE2">
              <w:t xml:space="preserve">correctly and safely selecting, using and maintaining hand and power tools </w:t>
            </w:r>
          </w:p>
          <w:p w:rsidR="00000000" w:rsidRPr="001D1BE2" w:rsidP="001D1BE2">
            <w:pPr>
              <w:pStyle w:val="ListBullet"/>
            </w:pPr>
            <w:r w:rsidRPr="001D1BE2">
              <w:t xml:space="preserve">meeting quality standards of finish </w:t>
            </w:r>
          </w:p>
          <w:p w:rsidR="00000000" w:rsidRPr="001D1BE2" w:rsidP="001D1BE2">
            <w:pPr>
              <w:pStyle w:val="ListBullet"/>
            </w:pPr>
            <w:r w:rsidRPr="001D1BE2">
              <w:t>using communication skills to the level required to confirm work requirements and specifications; communicate effectively regarding work requirements with supervisors, other workers and customers; report work outcomes and problems; and relate to people fro</w:t>
            </w:r>
            <w:r w:rsidRPr="001D1BE2">
              <w:t>m a range of social, cultural and ethnic backgrounds, and of varying physical and mental abilities</w:t>
            </w:r>
          </w:p>
          <w:p w:rsidR="00000000" w:rsidRPr="001D1BE2" w:rsidP="001D1BE2">
            <w:pPr>
              <w:pStyle w:val="ListBullet"/>
            </w:pPr>
            <w:r w:rsidRPr="001D1BE2">
              <w:t>using literacy skills to the level required to understand information related to work orders, including common industry terminology, plans and safety procedu</w:t>
            </w:r>
            <w:r w:rsidRPr="001D1BE2">
              <w:t>res; prepare reports; and interpret technical information and specifications</w:t>
            </w:r>
          </w:p>
          <w:p w:rsidR="00000000" w:rsidRPr="001D1BE2" w:rsidP="001D1BE2">
            <w:pPr>
              <w:pStyle w:val="ListBullet"/>
            </w:pPr>
            <w:r w:rsidRPr="001D1BE2">
              <w:t>using numeracy skills to the level required to correctly calculate time, assess tolerances, apply accurate measurements, calculate material requirements and establish quality chec</w:t>
            </w:r>
            <w:r w:rsidRPr="001D1BE2">
              <w:t>ks</w:t>
            </w:r>
          </w:p>
          <w:p w:rsidR="00000000" w:rsidRPr="001D1BE2" w:rsidP="001D1BE2">
            <w:pPr>
              <w:pStyle w:val="ListBullet"/>
            </w:pPr>
            <w:r w:rsidRPr="001D1BE2">
              <w:t xml:space="preserve">using cooperative approaches to optimise workflow and productivity </w:t>
            </w:r>
          </w:p>
          <w:p w:rsidR="00000000" w:rsidP="001D1BE2">
            <w:pPr>
              <w:pStyle w:val="ListBullet"/>
              <w:rPr>
                <w:lang w:val="en-NZ"/>
              </w:rPr>
            </w:pPr>
            <w:r w:rsidRPr="001D1BE2">
              <w:t>modifying activities to cater for variations in workplace contexts and environment</w:t>
            </w:r>
          </w:p>
        </w:tc>
      </w:tr>
      <w:tr w:rsidTr="001D1B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D1BE2" w:rsidP="001D1BE2">
            <w:pPr>
              <w:pStyle w:val="BodyText"/>
            </w:pPr>
            <w:r w:rsidRPr="001D1BE2">
              <w:rPr>
                <w:rStyle w:val="SpecialBold"/>
              </w:rPr>
              <w:t>Required knowledge includes:</w:t>
            </w:r>
          </w:p>
          <w:p w:rsidR="00000000" w:rsidRPr="001D1BE2" w:rsidP="001D1BE2">
            <w:pPr>
              <w:pStyle w:val="ListBullet"/>
            </w:pPr>
            <w:r w:rsidRPr="001D1BE2">
              <w:t xml:space="preserve">workflow requirements and standards within the workplace </w:t>
            </w:r>
          </w:p>
          <w:p w:rsidR="00000000" w:rsidRPr="001D1BE2" w:rsidP="001D1BE2">
            <w:pPr>
              <w:pStyle w:val="ListBullet"/>
            </w:pPr>
            <w:r w:rsidRPr="001D1BE2">
              <w:t>workplace saf</w:t>
            </w:r>
            <w:r w:rsidRPr="001D1BE2">
              <w:t xml:space="preserve">ety requirements and OHS legislation </w:t>
            </w:r>
          </w:p>
          <w:p w:rsidR="00000000" w:rsidRPr="001D1BE2" w:rsidP="001D1BE2">
            <w:pPr>
              <w:pStyle w:val="ListBullet"/>
            </w:pPr>
            <w:r w:rsidRPr="001D1BE2">
              <w:t>function and purpose of hand and power tools used in the workplace</w:t>
            </w:r>
          </w:p>
          <w:p w:rsidR="00000000" w:rsidRPr="001D1BE2" w:rsidP="001D1BE2">
            <w:pPr>
              <w:pStyle w:val="ListBullet"/>
            </w:pPr>
            <w:r w:rsidRPr="001D1BE2">
              <w:t>characteristics of glass and/or aluminium, and glass and/or aluminium products and defects, including hazards and handling requirements</w:t>
            </w:r>
          </w:p>
          <w:p w:rsidR="00000000" w:rsidRPr="001D1BE2" w:rsidP="001D1BE2">
            <w:pPr>
              <w:pStyle w:val="ListBullet"/>
            </w:pPr>
            <w:r w:rsidRPr="001D1BE2">
              <w:t>industry standa</w:t>
            </w:r>
            <w:r w:rsidRPr="001D1BE2">
              <w:t>rd cross-sections and lengths</w:t>
            </w:r>
          </w:p>
          <w:p w:rsidR="00000000" w:rsidRPr="001D1BE2" w:rsidP="001D1BE2">
            <w:pPr>
              <w:pStyle w:val="ListBullet"/>
            </w:pPr>
            <w:r w:rsidRPr="001D1BE2">
              <w:t>storage systems and labelling</w:t>
            </w:r>
          </w:p>
          <w:p w:rsidR="00000000" w:rsidRPr="001D1BE2" w:rsidP="001D1BE2">
            <w:pPr>
              <w:pStyle w:val="ListBullet"/>
            </w:pPr>
            <w:r w:rsidRPr="001D1BE2">
              <w:t>procedures for the recording, reporting and maintenance of workplace records and information</w:t>
            </w:r>
          </w:p>
        </w:tc>
      </w:tr>
    </w:tbl>
    <w:p w:rsidR="006E5936" w:rsidP="001D1BE2">
      <w:pPr>
        <w:pStyle w:val="BodyText"/>
      </w:pPr>
    </w:p>
    <w:p w:rsidR="006E5936" w:rsidP="001D1BE2">
      <w:pPr>
        <w:pStyle w:val="BodyText"/>
      </w:pPr>
    </w:p>
    <w:p w:rsidR="00000000" w:rsidRPr="001D1BE2" w:rsidP="001D1BE2">
      <w:pPr>
        <w:pStyle w:val="Heading1"/>
      </w:pPr>
      <w:bookmarkStart w:id="10" w:name="O_348724"/>
      <w:bookmarkEnd w:id="10"/>
      <w:r w:rsidRPr="001D1BE2">
        <w:t>Evidence Guide</w:t>
      </w:r>
    </w:p>
    <w:tbl>
      <w:tblPr>
        <w:tblW w:w="0" w:type="auto"/>
        <w:tblLayout w:type="fixed"/>
        <w:tblCellMar>
          <w:left w:w="62" w:type="dxa"/>
          <w:right w:w="62" w:type="dxa"/>
        </w:tblCellMar>
        <w:tblLook w:val="0000"/>
      </w:tblPr>
      <w:tblGrid>
        <w:gridCol w:w="3674"/>
        <w:gridCol w:w="5398"/>
      </w:tblGrid>
      <w:tr w:rsidTr="001D1BE2">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1D1BE2">
            <w:pPr>
              <w:pStyle w:val="BodyText"/>
              <w:rPr>
                <w:lang w:val="en-NZ"/>
              </w:rPr>
            </w:pPr>
            <w:r w:rsidRPr="001D1BE2">
              <w:t>The evidence guide provides advice on assessment and must be read in conjunction with the performance criteria required skills and knowledge range statement and the Assessment Guidelines for the Training Package.</w:t>
            </w:r>
          </w:p>
        </w:tc>
      </w:tr>
      <w:tr w:rsidTr="001D1BE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BE2">
            <w:pPr>
              <w:pStyle w:val="BodyText"/>
              <w:rPr>
                <w:lang w:val="en-NZ"/>
              </w:rPr>
            </w:pPr>
            <w:r w:rsidRPr="001D1BE2">
              <w:rPr>
                <w:rStyle w:val="SpecialBold"/>
              </w:rPr>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BE2">
            <w:pPr>
              <w:pStyle w:val="BodyText"/>
              <w:rPr>
                <w:lang w:val="en-NZ"/>
              </w:rPr>
            </w:pPr>
            <w:r w:rsidRPr="001D1BE2">
              <w:t>Assessment process</w:t>
            </w:r>
            <w:r w:rsidRPr="001D1BE2">
              <w:t>es and techniques must be culturally appropriate and appropriate to the language, literacy and numeracy capacity of the candidate and the work being performed.</w:t>
            </w:r>
          </w:p>
        </w:tc>
      </w:tr>
      <w:tr w:rsidTr="001D1BE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BE2">
            <w:pPr>
              <w:pStyle w:val="BodyText"/>
              <w:rPr>
                <w:lang w:val="en-NZ"/>
              </w:rPr>
            </w:pPr>
            <w:r w:rsidRPr="001D1BE2">
              <w:rPr>
                <w:rStyle w:val="SpecialBold"/>
              </w:rPr>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BE2" w:rsidP="001D1BE2">
            <w:pPr>
              <w:pStyle w:val="BodyText"/>
            </w:pPr>
            <w:r w:rsidRPr="001D1BE2">
              <w:t>Assessors must be satisfied that the candidate can competently and consistently:</w:t>
            </w:r>
          </w:p>
          <w:p w:rsidR="00000000" w:rsidRPr="001D1BE2" w:rsidP="001D1BE2">
            <w:pPr>
              <w:pStyle w:val="ListBullet"/>
            </w:pPr>
            <w:r w:rsidRPr="001D1BE2">
              <w:t xml:space="preserve">comply with OHS regulations applicable to workplace operations </w:t>
            </w:r>
          </w:p>
          <w:p w:rsidR="00000000" w:rsidRPr="001D1BE2" w:rsidP="001D1BE2">
            <w:pPr>
              <w:pStyle w:val="ListBullet"/>
            </w:pPr>
            <w:r w:rsidRPr="001D1BE2">
              <w:t xml:space="preserve">adopt and carry out correct procedures prior to, during and after use of hand and power tools </w:t>
            </w:r>
          </w:p>
          <w:p w:rsidR="00000000" w:rsidRPr="001D1BE2" w:rsidP="001D1BE2">
            <w:pPr>
              <w:pStyle w:val="ListBullet"/>
            </w:pPr>
            <w:r w:rsidRPr="001D1BE2">
              <w:t xml:space="preserve">as a minimum: </w:t>
            </w:r>
          </w:p>
          <w:p w:rsidR="00000000" w:rsidRPr="001D1BE2" w:rsidP="001D1BE2">
            <w:pPr>
              <w:pStyle w:val="ListBullet2"/>
            </w:pPr>
            <w:r w:rsidRPr="001D1BE2">
              <w:t xml:space="preserve">identify six (6) commonly used glass and glazing sector hand and power tools </w:t>
            </w:r>
          </w:p>
          <w:p w:rsidR="00000000" w:rsidRPr="001D1BE2" w:rsidP="001D1BE2">
            <w:pPr>
              <w:pStyle w:val="ListBullet2"/>
            </w:pPr>
            <w:r w:rsidRPr="001D1BE2">
              <w:t xml:space="preserve">indicate hand and power tool applications and limitations </w:t>
            </w:r>
          </w:p>
          <w:p w:rsidR="00000000" w:rsidRPr="001D1BE2" w:rsidP="001D1BE2">
            <w:pPr>
              <w:pStyle w:val="ListBullet2"/>
            </w:pPr>
            <w:r w:rsidRPr="001D1BE2">
              <w:t xml:space="preserve">effectively and safely use hand and power tools in the workplace environment </w:t>
            </w:r>
          </w:p>
          <w:p w:rsidR="00000000" w:rsidRPr="001D1BE2" w:rsidP="001D1BE2">
            <w:pPr>
              <w:pStyle w:val="ListBullet2"/>
            </w:pPr>
            <w:r w:rsidRPr="001D1BE2">
              <w:t xml:space="preserve">maintain and safely store hand and power tools </w:t>
            </w:r>
          </w:p>
          <w:p w:rsidR="00000000" w:rsidRPr="001D1BE2" w:rsidP="001D1BE2">
            <w:pPr>
              <w:pStyle w:val="ListBullet"/>
            </w:pPr>
            <w:r w:rsidRPr="001D1BE2">
              <w:t>follow work instructions, operating procedures and inspection practices to:</w:t>
            </w:r>
          </w:p>
          <w:p w:rsidR="00000000" w:rsidRPr="001D1BE2" w:rsidP="001D1BE2">
            <w:pPr>
              <w:pStyle w:val="ListBullet2"/>
            </w:pPr>
            <w:r w:rsidRPr="001D1BE2">
              <w:t xml:space="preserve">process glass to required standard </w:t>
            </w:r>
          </w:p>
          <w:p w:rsidR="00000000" w:rsidRPr="001D1BE2" w:rsidP="001D1BE2">
            <w:pPr>
              <w:pStyle w:val="ListBullet2"/>
            </w:pPr>
            <w:r w:rsidRPr="001D1BE2">
              <w:t>prevent damage to surrounds, goods, tools, equipment or products</w:t>
            </w:r>
          </w:p>
          <w:p w:rsidR="00000000" w:rsidRPr="001D1BE2" w:rsidP="001D1BE2">
            <w:pPr>
              <w:pStyle w:val="ListBullet2"/>
            </w:pPr>
            <w:r w:rsidRPr="001D1BE2">
              <w:t xml:space="preserve">maintain required production </w:t>
            </w:r>
            <w:r w:rsidRPr="001D1BE2">
              <w:t>output and product quality</w:t>
            </w:r>
          </w:p>
          <w:p w:rsidR="00000000" w:rsidRPr="001D1BE2" w:rsidP="001D1BE2">
            <w:pPr>
              <w:pStyle w:val="ListBullet2"/>
            </w:pPr>
            <w:r w:rsidRPr="001D1BE2">
              <w:t>minimise the risk of injury to self or others</w:t>
            </w:r>
          </w:p>
          <w:p w:rsidR="00000000" w:rsidRPr="001D1BE2" w:rsidP="001D1BE2">
            <w:pPr>
              <w:pStyle w:val="ListBullet2"/>
            </w:pPr>
            <w:r w:rsidRPr="001D1BE2">
              <w:t>apply hand and power tools correctly and safely</w:t>
            </w:r>
          </w:p>
          <w:p w:rsidR="00000000" w:rsidRPr="001D1BE2" w:rsidP="001D1BE2">
            <w:pPr>
              <w:pStyle w:val="ListBullet2"/>
            </w:pPr>
            <w:r w:rsidRPr="001D1BE2">
              <w:t>complete operator maintenance on hand and power tools</w:t>
            </w:r>
          </w:p>
          <w:p w:rsidR="00000000" w:rsidRPr="001D1BE2" w:rsidP="001D1BE2">
            <w:pPr>
              <w:pStyle w:val="ListBullet2"/>
            </w:pPr>
            <w:r w:rsidRPr="001D1BE2">
              <w:t>store tools correctly</w:t>
            </w:r>
          </w:p>
          <w:p w:rsidR="00000000" w:rsidP="001D1BE2">
            <w:pPr>
              <w:pStyle w:val="ListBullet"/>
              <w:rPr>
                <w:lang w:val="en-NZ"/>
              </w:rPr>
            </w:pPr>
            <w:r w:rsidRPr="001D1BE2">
              <w:t>work effectively with others.</w:t>
            </w:r>
          </w:p>
        </w:tc>
      </w:tr>
      <w:tr w:rsidTr="001D1BE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BE2">
            <w:pPr>
              <w:pStyle w:val="BodyText"/>
              <w:rPr>
                <w:lang w:val="en-NZ"/>
              </w:rPr>
            </w:pPr>
            <w:r w:rsidRPr="001D1BE2">
              <w:rPr>
                <w:rStyle w:val="SpecialBold"/>
              </w:rPr>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BE2" w:rsidP="001D1BE2">
            <w:pPr>
              <w:pStyle w:val="BodyText"/>
            </w:pPr>
            <w:r w:rsidRPr="001D1BE2">
              <w:t>The application of competency is to be assessed in the workplace or realistically simulated workplace.</w:t>
            </w:r>
          </w:p>
          <w:p w:rsidR="00000000" w:rsidRPr="001D1BE2" w:rsidP="001D1BE2">
            <w:pPr>
              <w:pStyle w:val="BodyText"/>
            </w:pPr>
            <w:r w:rsidRPr="001D1BE2">
              <w:t>Assessment is to occur under standard and authorised work practices, safety requirements and environment</w:t>
            </w:r>
            <w:r w:rsidRPr="001D1BE2">
              <w:t>al constraints.</w:t>
            </w:r>
          </w:p>
          <w:p w:rsidR="00000000" w:rsidRPr="001D1BE2" w:rsidP="001D1BE2">
            <w:pPr>
              <w:pStyle w:val="BodyText"/>
            </w:pPr>
            <w:r w:rsidRPr="001D1BE2">
              <w:t>Assessment of essential underpinning knowledge, other than confirmatory questions, will usually be conducted in an off-site context.</w:t>
            </w:r>
          </w:p>
          <w:p w:rsidR="00000000" w:rsidRPr="001D1BE2" w:rsidP="001D1BE2">
            <w:pPr>
              <w:pStyle w:val="BodyText"/>
            </w:pPr>
            <w:r w:rsidRPr="001D1BE2">
              <w:t>Assessment is to comply with relevant regulatory or Australian Standard requirements.</w:t>
            </w:r>
          </w:p>
          <w:p w:rsidR="00000000" w:rsidRPr="001D1BE2" w:rsidP="001D1BE2">
            <w:pPr>
              <w:pStyle w:val="BodyText"/>
            </w:pPr>
            <w:r w:rsidRPr="001D1BE2">
              <w:t>The following resourc</w:t>
            </w:r>
            <w:r w:rsidRPr="001D1BE2">
              <w:t>es should be made available:</w:t>
            </w:r>
          </w:p>
          <w:p w:rsidR="00000000" w:rsidRPr="001D1BE2" w:rsidP="001D1BE2">
            <w:pPr>
              <w:pStyle w:val="ListBullet"/>
            </w:pPr>
            <w:r w:rsidRPr="001D1BE2">
              <w:t>glass and glazing sector and aluminium hand and power tools</w:t>
            </w:r>
          </w:p>
          <w:p w:rsidR="00000000" w:rsidRPr="001D1BE2" w:rsidP="001D1BE2">
            <w:pPr>
              <w:pStyle w:val="ListBullet"/>
            </w:pPr>
            <w:r w:rsidRPr="001D1BE2">
              <w:t>materials used in the manufacturing and/or processing of glass and glazing and aluminium products</w:t>
            </w:r>
          </w:p>
          <w:p w:rsidR="00000000" w:rsidRPr="001D1BE2" w:rsidP="001D1BE2">
            <w:pPr>
              <w:pStyle w:val="ListBullet"/>
            </w:pPr>
            <w:r w:rsidRPr="001D1BE2">
              <w:t xml:space="preserve">operating procedures </w:t>
            </w:r>
          </w:p>
          <w:p w:rsidR="00000000" w:rsidP="001D1BE2">
            <w:pPr>
              <w:pStyle w:val="ListBullet"/>
              <w:rPr>
                <w:lang w:val="en-NZ"/>
              </w:rPr>
            </w:pPr>
            <w:r w:rsidRPr="001D1BE2">
              <w:t>work area and workplace requirements</w:t>
            </w:r>
          </w:p>
        </w:tc>
      </w:tr>
      <w:tr w:rsidTr="001D1BE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BE2">
            <w:pPr>
              <w:pStyle w:val="BodyText"/>
              <w:rPr>
                <w:lang w:val="en-NZ"/>
              </w:rPr>
            </w:pPr>
            <w:r w:rsidRPr="001D1BE2">
              <w:rPr>
                <w:rStyle w:val="SpecialBold"/>
              </w:rPr>
              <w:t>Method o</w:t>
            </w:r>
            <w:r w:rsidRPr="001D1BE2">
              <w:rPr>
                <w:rStyle w:val="SpecialBold"/>
              </w:rPr>
              <w:t>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BE2" w:rsidP="001D1BE2">
            <w:pPr>
              <w:pStyle w:val="BodyText"/>
            </w:pPr>
            <w:r w:rsidRPr="001D1BE2">
              <w:t>Assessment must satisfy the endorsed Assessment Guidelines of the LMF02 Furnishing Industry Training Package.</w:t>
            </w:r>
          </w:p>
          <w:p w:rsidR="00000000" w:rsidRPr="001D1BE2" w:rsidP="001D1BE2">
            <w:pPr>
              <w:pStyle w:val="BodyText"/>
            </w:pPr>
            <w:r w:rsidRPr="001D1BE2">
              <w:t>Assessment methods must confirm consistency and accuracy of performance (over time and in a range of workplace relevant contexts) tog</w:t>
            </w:r>
            <w:r w:rsidRPr="001D1BE2">
              <w:t>ether with application of underpinning knowledge.</w:t>
            </w:r>
          </w:p>
          <w:p w:rsidR="00000000" w:rsidRPr="001D1BE2" w:rsidP="001D1BE2">
            <w:pPr>
              <w:pStyle w:val="BodyText"/>
            </w:pPr>
            <w:r w:rsidRPr="001D1BE2">
              <w:t>Assessment methods must be by direct observation of tasks and include questioning on underpinning knowledge to ensure correct interpretation and application.</w:t>
            </w:r>
          </w:p>
          <w:p w:rsidR="00000000" w:rsidRPr="001D1BE2" w:rsidP="001D1BE2">
            <w:pPr>
              <w:pStyle w:val="BodyText"/>
            </w:pPr>
            <w:r w:rsidRPr="001D1BE2">
              <w:t>Assessment may be applied under project-related conditions (real or simulated) and require evidence of process.</w:t>
            </w:r>
          </w:p>
          <w:p w:rsidR="00000000" w:rsidRPr="001D1BE2" w:rsidP="001D1BE2">
            <w:pPr>
              <w:pStyle w:val="BodyText"/>
            </w:pPr>
            <w:r w:rsidRPr="001D1BE2">
              <w:t>Assessment must confirm a reasonable inference that competency is able not only to be satisfied under the particular circumstance, but is able t</w:t>
            </w:r>
            <w:r w:rsidRPr="001D1BE2">
              <w:t>o be transferred to other circumstances.</w:t>
            </w:r>
          </w:p>
          <w:p w:rsidR="00000000" w:rsidP="001D1BE2">
            <w:pPr>
              <w:pStyle w:val="BodyText"/>
              <w:rPr>
                <w:lang w:val="en-NZ"/>
              </w:rPr>
            </w:pPr>
            <w:r w:rsidRPr="001D1BE2">
              <w:t>Assessment may be in conjunction with assessment of other units of competency.</w:t>
            </w:r>
          </w:p>
        </w:tc>
      </w:tr>
      <w:tr w:rsidTr="001D1BE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BE2">
            <w:pPr>
              <w:pStyle w:val="BodyText"/>
              <w:rPr>
                <w:lang w:val="en-NZ"/>
              </w:rPr>
            </w:pPr>
            <w:r w:rsidRPr="001D1BE2">
              <w:rPr>
                <w:rStyle w:val="SpecialBold"/>
              </w:rPr>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BE2" w:rsidP="001D1BE2">
            <w:pPr>
              <w:pStyle w:val="BodyText"/>
            </w:pPr>
          </w:p>
        </w:tc>
      </w:tr>
    </w:tbl>
    <w:p w:rsidR="00000000" w:rsidRPr="001D1BE2" w:rsidP="001D1BE2">
      <w:pPr>
        <w:pStyle w:val="BodyText"/>
      </w:pPr>
    </w:p>
    <w:p w:rsidR="00000000" w:rsidRPr="001D1BE2" w:rsidP="001D1BE2">
      <w:pPr>
        <w:pStyle w:val="AllowPageBreak"/>
      </w:pPr>
    </w:p>
    <w:p w:rsidR="00000000" w:rsidRPr="001D1BE2" w:rsidP="001D1BE2">
      <w:pPr>
        <w:pStyle w:val="Heading1"/>
      </w:pPr>
      <w:bookmarkStart w:id="11" w:name="O_348725"/>
      <w:bookmarkEnd w:id="11"/>
      <w:r w:rsidRPr="001D1BE2">
        <w:t>Range Statement</w:t>
      </w:r>
    </w:p>
    <w:tbl>
      <w:tblPr>
        <w:tblW w:w="0" w:type="auto"/>
        <w:tblLayout w:type="fixed"/>
        <w:tblCellMar>
          <w:left w:w="62" w:type="dxa"/>
          <w:right w:w="62" w:type="dxa"/>
        </w:tblCellMar>
        <w:tblLook w:val="0000"/>
      </w:tblPr>
      <w:tblGrid>
        <w:gridCol w:w="3674"/>
        <w:gridCol w:w="5398"/>
      </w:tblGrid>
      <w:tr w:rsidTr="001D1B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t>The range statement relates to the unit of competency as a whol</w:t>
            </w:r>
            <w:r w:rsidRPr="001D1BE2">
              <w:t>e. It allows for different work environments and situations that may affect performance. Bold italicised wording, if used in the performance criteria, is detailed below. Essential operating conditions that may be present with training and assessment (depen</w:t>
            </w:r>
            <w:r w:rsidRPr="001D1BE2">
              <w:t>ding on the work situation, needs of the candidate, accessibility of the item, and local industry and regional contexts) may also be included.</w:t>
            </w:r>
          </w:p>
        </w:tc>
      </w:tr>
      <w:tr w:rsidTr="001D1BE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BE2">
            <w:pPr>
              <w:pStyle w:val="BodyText"/>
              <w:rPr>
                <w:lang w:val="en-NZ"/>
              </w:rPr>
            </w:pPr>
            <w:r w:rsidRPr="001D1BE2">
              <w:rPr>
                <w:rStyle w:val="BoldandItalics"/>
              </w:rPr>
              <w:t>Power supply</w:t>
            </w:r>
            <w:r w:rsidRPr="001D1BE2">
              <w:rPr>
                <w:rStyle w:val="SpecialBold"/>
              </w:rPr>
              <w:t xml:space="preserve"> </w:t>
            </w:r>
            <w:r w:rsidRPr="001D1BE2">
              <w:t>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BE2">
            <w:pPr>
              <w:pStyle w:val="ListBullet"/>
              <w:rPr>
                <w:lang w:val="en-NZ"/>
              </w:rPr>
            </w:pPr>
            <w:r w:rsidRPr="001D1BE2">
              <w:t>electricity or compressed air for the operation of power tools</w:t>
            </w:r>
          </w:p>
        </w:tc>
      </w:tr>
      <w:tr w:rsidTr="001D1BE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BE2">
            <w:pPr>
              <w:pStyle w:val="BodyText"/>
              <w:rPr>
                <w:lang w:val="en-NZ"/>
              </w:rPr>
            </w:pPr>
            <w:r w:rsidRPr="001D1BE2">
              <w:rPr>
                <w:rStyle w:val="BoldandItalics"/>
              </w:rPr>
              <w:t>OHS requirements</w:t>
            </w:r>
            <w:r w:rsidRPr="001D1BE2">
              <w:rPr>
                <w:rStyle w:val="SpecialBold"/>
              </w:rPr>
              <w:t xml:space="preserve">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BE2" w:rsidP="001D1BE2">
            <w:pPr>
              <w:pStyle w:val="ListBullet"/>
            </w:pPr>
            <w:r w:rsidRPr="001D1BE2">
              <w:t xml:space="preserve">safe working practices </w:t>
            </w:r>
          </w:p>
          <w:p w:rsidR="00000000" w:rsidRPr="001D1BE2" w:rsidP="001D1BE2">
            <w:pPr>
              <w:pStyle w:val="ListBullet"/>
            </w:pPr>
            <w:r w:rsidRPr="001D1BE2">
              <w:t xml:space="preserve">use of tools and equipment </w:t>
            </w:r>
          </w:p>
          <w:p w:rsidR="00000000" w:rsidRPr="001D1BE2" w:rsidP="001D1BE2">
            <w:pPr>
              <w:pStyle w:val="ListBullet"/>
            </w:pPr>
            <w:r w:rsidRPr="001D1BE2">
              <w:t xml:space="preserve">use of power tools </w:t>
            </w:r>
          </w:p>
          <w:p w:rsidR="00000000" w:rsidP="001D1BE2">
            <w:pPr>
              <w:pStyle w:val="ListBullet"/>
              <w:rPr>
                <w:lang w:val="en-NZ"/>
              </w:rPr>
            </w:pPr>
            <w:r w:rsidRPr="001D1BE2">
              <w:t xml:space="preserve">safe handling and storage of materials in accordance with enterprise procedures </w:t>
            </w:r>
          </w:p>
        </w:tc>
      </w:tr>
      <w:tr w:rsidTr="001D1BE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BE2">
            <w:pPr>
              <w:pStyle w:val="BodyText"/>
              <w:rPr>
                <w:lang w:val="en-NZ"/>
              </w:rPr>
            </w:pPr>
            <w:r w:rsidRPr="001D1BE2">
              <w:rPr>
                <w:rStyle w:val="BoldandItalics"/>
              </w:rPr>
              <w:t>Hand tools</w:t>
            </w:r>
            <w:r w:rsidRPr="001D1BE2">
              <w:rPr>
                <w:rStyle w:val="SpecialBold"/>
              </w:rPr>
              <w:t xml:space="preserve"> used in the glass and glazing sector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BE2" w:rsidP="001D1BE2">
            <w:pPr>
              <w:pStyle w:val="ListBullet"/>
            </w:pPr>
            <w:r w:rsidRPr="001D1BE2">
              <w:t>tungsten wheel glass cutters</w:t>
            </w:r>
          </w:p>
          <w:p w:rsidR="00000000" w:rsidRPr="001D1BE2" w:rsidP="001D1BE2">
            <w:pPr>
              <w:pStyle w:val="ListBullet"/>
            </w:pPr>
            <w:r w:rsidRPr="001D1BE2">
              <w:t>speed cutters</w:t>
            </w:r>
          </w:p>
          <w:p w:rsidR="00000000" w:rsidRPr="001D1BE2" w:rsidP="001D1BE2">
            <w:pPr>
              <w:pStyle w:val="ListBullet"/>
            </w:pPr>
            <w:r w:rsidRPr="001D1BE2">
              <w:t>circle cutters</w:t>
            </w:r>
          </w:p>
          <w:p w:rsidR="00000000" w:rsidRPr="001D1BE2" w:rsidP="001D1BE2">
            <w:pPr>
              <w:pStyle w:val="ListBullet"/>
            </w:pPr>
            <w:r w:rsidRPr="001D1BE2">
              <w:t>vacuum straight edges</w:t>
            </w:r>
          </w:p>
          <w:p w:rsidR="00000000" w:rsidRPr="001D1BE2" w:rsidP="001D1BE2">
            <w:pPr>
              <w:pStyle w:val="ListBullet"/>
            </w:pPr>
            <w:r w:rsidRPr="001D1BE2">
              <w:t>lever and vacuum lifters</w:t>
            </w:r>
          </w:p>
          <w:p w:rsidR="00000000" w:rsidRPr="001D1BE2" w:rsidP="001D1BE2">
            <w:pPr>
              <w:pStyle w:val="ListBullet"/>
            </w:pPr>
            <w:r w:rsidRPr="001D1BE2">
              <w:t>plate and running pliers</w:t>
            </w:r>
          </w:p>
          <w:p w:rsidR="00000000" w:rsidRPr="001D1BE2" w:rsidP="001D1BE2">
            <w:pPr>
              <w:pStyle w:val="ListBullet"/>
            </w:pPr>
            <w:r w:rsidRPr="001D1BE2">
              <w:t xml:space="preserve">pop rivet pliers </w:t>
            </w:r>
          </w:p>
          <w:p w:rsidR="00000000" w:rsidRPr="001D1BE2" w:rsidP="001D1BE2">
            <w:pPr>
              <w:pStyle w:val="ListBullet"/>
            </w:pPr>
            <w:r w:rsidRPr="001D1BE2">
              <w:t>tools for aluminium:</w:t>
            </w:r>
          </w:p>
          <w:p w:rsidR="00000000" w:rsidRPr="001D1BE2" w:rsidP="001D1BE2">
            <w:pPr>
              <w:pStyle w:val="ListBullet2"/>
            </w:pPr>
            <w:r w:rsidRPr="001D1BE2">
              <w:t xml:space="preserve">knives </w:t>
            </w:r>
          </w:p>
          <w:p w:rsidR="00000000" w:rsidRPr="001D1BE2" w:rsidP="001D1BE2">
            <w:pPr>
              <w:pStyle w:val="ListBullet2"/>
            </w:pPr>
            <w:r w:rsidRPr="001D1BE2">
              <w:t xml:space="preserve">sheers </w:t>
            </w:r>
          </w:p>
          <w:p w:rsidR="00000000" w:rsidRPr="001D1BE2" w:rsidP="001D1BE2">
            <w:pPr>
              <w:pStyle w:val="ListBullet2"/>
            </w:pPr>
            <w:r w:rsidRPr="001D1BE2">
              <w:t xml:space="preserve">measuring devices </w:t>
            </w:r>
          </w:p>
          <w:p w:rsidR="00000000" w:rsidRPr="001D1BE2" w:rsidP="001D1BE2">
            <w:pPr>
              <w:pStyle w:val="ListBullet2"/>
            </w:pPr>
            <w:r w:rsidRPr="001D1BE2">
              <w:t xml:space="preserve">straight edge </w:t>
            </w:r>
          </w:p>
          <w:p w:rsidR="00000000" w:rsidRPr="001D1BE2" w:rsidP="001D1BE2">
            <w:pPr>
              <w:pStyle w:val="ListBullet2"/>
            </w:pPr>
            <w:r w:rsidRPr="001D1BE2">
              <w:t xml:space="preserve">square </w:t>
            </w:r>
          </w:p>
          <w:p w:rsidR="00000000" w:rsidRPr="001D1BE2" w:rsidP="001D1BE2">
            <w:pPr>
              <w:pStyle w:val="ListBullet2"/>
            </w:pPr>
            <w:r w:rsidRPr="001D1BE2">
              <w:t xml:space="preserve">assorted hammers </w:t>
            </w:r>
          </w:p>
          <w:p w:rsidR="00000000" w:rsidRPr="001D1BE2" w:rsidP="001D1BE2">
            <w:pPr>
              <w:pStyle w:val="ListBullet2"/>
            </w:pPr>
            <w:r w:rsidRPr="001D1BE2">
              <w:t xml:space="preserve">rollers </w:t>
            </w:r>
          </w:p>
          <w:p w:rsidR="00000000" w:rsidP="001D1BE2">
            <w:pPr>
              <w:pStyle w:val="ListBullet2"/>
              <w:rPr>
                <w:lang w:val="en-NZ"/>
              </w:rPr>
            </w:pPr>
            <w:r w:rsidRPr="001D1BE2">
              <w:t xml:space="preserve">combination saw </w:t>
            </w:r>
          </w:p>
        </w:tc>
      </w:tr>
      <w:tr w:rsidTr="001D1BE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BE2">
            <w:pPr>
              <w:pStyle w:val="BodyText"/>
              <w:rPr>
                <w:lang w:val="en-NZ"/>
              </w:rPr>
            </w:pPr>
            <w:r w:rsidRPr="001D1BE2">
              <w:rPr>
                <w:rStyle w:val="BoldandItalics"/>
              </w:rPr>
              <w:t>Personal protective equipment</w:t>
            </w:r>
            <w:r w:rsidRPr="001D1BE2">
              <w:rPr>
                <w:rStyle w:val="SpecialBold"/>
              </w:rPr>
              <w:t xml:space="preserve"> includes: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BE2" w:rsidP="001D1BE2">
            <w:pPr>
              <w:pStyle w:val="ListBullet"/>
            </w:pPr>
            <w:r w:rsidRPr="001D1BE2">
              <w:t>that prescribed under legislation, regulation and enterprise policies and practices, and may include:</w:t>
            </w:r>
          </w:p>
          <w:p w:rsidR="00000000" w:rsidRPr="001D1BE2" w:rsidP="001D1BE2">
            <w:pPr>
              <w:pStyle w:val="ListBullet2"/>
            </w:pPr>
            <w:r w:rsidRPr="001D1BE2">
              <w:t>gauntlets</w:t>
            </w:r>
          </w:p>
          <w:p w:rsidR="00000000" w:rsidRPr="001D1BE2" w:rsidP="001D1BE2">
            <w:pPr>
              <w:pStyle w:val="ListBullet2"/>
            </w:pPr>
            <w:r w:rsidRPr="001D1BE2">
              <w:t>gloves</w:t>
            </w:r>
          </w:p>
          <w:p w:rsidR="00000000" w:rsidRPr="001D1BE2" w:rsidP="001D1BE2">
            <w:pPr>
              <w:pStyle w:val="ListBullet2"/>
            </w:pPr>
            <w:r w:rsidRPr="001D1BE2">
              <w:t>safety glasses</w:t>
            </w:r>
          </w:p>
          <w:p w:rsidR="00000000" w:rsidRPr="001D1BE2" w:rsidP="001D1BE2">
            <w:pPr>
              <w:pStyle w:val="ListBullet2"/>
            </w:pPr>
            <w:r w:rsidRPr="001D1BE2">
              <w:t>ear protection</w:t>
            </w:r>
          </w:p>
          <w:p w:rsidR="00000000" w:rsidRPr="001D1BE2" w:rsidP="001D1BE2">
            <w:pPr>
              <w:pStyle w:val="ListBullet2"/>
            </w:pPr>
            <w:r w:rsidRPr="001D1BE2">
              <w:t>hard hats</w:t>
            </w:r>
          </w:p>
          <w:p w:rsidR="00000000" w:rsidRPr="001D1BE2" w:rsidP="001D1BE2">
            <w:pPr>
              <w:pStyle w:val="ListBullet2"/>
            </w:pPr>
            <w:r w:rsidRPr="001D1BE2">
              <w:t>safety footwear</w:t>
            </w:r>
          </w:p>
          <w:p w:rsidR="00000000" w:rsidP="001D1BE2">
            <w:pPr>
              <w:pStyle w:val="ListBullet2"/>
              <w:rPr>
                <w:lang w:val="en-NZ"/>
              </w:rPr>
            </w:pPr>
            <w:r w:rsidRPr="001D1BE2">
              <w:t>aprons and overalls</w:t>
            </w:r>
          </w:p>
        </w:tc>
      </w:tr>
      <w:tr w:rsidTr="001D1BE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BE2">
            <w:pPr>
              <w:pStyle w:val="BodyText"/>
              <w:rPr>
                <w:lang w:val="en-NZ"/>
              </w:rPr>
            </w:pPr>
            <w:r w:rsidRPr="001D1BE2">
              <w:rPr>
                <w:rStyle w:val="BoldandItalics"/>
              </w:rPr>
              <w:t>Power tools</w:t>
            </w:r>
            <w:r w:rsidRPr="001D1BE2">
              <w:rPr>
                <w:rStyle w:val="SpecialBold"/>
              </w:rPr>
              <w:t xml:space="preserve"> used in the glass and glazing sector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BE2" w:rsidP="001D1BE2">
            <w:pPr>
              <w:pStyle w:val="ListBullet"/>
            </w:pPr>
            <w:r w:rsidRPr="001D1BE2">
              <w:t>portable electric drills, screwdrivers, grinders, circular saws and jigsaws, plunge routers and sanders</w:t>
            </w:r>
          </w:p>
          <w:p w:rsidR="00000000" w:rsidRPr="001D1BE2" w:rsidP="001D1BE2">
            <w:pPr>
              <w:pStyle w:val="ListBullet"/>
            </w:pPr>
            <w:r w:rsidRPr="001D1BE2">
              <w:t>drop, radius, mitre and upcut saws, bench drills and grinders</w:t>
            </w:r>
          </w:p>
          <w:p w:rsidR="00000000" w:rsidRPr="001D1BE2" w:rsidP="001D1BE2">
            <w:pPr>
              <w:pStyle w:val="ListBullet"/>
            </w:pPr>
            <w:r w:rsidRPr="001D1BE2">
              <w:t>portable pneumatic drills, screwdriver</w:t>
            </w:r>
            <w:r w:rsidRPr="001D1BE2">
              <w:t>s, grinders, nail and staple guns, pop rivet guns and compressors</w:t>
            </w:r>
          </w:p>
          <w:p w:rsidR="00000000" w:rsidRPr="001D1BE2" w:rsidP="001D1BE2">
            <w:pPr>
              <w:pStyle w:val="ListBullet"/>
            </w:pPr>
            <w:r w:rsidRPr="001D1BE2">
              <w:t>tools for aluminium:</w:t>
            </w:r>
          </w:p>
          <w:p w:rsidR="00000000" w:rsidRPr="001D1BE2" w:rsidP="001D1BE2">
            <w:pPr>
              <w:pStyle w:val="ListBullet2"/>
            </w:pPr>
            <w:r w:rsidRPr="001D1BE2">
              <w:t xml:space="preserve">assorted air tools </w:t>
            </w:r>
          </w:p>
          <w:p w:rsidR="00000000" w:rsidRPr="001D1BE2" w:rsidP="001D1BE2">
            <w:pPr>
              <w:pStyle w:val="ListBullet2"/>
            </w:pPr>
            <w:r w:rsidRPr="001D1BE2">
              <w:t xml:space="preserve">assorted electric tools </w:t>
            </w:r>
          </w:p>
          <w:p w:rsidR="00000000" w:rsidRPr="001D1BE2" w:rsidP="001D1BE2">
            <w:pPr>
              <w:pStyle w:val="ListBullet2"/>
            </w:pPr>
            <w:r w:rsidRPr="001D1BE2">
              <w:t xml:space="preserve">compressor </w:t>
            </w:r>
          </w:p>
          <w:p w:rsidR="00000000" w:rsidRPr="001D1BE2" w:rsidP="001D1BE2">
            <w:pPr>
              <w:pStyle w:val="ListBullet2"/>
            </w:pPr>
            <w:r w:rsidRPr="001D1BE2">
              <w:t xml:space="preserve">rivet gun </w:t>
            </w:r>
          </w:p>
          <w:p w:rsidR="00000000" w:rsidP="001D1BE2">
            <w:pPr>
              <w:pStyle w:val="ListBullet2"/>
              <w:rPr>
                <w:lang w:val="en-NZ"/>
              </w:rPr>
            </w:pPr>
            <w:r w:rsidRPr="001D1BE2">
              <w:t>metal press and dies</w:t>
            </w:r>
          </w:p>
        </w:tc>
      </w:tr>
      <w:tr w:rsidTr="001D1BE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BE2">
            <w:pPr>
              <w:pStyle w:val="BodyText"/>
              <w:rPr>
                <w:lang w:val="en-NZ"/>
              </w:rPr>
            </w:pPr>
            <w:r w:rsidRPr="001D1BE2">
              <w:rPr>
                <w:rStyle w:val="BoldandItalics"/>
              </w:rPr>
              <w:t>Enterprise procedures</w:t>
            </w:r>
            <w:r w:rsidRPr="001D1BE2">
              <w:rPr>
                <w:rStyle w:val="SpecialBold"/>
              </w:rPr>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BE2" w:rsidP="001D1BE2">
            <w:pPr>
              <w:pStyle w:val="ListBullet"/>
            </w:pPr>
            <w:r w:rsidRPr="001D1BE2">
              <w:t xml:space="preserve">hand and power tool manufacturer specifications and operational procedures </w:t>
            </w:r>
          </w:p>
          <w:p w:rsidR="00000000" w:rsidRPr="001D1BE2" w:rsidP="001D1BE2">
            <w:pPr>
              <w:pStyle w:val="ListBullet"/>
            </w:pPr>
            <w:r w:rsidRPr="001D1BE2">
              <w:t xml:space="preserve">workplace procedures relating to OHS, tool handling and operation, reporting and communication </w:t>
            </w:r>
          </w:p>
          <w:p w:rsidR="00000000" w:rsidRPr="001D1BE2" w:rsidP="001D1BE2">
            <w:pPr>
              <w:pStyle w:val="ListBullet"/>
            </w:pPr>
            <w:r w:rsidRPr="001D1BE2">
              <w:t xml:space="preserve">work instructions, including job sheets, plans, drawings and designs </w:t>
            </w:r>
          </w:p>
        </w:tc>
      </w:tr>
    </w:tbl>
    <w:p w:rsidR="00000000" w:rsidRPr="001D1BE2" w:rsidP="001D1BE2">
      <w:pPr>
        <w:pStyle w:val="BodyText"/>
      </w:pPr>
    </w:p>
    <w:p w:rsidR="00000000" w:rsidRPr="001D1BE2" w:rsidP="001D1BE2">
      <w:pPr>
        <w:pStyle w:val="AllowPageBreak"/>
      </w:pPr>
    </w:p>
    <w:p w:rsidR="00000000" w:rsidRPr="001D1BE2" w:rsidP="001D1BE2">
      <w:pPr>
        <w:pStyle w:val="Heading1"/>
      </w:pPr>
      <w:bookmarkStart w:id="12" w:name="O_348726"/>
      <w:bookmarkEnd w:id="12"/>
      <w:r w:rsidRPr="001D1BE2">
        <w:t>Unit Sector(s)</w:t>
      </w:r>
    </w:p>
    <w:tbl>
      <w:tblPr>
        <w:tblW w:w="0" w:type="auto"/>
        <w:tblLayout w:type="fixed"/>
        <w:tblCellMar>
          <w:left w:w="62" w:type="dxa"/>
          <w:right w:w="62" w:type="dxa"/>
        </w:tblCellMar>
        <w:tblLook w:val="0000"/>
      </w:tblPr>
      <w:tblGrid>
        <w:gridCol w:w="9072"/>
      </w:tblGrid>
      <w:tr w:rsidTr="001D1B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D1BE2" w:rsidP="001D1BE2">
            <w:pPr>
              <w:pStyle w:val="BodyText"/>
            </w:pPr>
            <w:r w:rsidRPr="001D1BE2">
              <w:t>Glass and glazing</w:t>
            </w:r>
          </w:p>
        </w:tc>
      </w:tr>
    </w:tbl>
    <w:p w:rsidR="006E5936" w:rsidP="001D1BE2">
      <w:pPr>
        <w:pStyle w:val="BodyText"/>
      </w:pPr>
    </w:p>
    <w:p w:rsidR="006E5936" w:rsidP="001D1BE2">
      <w:pPr>
        <w:pStyle w:val="BodyText"/>
      </w:pPr>
    </w:p>
    <w:p w:rsidR="00000000" w:rsidRPr="001D1BE2" w:rsidP="001D1BE2">
      <w:pPr>
        <w:pStyle w:val="Heading1"/>
      </w:pPr>
      <w:bookmarkStart w:id="13" w:name="O_348727"/>
      <w:bookmarkEnd w:id="13"/>
      <w:r w:rsidRPr="001D1BE2">
        <w:t>Custom Content Section</w:t>
      </w:r>
    </w:p>
    <w:tbl>
      <w:tblPr>
        <w:tblW w:w="0" w:type="auto"/>
        <w:tblLayout w:type="fixed"/>
        <w:tblCellMar>
          <w:left w:w="62" w:type="dxa"/>
          <w:right w:w="62" w:type="dxa"/>
        </w:tblCellMar>
        <w:tblLook w:val="0000"/>
      </w:tblPr>
      <w:tblGrid>
        <w:gridCol w:w="9072"/>
      </w:tblGrid>
      <w:tr w:rsidTr="001D1B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D1BE2">
            <w:pPr>
              <w:pStyle w:val="BodyText"/>
              <w:rPr>
                <w:lang w:val="en-NZ"/>
              </w:rPr>
            </w:pPr>
            <w:r w:rsidRPr="001D1BE2">
              <w:rPr>
                <w:rStyle w:val="SpecialBold"/>
              </w:rPr>
              <w:t>Competency field</w:t>
            </w:r>
          </w:p>
        </w:tc>
      </w:tr>
      <w:tr w:rsidTr="001D1B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D1BE2" w:rsidP="001D1BE2">
            <w:pPr>
              <w:pStyle w:val="BodyText"/>
            </w:pPr>
            <w:r w:rsidRPr="001D1BE2">
              <w:t>Not applicable</w:t>
            </w:r>
          </w:p>
        </w:tc>
      </w:tr>
    </w:tbl>
    <w:p w:rsidR="00000000" w:rsidRPr="001D1BE2" w:rsidP="001D1BE2">
      <w:pPr>
        <w:pStyle w:val="BodyText"/>
      </w:pPr>
    </w:p>
    <w:p w:rsidR="00000000" w:rsidRPr="001D1BE2" w:rsidP="001D1BE2"/>
    <w:sectPr w:rsidSect="001D1B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9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936">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9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936" w:rsidP="001D1B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E5936" w:rsidP="001D1B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E5936" w:rsidP="001D1B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9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5936" w:rsidP="006E59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9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936" w:rsidP="001D1BE2">
    <w:pPr>
      <w:pStyle w:val="Header"/>
      <w:framePr w:wrap="around"/>
    </w:pPr>
    <w:r>
      <w:fldChar w:fldCharType="begin"/>
    </w:r>
    <w:r>
      <w:instrText xml:space="preserve"> TITLE   \* MERGEFORMAT </w:instrText>
    </w:r>
    <w:r>
      <w:fldChar w:fldCharType="separate"/>
    </w:r>
    <w:r>
      <w:t>LMFGG2001C Use glass and glazing sector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E5936" w:rsidP="001D1B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6C72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1897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CC9E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B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1BE2"/>
    <w:pPr>
      <w:spacing w:before="360" w:after="60"/>
      <w:outlineLvl w:val="0"/>
    </w:pPr>
    <w:rPr>
      <w:sz w:val="32"/>
    </w:rPr>
  </w:style>
  <w:style w:type="paragraph" w:styleId="Heading2">
    <w:name w:val="heading 2"/>
    <w:basedOn w:val="HeadingBase"/>
    <w:next w:val="BodyText"/>
    <w:link w:val="Heading2Char"/>
    <w:qFormat/>
    <w:rsid w:val="001D1BE2"/>
    <w:pPr>
      <w:keepLines/>
      <w:spacing w:before="240" w:after="120"/>
      <w:outlineLvl w:val="1"/>
    </w:pPr>
    <w:rPr>
      <w:sz w:val="28"/>
      <w:szCs w:val="40"/>
    </w:rPr>
  </w:style>
  <w:style w:type="paragraph" w:styleId="Heading3">
    <w:name w:val="heading 3"/>
    <w:basedOn w:val="HeadingBase"/>
    <w:next w:val="BodyText"/>
    <w:link w:val="Heading3Char"/>
    <w:qFormat/>
    <w:rsid w:val="001D1BE2"/>
    <w:pPr>
      <w:spacing w:before="180" w:after="120"/>
      <w:outlineLvl w:val="2"/>
    </w:pPr>
    <w:rPr>
      <w:spacing w:val="-10"/>
      <w:kern w:val="32"/>
    </w:rPr>
  </w:style>
  <w:style w:type="paragraph" w:styleId="Heading4">
    <w:name w:val="heading 4"/>
    <w:basedOn w:val="HeadingBase"/>
    <w:next w:val="BodyText"/>
    <w:link w:val="Heading4Char"/>
    <w:qFormat/>
    <w:rsid w:val="001D1BE2"/>
    <w:pPr>
      <w:spacing w:before="160" w:after="120"/>
      <w:outlineLvl w:val="3"/>
    </w:pPr>
    <w:rPr>
      <w:sz w:val="22"/>
    </w:rPr>
  </w:style>
  <w:style w:type="paragraph" w:styleId="Heading5">
    <w:name w:val="heading 5"/>
    <w:basedOn w:val="HeadingBase"/>
    <w:next w:val="Normal"/>
    <w:link w:val="Heading5Char"/>
    <w:qFormat/>
    <w:rsid w:val="001D1BE2"/>
    <w:pPr>
      <w:spacing w:before="80"/>
      <w:outlineLvl w:val="4"/>
    </w:pPr>
    <w:rPr>
      <w:color w:val="918585"/>
      <w:sz w:val="20"/>
    </w:rPr>
  </w:style>
  <w:style w:type="paragraph" w:styleId="Heading6">
    <w:name w:val="heading 6"/>
    <w:basedOn w:val="HeadingBase"/>
    <w:next w:val="Normal"/>
    <w:link w:val="Heading6Char"/>
    <w:qFormat/>
    <w:rsid w:val="001D1BE2"/>
    <w:pPr>
      <w:spacing w:before="60"/>
      <w:outlineLvl w:val="5"/>
    </w:pPr>
    <w:rPr>
      <w:color w:val="918585"/>
      <w:sz w:val="20"/>
    </w:rPr>
  </w:style>
  <w:style w:type="paragraph" w:styleId="Heading7">
    <w:name w:val="heading 7"/>
    <w:basedOn w:val="Normal"/>
    <w:next w:val="Normal"/>
    <w:link w:val="Heading7Char"/>
    <w:qFormat/>
    <w:rsid w:val="001D1BE2"/>
    <w:pPr>
      <w:ind w:left="720"/>
      <w:outlineLvl w:val="6"/>
    </w:pPr>
    <w:rPr>
      <w:i/>
    </w:rPr>
  </w:style>
  <w:style w:type="paragraph" w:styleId="Heading8">
    <w:name w:val="heading 8"/>
    <w:basedOn w:val="Normal"/>
    <w:next w:val="Normal"/>
    <w:link w:val="Heading8Char"/>
    <w:qFormat/>
    <w:rsid w:val="001D1BE2"/>
    <w:pPr>
      <w:ind w:left="720"/>
      <w:outlineLvl w:val="7"/>
    </w:pPr>
    <w:rPr>
      <w:i/>
    </w:rPr>
  </w:style>
  <w:style w:type="paragraph" w:styleId="Heading9">
    <w:name w:val="heading 9"/>
    <w:basedOn w:val="Normal"/>
    <w:next w:val="Normal"/>
    <w:link w:val="Heading9Char"/>
    <w:qFormat/>
    <w:rsid w:val="001D1BE2"/>
    <w:pPr>
      <w:ind w:left="720"/>
      <w:outlineLvl w:val="8"/>
    </w:pPr>
    <w:rPr>
      <w:i/>
    </w:rPr>
  </w:style>
  <w:style w:type="character" w:default="1" w:styleId="DefaultParagraphFont">
    <w:name w:val="Default Paragraph Font"/>
    <w:uiPriority w:val="1"/>
    <w:unhideWhenUsed/>
    <w:rsid w:val="001D1B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1BE2"/>
  </w:style>
  <w:style w:type="character" w:customStyle="1" w:styleId="Heading1Char">
    <w:name w:val="Heading 1 Char"/>
    <w:basedOn w:val="DefaultParagraphFont"/>
    <w:link w:val="Heading1"/>
    <w:rsid w:val="001D1BE2"/>
    <w:rPr>
      <w:rFonts w:ascii="Times New Roman" w:eastAsia="Times New Roman" w:hAnsi="Times New Roman" w:cs="Times New Roman"/>
      <w:b/>
      <w:sz w:val="32"/>
      <w:szCs w:val="20"/>
      <w:lang w:eastAsia="en-US"/>
    </w:rPr>
  </w:style>
  <w:style w:type="paragraph" w:styleId="BodyText">
    <w:name w:val="Body Text"/>
    <w:basedOn w:val="Normal"/>
    <w:link w:val="BodyTextChar"/>
    <w:rsid w:val="001D1B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1BE2"/>
    <w:rPr>
      <w:rFonts w:ascii="Times New Roman" w:eastAsia="Times New Roman" w:hAnsi="Times New Roman" w:cs="Times New Roman"/>
      <w:sz w:val="24"/>
      <w:lang w:val="en-US" w:eastAsia="en-US"/>
    </w:rPr>
  </w:style>
  <w:style w:type="paragraph" w:styleId="Footer">
    <w:name w:val="footer"/>
    <w:basedOn w:val="Normal"/>
    <w:link w:val="FooterChar"/>
    <w:rsid w:val="001D1B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1BE2"/>
    <w:rPr>
      <w:rFonts w:ascii="Times New Roman" w:eastAsia="Times New Roman" w:hAnsi="Times New Roman" w:cs="Times New Roman"/>
      <w:sz w:val="16"/>
      <w:lang w:val="en-US" w:eastAsia="en-US"/>
    </w:rPr>
  </w:style>
  <w:style w:type="paragraph" w:styleId="ListBullet">
    <w:name w:val="List Bullet"/>
    <w:basedOn w:val="List"/>
    <w:rsid w:val="001D1BE2"/>
    <w:pPr>
      <w:numPr>
        <w:numId w:val="13"/>
      </w:numPr>
      <w:tabs>
        <w:tab w:val="clear" w:pos="340"/>
      </w:tabs>
      <w:spacing w:before="40" w:after="40"/>
    </w:pPr>
  </w:style>
  <w:style w:type="character" w:customStyle="1" w:styleId="SpecialBold">
    <w:name w:val="Special Bold"/>
    <w:basedOn w:val="DefaultParagraphFont"/>
    <w:rsid w:val="001D1BE2"/>
    <w:rPr>
      <w:b/>
      <w:spacing w:val="0"/>
    </w:rPr>
  </w:style>
  <w:style w:type="paragraph" w:styleId="ListBullet2">
    <w:name w:val="List Bullet 2"/>
    <w:basedOn w:val="List2"/>
    <w:rsid w:val="001D1BE2"/>
    <w:pPr>
      <w:numPr>
        <w:numId w:val="14"/>
      </w:numPr>
      <w:tabs>
        <w:tab w:val="clear" w:pos="680"/>
      </w:tabs>
    </w:pPr>
  </w:style>
  <w:style w:type="paragraph" w:styleId="Header">
    <w:name w:val="header"/>
    <w:basedOn w:val="Normal"/>
    <w:link w:val="HeaderChar"/>
    <w:rsid w:val="001D1B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1B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1BE2"/>
    <w:pPr>
      <w:spacing w:before="240" w:after="120"/>
      <w:outlineLvl w:val="0"/>
    </w:pPr>
    <w:rPr>
      <w:rFonts w:ascii="Times New Roman" w:hAnsi="Times New Roman"/>
      <w:b/>
      <w:sz w:val="28"/>
    </w:rPr>
  </w:style>
  <w:style w:type="paragraph" w:customStyle="1" w:styleId="AllowPageBreak">
    <w:name w:val="AllowPageBreak"/>
    <w:rsid w:val="001D1B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D1BE2"/>
    <w:rPr>
      <w:b/>
      <w:i/>
      <w:u w:val="none"/>
    </w:rPr>
  </w:style>
  <w:style w:type="character" w:customStyle="1" w:styleId="Heading2Char">
    <w:name w:val="Heading 2 Char"/>
    <w:basedOn w:val="DefaultParagraphFont"/>
    <w:link w:val="Heading2"/>
    <w:rsid w:val="001D1B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1B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1B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1B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1B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1B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1B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1BE2"/>
    <w:rPr>
      <w:rFonts w:ascii="Courier New" w:eastAsia="Times New Roman" w:hAnsi="Courier New" w:cs="Times New Roman"/>
      <w:i/>
      <w:szCs w:val="20"/>
      <w:lang w:val="en-US" w:eastAsia="en-US"/>
    </w:rPr>
  </w:style>
  <w:style w:type="paragraph" w:customStyle="1" w:styleId="HeadingBase">
    <w:name w:val="Heading Base"/>
    <w:rsid w:val="001D1B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1BE2"/>
    <w:pPr>
      <w:tabs>
        <w:tab w:val="right" w:leader="dot" w:pos="9072"/>
      </w:tabs>
      <w:ind w:left="567"/>
    </w:pPr>
    <w:rPr>
      <w:szCs w:val="22"/>
    </w:rPr>
  </w:style>
  <w:style w:type="paragraph" w:customStyle="1" w:styleId="TOCBase">
    <w:name w:val="TOC Base"/>
    <w:rsid w:val="001D1B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1BE2"/>
    <w:pPr>
      <w:tabs>
        <w:tab w:val="right" w:leader="dot" w:pos="9072"/>
      </w:tabs>
      <w:spacing w:before="40" w:after="40"/>
      <w:ind w:left="284"/>
    </w:pPr>
    <w:rPr>
      <w:rFonts w:ascii="Times New Roman" w:hAnsi="Times New Roman"/>
    </w:rPr>
  </w:style>
  <w:style w:type="paragraph" w:styleId="TOC1">
    <w:name w:val="toc 1"/>
    <w:basedOn w:val="TOCBase"/>
    <w:next w:val="Normal"/>
    <w:rsid w:val="001D1B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1BE2"/>
    <w:pPr>
      <w:spacing w:before="5040"/>
      <w:jc w:val="center"/>
    </w:pPr>
    <w:rPr>
      <w:sz w:val="48"/>
      <w:szCs w:val="72"/>
      <w:lang w:val="en-US"/>
    </w:rPr>
  </w:style>
  <w:style w:type="character" w:customStyle="1" w:styleId="TitleChar">
    <w:name w:val="Title Char"/>
    <w:basedOn w:val="DefaultParagraphFont"/>
    <w:link w:val="Title"/>
    <w:rsid w:val="001D1B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1BE2"/>
    <w:pPr>
      <w:tabs>
        <w:tab w:val="left" w:pos="3600"/>
        <w:tab w:val="left" w:pos="3958"/>
      </w:tabs>
    </w:pPr>
  </w:style>
  <w:style w:type="paragraph" w:styleId="List">
    <w:name w:val="List"/>
    <w:basedOn w:val="BodyText"/>
    <w:next w:val="BodyText"/>
    <w:rsid w:val="001D1BE2"/>
    <w:pPr>
      <w:tabs>
        <w:tab w:val="left" w:pos="340"/>
      </w:tabs>
      <w:spacing w:before="60" w:after="60"/>
      <w:ind w:left="340" w:hanging="340"/>
    </w:pPr>
  </w:style>
  <w:style w:type="paragraph" w:customStyle="1" w:styleId="Note">
    <w:name w:val="Note"/>
    <w:basedOn w:val="BodyText"/>
    <w:rsid w:val="001D1B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1BE2"/>
    <w:pPr>
      <w:framePr w:wrap="auto" w:hAnchor="text" w:y="6049"/>
    </w:pPr>
    <w:rPr>
      <w:color w:val="000000"/>
      <w:sz w:val="40"/>
    </w:rPr>
  </w:style>
  <w:style w:type="paragraph" w:customStyle="1" w:styleId="TOCTitle">
    <w:name w:val="TOCTitle"/>
    <w:basedOn w:val="Heading1"/>
    <w:rsid w:val="001D1BE2"/>
    <w:pPr>
      <w:spacing w:after="240"/>
      <w:jc w:val="center"/>
      <w:outlineLvl w:val="9"/>
    </w:pPr>
    <w:rPr>
      <w:caps/>
    </w:rPr>
  </w:style>
  <w:style w:type="paragraph" w:customStyle="1" w:styleId="Version">
    <w:name w:val="Version"/>
    <w:rsid w:val="001D1B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1BE2"/>
    <w:pPr>
      <w:keepNext w:val="0"/>
      <w:tabs>
        <w:tab w:val="right" w:pos="4176"/>
      </w:tabs>
      <w:ind w:left="198" w:hanging="198"/>
    </w:pPr>
    <w:rPr>
      <w:rFonts w:ascii="Garamond" w:hAnsi="Garamond"/>
    </w:rPr>
  </w:style>
  <w:style w:type="paragraph" w:styleId="IndexHeading">
    <w:name w:val="index heading"/>
    <w:basedOn w:val="Normal"/>
    <w:next w:val="Index1"/>
    <w:semiHidden/>
    <w:rsid w:val="001D1BE2"/>
    <w:pPr>
      <w:spacing w:before="120" w:after="120"/>
    </w:pPr>
    <w:rPr>
      <w:rFonts w:ascii="Arial" w:hAnsi="Arial"/>
      <w:b/>
      <w:color w:val="918585"/>
      <w:sz w:val="24"/>
    </w:rPr>
  </w:style>
  <w:style w:type="paragraph" w:customStyle="1" w:styleId="Chapter">
    <w:name w:val="Chapter"/>
    <w:basedOn w:val="Normal"/>
    <w:rsid w:val="001D1BE2"/>
    <w:pPr>
      <w:spacing w:before="240"/>
    </w:pPr>
    <w:rPr>
      <w:rFonts w:ascii="Times New Roman" w:hAnsi="Times New Roman"/>
      <w:smallCaps/>
      <w:spacing w:val="80"/>
      <w:sz w:val="28"/>
    </w:rPr>
  </w:style>
  <w:style w:type="paragraph" w:customStyle="1" w:styleId="InChapter">
    <w:name w:val="InChapter"/>
    <w:basedOn w:val="Heading3"/>
    <w:rsid w:val="001D1BE2"/>
    <w:pPr>
      <w:spacing w:after="240"/>
      <w:outlineLvl w:val="9"/>
    </w:pPr>
    <w:rPr>
      <w:noProof/>
    </w:rPr>
  </w:style>
  <w:style w:type="paragraph" w:styleId="Index2">
    <w:name w:val="index 2"/>
    <w:basedOn w:val="Normal"/>
    <w:next w:val="Normal"/>
    <w:semiHidden/>
    <w:rsid w:val="001D1BE2"/>
    <w:pPr>
      <w:tabs>
        <w:tab w:val="right" w:pos="4176"/>
      </w:tabs>
      <w:ind w:left="568" w:hanging="284"/>
    </w:pPr>
    <w:rPr>
      <w:rFonts w:ascii="Garamond" w:hAnsi="Garamond"/>
    </w:rPr>
  </w:style>
  <w:style w:type="paragraph" w:customStyle="1" w:styleId="Byline">
    <w:name w:val="Byline"/>
    <w:rsid w:val="001D1B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1BE2"/>
    <w:pPr>
      <w:tabs>
        <w:tab w:val="clear" w:pos="3600"/>
        <w:tab w:val="clear" w:pos="3958"/>
      </w:tabs>
      <w:jc w:val="right"/>
    </w:pPr>
  </w:style>
  <w:style w:type="character" w:styleId="Emphasis">
    <w:name w:val="Emphasis"/>
    <w:basedOn w:val="DefaultParagraphFont"/>
    <w:qFormat/>
    <w:rsid w:val="001D1BE2"/>
    <w:rPr>
      <w:i/>
    </w:rPr>
  </w:style>
  <w:style w:type="paragraph" w:styleId="Caption">
    <w:name w:val="caption"/>
    <w:basedOn w:val="BodyText"/>
    <w:next w:val="Normal"/>
    <w:qFormat/>
    <w:rsid w:val="001D1BE2"/>
    <w:pPr>
      <w:framePr w:w="2268" w:hSpace="181" w:vSpace="181" w:wrap="around" w:vAnchor="text" w:hAnchor="page" w:x="1135" w:y="285" w:anchorLock="1"/>
    </w:pPr>
    <w:rPr>
      <w:i/>
    </w:rPr>
  </w:style>
  <w:style w:type="paragraph" w:customStyle="1" w:styleId="MiniTOCTitle">
    <w:name w:val="MiniTOCTitle"/>
    <w:basedOn w:val="Heading4"/>
    <w:rsid w:val="001D1BE2"/>
    <w:pPr>
      <w:spacing w:before="240"/>
      <w:outlineLvl w:val="9"/>
    </w:pPr>
    <w:rPr>
      <w:noProof/>
      <w:sz w:val="24"/>
    </w:rPr>
  </w:style>
  <w:style w:type="paragraph" w:customStyle="1" w:styleId="MiniTOCItem">
    <w:name w:val="MiniTOCItem"/>
    <w:basedOn w:val="ListBullet"/>
    <w:rsid w:val="001D1BE2"/>
    <w:pPr>
      <w:numPr>
        <w:numId w:val="0"/>
      </w:numPr>
      <w:tabs>
        <w:tab w:val="right" w:leader="dot" w:pos="6521"/>
      </w:tabs>
      <w:spacing w:before="0" w:after="0"/>
    </w:pPr>
  </w:style>
  <w:style w:type="paragraph" w:customStyle="1" w:styleId="TOFTitle">
    <w:name w:val="TOFTitle"/>
    <w:basedOn w:val="TOCTitle"/>
    <w:rsid w:val="001D1BE2"/>
  </w:style>
  <w:style w:type="paragraph" w:styleId="TableofFigures">
    <w:name w:val="table of figures"/>
    <w:basedOn w:val="Normal"/>
    <w:next w:val="Normal"/>
    <w:semiHidden/>
    <w:rsid w:val="001D1BE2"/>
    <w:pPr>
      <w:tabs>
        <w:tab w:val="right" w:leader="dot" w:pos="9072"/>
      </w:tabs>
      <w:ind w:left="970" w:hanging="403"/>
    </w:pPr>
    <w:rPr>
      <w:rFonts w:ascii="Times New Roman" w:hAnsi="Times New Roman"/>
      <w:b/>
    </w:rPr>
  </w:style>
  <w:style w:type="paragraph" w:styleId="ListNumber">
    <w:name w:val="List Number"/>
    <w:basedOn w:val="List"/>
    <w:rsid w:val="001D1BE2"/>
    <w:pPr>
      <w:numPr>
        <w:numId w:val="11"/>
      </w:numPr>
    </w:pPr>
  </w:style>
  <w:style w:type="character" w:customStyle="1" w:styleId="WingdingSymbols">
    <w:name w:val="Wingding Symbols"/>
    <w:rsid w:val="001D1BE2"/>
    <w:rPr>
      <w:rFonts w:ascii="Wingdings" w:hAnsi="Wingdings"/>
    </w:rPr>
  </w:style>
  <w:style w:type="paragraph" w:customStyle="1" w:styleId="TableHeading">
    <w:name w:val="Table Heading"/>
    <w:basedOn w:val="HeadingBase"/>
    <w:rsid w:val="001D1BE2"/>
    <w:pPr>
      <w:keepLines/>
      <w:pBdr>
        <w:bottom w:val="single" w:sz="6" w:space="1" w:color="918585"/>
      </w:pBdr>
      <w:spacing w:before="240"/>
    </w:pPr>
  </w:style>
  <w:style w:type="character" w:customStyle="1" w:styleId="HotSpot">
    <w:name w:val="HotSpot"/>
    <w:rsid w:val="001D1BE2"/>
    <w:rPr>
      <w:color w:val="0033CC"/>
      <w:u w:val="none"/>
    </w:rPr>
  </w:style>
  <w:style w:type="paragraph" w:customStyle="1" w:styleId="BodyTextRight">
    <w:name w:val="Body Text Right"/>
    <w:basedOn w:val="BodyText"/>
    <w:rsid w:val="001D1BE2"/>
    <w:pPr>
      <w:spacing w:before="0" w:after="0"/>
      <w:jc w:val="right"/>
    </w:pPr>
  </w:style>
  <w:style w:type="paragraph" w:styleId="Index3">
    <w:name w:val="index 3"/>
    <w:basedOn w:val="ListNumber2"/>
    <w:next w:val="Normal"/>
    <w:semiHidden/>
    <w:rsid w:val="001D1BE2"/>
    <w:pPr>
      <w:numPr>
        <w:numId w:val="0"/>
      </w:numPr>
      <w:tabs>
        <w:tab w:val="right" w:leader="dot" w:pos="4176"/>
      </w:tabs>
    </w:pPr>
  </w:style>
  <w:style w:type="paragraph" w:styleId="ListNumber2">
    <w:name w:val="List Number 2"/>
    <w:basedOn w:val="List2"/>
    <w:rsid w:val="001D1BE2"/>
    <w:pPr>
      <w:numPr>
        <w:numId w:val="10"/>
      </w:numPr>
      <w:tabs>
        <w:tab w:val="clear" w:pos="1060"/>
      </w:tabs>
    </w:pPr>
  </w:style>
  <w:style w:type="paragraph" w:customStyle="1" w:styleId="MarginNote">
    <w:name w:val="Margin Note"/>
    <w:basedOn w:val="BodyText"/>
    <w:rsid w:val="001D1B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1B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1B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1BE2"/>
    <w:rPr>
      <w:sz w:val="32"/>
    </w:rPr>
  </w:style>
  <w:style w:type="paragraph" w:customStyle="1" w:styleId="HeadingProcedure">
    <w:name w:val="Heading Procedure"/>
    <w:basedOn w:val="HeadingBase"/>
    <w:next w:val="Normal"/>
    <w:rsid w:val="001D1BE2"/>
    <w:pPr>
      <w:tabs>
        <w:tab w:val="left" w:pos="0"/>
      </w:tabs>
      <w:spacing w:before="120" w:after="60"/>
    </w:pPr>
    <w:rPr>
      <w:i/>
      <w:color w:val="918585"/>
      <w:sz w:val="22"/>
    </w:rPr>
  </w:style>
  <w:style w:type="paragraph" w:customStyle="1" w:styleId="TableBodyText">
    <w:name w:val="Table Body Text"/>
    <w:basedOn w:val="BodyText"/>
    <w:rsid w:val="001D1BE2"/>
    <w:pPr>
      <w:spacing w:before="60" w:after="60"/>
    </w:pPr>
  </w:style>
  <w:style w:type="paragraph" w:styleId="ListContinue">
    <w:name w:val="List Continue"/>
    <w:basedOn w:val="List"/>
    <w:rsid w:val="001D1BE2"/>
    <w:pPr>
      <w:ind w:firstLine="0"/>
    </w:pPr>
  </w:style>
  <w:style w:type="paragraph" w:customStyle="1" w:styleId="ListNote">
    <w:name w:val="List Note"/>
    <w:basedOn w:val="List"/>
    <w:rsid w:val="001D1BE2"/>
    <w:pPr>
      <w:pBdr>
        <w:top w:val="single" w:sz="6" w:space="2" w:color="918585"/>
        <w:bottom w:val="single" w:sz="6" w:space="2" w:color="918585"/>
      </w:pBdr>
      <w:tabs>
        <w:tab w:val="left" w:pos="1021"/>
      </w:tabs>
      <w:ind w:firstLine="0"/>
    </w:pPr>
  </w:style>
  <w:style w:type="paragraph" w:customStyle="1" w:styleId="Warning">
    <w:name w:val="Warning"/>
    <w:basedOn w:val="BodyText"/>
    <w:rsid w:val="001D1BE2"/>
    <w:pPr>
      <w:shd w:val="clear" w:color="auto" w:fill="D9D9D9"/>
      <w:tabs>
        <w:tab w:val="left" w:pos="992"/>
      </w:tabs>
      <w:ind w:left="119" w:right="119"/>
    </w:pPr>
    <w:rPr>
      <w:sz w:val="20"/>
    </w:rPr>
  </w:style>
  <w:style w:type="paragraph" w:customStyle="1" w:styleId="MarginIcons">
    <w:name w:val="Margin Icons"/>
    <w:basedOn w:val="BodyText"/>
    <w:rsid w:val="001D1B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1BE2"/>
    <w:rPr>
      <w:rFonts w:ascii="Courier New" w:hAnsi="Courier New"/>
    </w:rPr>
  </w:style>
  <w:style w:type="paragraph" w:customStyle="1" w:styleId="NoteBullet">
    <w:name w:val="Note Bullet"/>
    <w:basedOn w:val="Note"/>
    <w:rsid w:val="001D1BE2"/>
    <w:pPr>
      <w:tabs>
        <w:tab w:val="clear" w:pos="680"/>
      </w:tabs>
      <w:spacing w:before="60" w:after="60"/>
    </w:pPr>
  </w:style>
  <w:style w:type="paragraph" w:customStyle="1" w:styleId="SubHeading2">
    <w:name w:val="SubHeading2"/>
    <w:basedOn w:val="HeadingBase"/>
    <w:rsid w:val="001D1BE2"/>
    <w:pPr>
      <w:spacing w:before="240" w:after="60"/>
    </w:pPr>
    <w:rPr>
      <w:sz w:val="20"/>
    </w:rPr>
  </w:style>
  <w:style w:type="paragraph" w:customStyle="1" w:styleId="SubHeading1">
    <w:name w:val="SubHeading1"/>
    <w:basedOn w:val="HeadingBase"/>
    <w:rsid w:val="001D1BE2"/>
    <w:pPr>
      <w:spacing w:before="240" w:after="60"/>
    </w:pPr>
    <w:rPr>
      <w:color w:val="918585"/>
      <w:sz w:val="22"/>
    </w:rPr>
  </w:style>
  <w:style w:type="paragraph" w:customStyle="1" w:styleId="SideHeading">
    <w:name w:val="Side Heading"/>
    <w:basedOn w:val="HeadingBase"/>
    <w:rsid w:val="001D1B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1BE2"/>
    <w:pPr>
      <w:numPr>
        <w:numId w:val="12"/>
      </w:numPr>
    </w:pPr>
  </w:style>
  <w:style w:type="paragraph" w:styleId="PlainText">
    <w:name w:val="Plain Text"/>
    <w:basedOn w:val="Normal"/>
    <w:link w:val="PlainTextChar"/>
    <w:rsid w:val="001D1BE2"/>
    <w:rPr>
      <w:sz w:val="20"/>
    </w:rPr>
  </w:style>
  <w:style w:type="character" w:customStyle="1" w:styleId="PlainTextChar">
    <w:name w:val="Plain Text Char"/>
    <w:basedOn w:val="DefaultParagraphFont"/>
    <w:link w:val="PlainText"/>
    <w:rsid w:val="001D1B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1BE2"/>
    <w:rPr>
      <w:b/>
      <w:smallCaps/>
    </w:rPr>
  </w:style>
  <w:style w:type="paragraph" w:customStyle="1" w:styleId="TableListNumber">
    <w:name w:val="Table List Number"/>
    <w:basedOn w:val="ListNumber"/>
    <w:rsid w:val="001D1BE2"/>
    <w:pPr>
      <w:numPr>
        <w:numId w:val="0"/>
      </w:numPr>
    </w:pPr>
  </w:style>
  <w:style w:type="paragraph" w:styleId="TOC4">
    <w:name w:val="toc 4"/>
    <w:basedOn w:val="TOCBase"/>
    <w:next w:val="Normal"/>
    <w:semiHidden/>
    <w:rsid w:val="001D1BE2"/>
    <w:pPr>
      <w:tabs>
        <w:tab w:val="right" w:leader="dot" w:pos="9071"/>
      </w:tabs>
      <w:ind w:left="1701"/>
    </w:pPr>
  </w:style>
  <w:style w:type="paragraph" w:customStyle="1" w:styleId="ListAlpha">
    <w:name w:val="List Alpha"/>
    <w:basedOn w:val="List"/>
    <w:rsid w:val="001D1BE2"/>
    <w:pPr>
      <w:numPr>
        <w:numId w:val="9"/>
      </w:numPr>
    </w:pPr>
  </w:style>
  <w:style w:type="paragraph" w:customStyle="1" w:styleId="ListAlpha2">
    <w:name w:val="List Alpha 2"/>
    <w:basedOn w:val="List2"/>
    <w:rsid w:val="001D1BE2"/>
    <w:pPr>
      <w:numPr>
        <w:numId w:val="8"/>
      </w:numPr>
    </w:pPr>
  </w:style>
  <w:style w:type="paragraph" w:styleId="List2">
    <w:name w:val="List 2"/>
    <w:basedOn w:val="BodyText"/>
    <w:rsid w:val="001D1BE2"/>
    <w:pPr>
      <w:tabs>
        <w:tab w:val="left" w:pos="680"/>
      </w:tabs>
      <w:spacing w:before="60" w:after="60"/>
      <w:ind w:left="680" w:hanging="340"/>
    </w:pPr>
  </w:style>
  <w:style w:type="paragraph" w:styleId="List3">
    <w:name w:val="List 3"/>
    <w:basedOn w:val="BodyText"/>
    <w:rsid w:val="001D1BE2"/>
    <w:pPr>
      <w:tabs>
        <w:tab w:val="left" w:pos="1021"/>
      </w:tabs>
      <w:spacing w:before="60" w:after="60"/>
      <w:ind w:left="1020" w:hanging="340"/>
    </w:pPr>
  </w:style>
  <w:style w:type="paragraph" w:styleId="List4">
    <w:name w:val="List 4"/>
    <w:basedOn w:val="BodyText"/>
    <w:rsid w:val="001D1BE2"/>
    <w:pPr>
      <w:tabs>
        <w:tab w:val="left" w:pos="1361"/>
      </w:tabs>
      <w:spacing w:before="60" w:after="60"/>
      <w:ind w:left="1361" w:hanging="340"/>
    </w:pPr>
  </w:style>
  <w:style w:type="paragraph" w:styleId="List5">
    <w:name w:val="List 5"/>
    <w:basedOn w:val="BodyText"/>
    <w:rsid w:val="001D1BE2"/>
    <w:pPr>
      <w:tabs>
        <w:tab w:val="left" w:pos="1701"/>
      </w:tabs>
      <w:spacing w:before="60" w:after="60"/>
      <w:ind w:left="1701" w:hanging="340"/>
    </w:pPr>
  </w:style>
  <w:style w:type="paragraph" w:styleId="ListBullet3">
    <w:name w:val="List Bullet 3"/>
    <w:basedOn w:val="List3"/>
    <w:rsid w:val="001D1BE2"/>
    <w:pPr>
      <w:numPr>
        <w:numId w:val="15"/>
      </w:numPr>
      <w:tabs>
        <w:tab w:val="clear" w:pos="1021"/>
      </w:tabs>
      <w:ind w:left="1037" w:hanging="357"/>
    </w:pPr>
  </w:style>
  <w:style w:type="paragraph" w:styleId="ListBullet4">
    <w:name w:val="List Bullet 4"/>
    <w:basedOn w:val="List4"/>
    <w:rsid w:val="001D1BE2"/>
    <w:pPr>
      <w:numPr>
        <w:numId w:val="3"/>
      </w:numPr>
    </w:pPr>
  </w:style>
  <w:style w:type="paragraph" w:styleId="ListBullet5">
    <w:name w:val="List Bullet 5"/>
    <w:basedOn w:val="List5"/>
    <w:rsid w:val="001D1BE2"/>
    <w:pPr>
      <w:numPr>
        <w:numId w:val="4"/>
      </w:numPr>
    </w:pPr>
  </w:style>
  <w:style w:type="paragraph" w:styleId="ListContinue2">
    <w:name w:val="List Continue 2"/>
    <w:basedOn w:val="List2"/>
    <w:rsid w:val="001D1BE2"/>
    <w:pPr>
      <w:ind w:firstLine="0"/>
    </w:pPr>
  </w:style>
  <w:style w:type="paragraph" w:styleId="ListContinue3">
    <w:name w:val="List Continue 3"/>
    <w:basedOn w:val="List3"/>
    <w:rsid w:val="001D1BE2"/>
    <w:pPr>
      <w:ind w:left="1021" w:firstLine="0"/>
    </w:pPr>
  </w:style>
  <w:style w:type="paragraph" w:styleId="ListContinue4">
    <w:name w:val="List Continue 4"/>
    <w:basedOn w:val="List4"/>
    <w:rsid w:val="001D1BE2"/>
    <w:pPr>
      <w:ind w:firstLine="0"/>
    </w:pPr>
  </w:style>
  <w:style w:type="paragraph" w:styleId="ListContinue5">
    <w:name w:val="List Continue 5"/>
    <w:basedOn w:val="List5"/>
    <w:rsid w:val="001D1BE2"/>
    <w:pPr>
      <w:ind w:firstLine="0"/>
    </w:pPr>
  </w:style>
  <w:style w:type="paragraph" w:styleId="ListNumber3">
    <w:name w:val="List Number 3"/>
    <w:basedOn w:val="List3"/>
    <w:rsid w:val="001D1BE2"/>
    <w:pPr>
      <w:numPr>
        <w:numId w:val="5"/>
      </w:numPr>
    </w:pPr>
  </w:style>
  <w:style w:type="paragraph" w:styleId="ListNumber4">
    <w:name w:val="List Number 4"/>
    <w:basedOn w:val="List4"/>
    <w:rsid w:val="001D1BE2"/>
    <w:pPr>
      <w:numPr>
        <w:numId w:val="6"/>
      </w:numPr>
    </w:pPr>
  </w:style>
  <w:style w:type="paragraph" w:styleId="ListNumber5">
    <w:name w:val="List Number 5"/>
    <w:basedOn w:val="List5"/>
    <w:rsid w:val="001D1BE2"/>
    <w:pPr>
      <w:numPr>
        <w:numId w:val="7"/>
      </w:numPr>
    </w:pPr>
  </w:style>
  <w:style w:type="paragraph" w:styleId="BlockText">
    <w:name w:val="Block Text"/>
    <w:basedOn w:val="Normal"/>
    <w:rsid w:val="001D1BE2"/>
    <w:pPr>
      <w:spacing w:after="120"/>
      <w:ind w:left="1440" w:right="1440"/>
    </w:pPr>
  </w:style>
  <w:style w:type="character" w:customStyle="1" w:styleId="Subscript">
    <w:name w:val="Subscript"/>
    <w:basedOn w:val="DefaultParagraphFont"/>
    <w:rsid w:val="001D1BE2"/>
    <w:rPr>
      <w:sz w:val="16"/>
      <w:vertAlign w:val="subscript"/>
    </w:rPr>
  </w:style>
  <w:style w:type="character" w:customStyle="1" w:styleId="Superscript">
    <w:name w:val="Superscript"/>
    <w:basedOn w:val="DefaultParagraphFont"/>
    <w:rsid w:val="001D1BE2"/>
    <w:rPr>
      <w:sz w:val="16"/>
      <w:vertAlign w:val="superscript"/>
    </w:rPr>
  </w:style>
  <w:style w:type="character" w:customStyle="1" w:styleId="Symbols">
    <w:name w:val="Symbols"/>
    <w:basedOn w:val="DefaultParagraphFont"/>
    <w:rsid w:val="001D1BE2"/>
    <w:rPr>
      <w:rFonts w:ascii="Symbol" w:hAnsi="Symbol"/>
    </w:rPr>
  </w:style>
  <w:style w:type="character" w:customStyle="1" w:styleId="MenuOptions">
    <w:name w:val="Menu Options"/>
    <w:basedOn w:val="DefaultParagraphFont"/>
    <w:rsid w:val="001D1BE2"/>
    <w:rPr>
      <w:rFonts w:ascii="Arial Narrow" w:hAnsi="Arial Narrow"/>
      <w:smallCaps/>
    </w:rPr>
  </w:style>
  <w:style w:type="character" w:customStyle="1" w:styleId="Buttons">
    <w:name w:val="Buttons"/>
    <w:basedOn w:val="DefaultParagraphFont"/>
    <w:rsid w:val="001D1BE2"/>
    <w:rPr>
      <w:b/>
    </w:rPr>
  </w:style>
  <w:style w:type="character" w:customStyle="1" w:styleId="Underlined">
    <w:name w:val="Underlined"/>
    <w:basedOn w:val="DefaultParagraphFont"/>
    <w:rsid w:val="001D1BE2"/>
    <w:rPr>
      <w:u w:val="single"/>
    </w:rPr>
  </w:style>
  <w:style w:type="paragraph" w:customStyle="1" w:styleId="TableBodyTextRight">
    <w:name w:val="Table Body Text Right"/>
    <w:basedOn w:val="TableBodyText"/>
    <w:rsid w:val="001D1BE2"/>
    <w:pPr>
      <w:widowControl w:val="0"/>
      <w:autoSpaceDE w:val="0"/>
      <w:autoSpaceDN w:val="0"/>
      <w:adjustRightInd w:val="0"/>
      <w:jc w:val="right"/>
    </w:pPr>
    <w:rPr>
      <w:rFonts w:cs="Arial"/>
      <w:szCs w:val="18"/>
    </w:rPr>
  </w:style>
  <w:style w:type="paragraph" w:customStyle="1" w:styleId="CopyrightText">
    <w:name w:val="Copyright Text"/>
    <w:basedOn w:val="BodyText"/>
    <w:rsid w:val="001D1BE2"/>
    <w:rPr>
      <w:sz w:val="18"/>
    </w:rPr>
  </w:style>
  <w:style w:type="paragraph" w:customStyle="1" w:styleId="BodySmallRight">
    <w:name w:val="Body Small Right"/>
    <w:basedOn w:val="BodyTextRight"/>
    <w:rsid w:val="001D1BE2"/>
    <w:rPr>
      <w:sz w:val="18"/>
      <w:szCs w:val="18"/>
    </w:rPr>
  </w:style>
  <w:style w:type="paragraph" w:customStyle="1" w:styleId="MarginEdition">
    <w:name w:val="Margin Edition"/>
    <w:basedOn w:val="MarginNote"/>
    <w:rsid w:val="001D1BE2"/>
    <w:pPr>
      <w:spacing w:before="0" w:after="0"/>
    </w:pPr>
    <w:rPr>
      <w:rFonts w:ascii="Times New Roman" w:hAnsi="Times New Roman"/>
      <w:color w:val="999999"/>
    </w:rPr>
  </w:style>
  <w:style w:type="paragraph" w:customStyle="1" w:styleId="Spacer">
    <w:name w:val="Spacer"/>
    <w:basedOn w:val="Normal"/>
    <w:rsid w:val="001D1BE2"/>
    <w:rPr>
      <w:sz w:val="2"/>
      <w:szCs w:val="2"/>
    </w:rPr>
  </w:style>
  <w:style w:type="character" w:customStyle="1" w:styleId="Small">
    <w:name w:val="Small"/>
    <w:basedOn w:val="DefaultParagraphFont"/>
    <w:rsid w:val="001D1BE2"/>
    <w:rPr>
      <w:sz w:val="16"/>
    </w:rPr>
  </w:style>
  <w:style w:type="paragraph" w:customStyle="1" w:styleId="WideTable">
    <w:name w:val="Wide Table"/>
    <w:basedOn w:val="Normal"/>
    <w:rsid w:val="001D1BE2"/>
    <w:pPr>
      <w:ind w:left="-1418"/>
    </w:pPr>
    <w:rPr>
      <w:sz w:val="2"/>
      <w:szCs w:val="2"/>
    </w:rPr>
  </w:style>
  <w:style w:type="character" w:styleId="PageNumber">
    <w:name w:val="page number"/>
    <w:basedOn w:val="DefaultParagraphFont"/>
    <w:rsid w:val="001D1BE2"/>
  </w:style>
  <w:style w:type="paragraph" w:styleId="Quote">
    <w:name w:val="Quote"/>
    <w:basedOn w:val="Heading1"/>
    <w:link w:val="QuoteChar"/>
    <w:qFormat/>
    <w:rsid w:val="001D1BE2"/>
    <w:rPr>
      <w:b w:val="0"/>
      <w:sz w:val="72"/>
      <w:szCs w:val="72"/>
      <w:lang w:val="en-NZ"/>
    </w:rPr>
  </w:style>
  <w:style w:type="character" w:customStyle="1" w:styleId="QuoteChar">
    <w:name w:val="Quote Char"/>
    <w:basedOn w:val="DefaultParagraphFont"/>
    <w:link w:val="Quote"/>
    <w:rsid w:val="001D1B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1BE2"/>
    <w:pPr>
      <w:pageBreakBefore/>
    </w:pPr>
  </w:style>
  <w:style w:type="paragraph" w:customStyle="1" w:styleId="Border">
    <w:name w:val="Border"/>
    <w:basedOn w:val="Normal"/>
    <w:qFormat/>
    <w:rsid w:val="001D1B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1BE2"/>
    <w:rPr>
      <w:b/>
      <w:bCs/>
      <w:i/>
      <w:iCs/>
      <w:color w:val="auto"/>
    </w:rPr>
  </w:style>
  <w:style w:type="paragraph" w:styleId="IntenseQuote">
    <w:name w:val="Intense Quote"/>
    <w:basedOn w:val="Normal"/>
    <w:next w:val="Normal"/>
    <w:link w:val="IntenseQuoteChar"/>
    <w:uiPriority w:val="30"/>
    <w:qFormat/>
    <w:rsid w:val="001D1B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1B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1BE2"/>
    <w:rPr>
      <w:smallCaps/>
      <w:color w:val="auto"/>
      <w:u w:val="single"/>
    </w:rPr>
  </w:style>
  <w:style w:type="character" w:styleId="IntenseReference">
    <w:name w:val="Intense Reference"/>
    <w:basedOn w:val="DefaultParagraphFont"/>
    <w:uiPriority w:val="32"/>
    <w:qFormat/>
    <w:rsid w:val="001D1BE2"/>
    <w:rPr>
      <w:b/>
      <w:bCs/>
      <w:smallCaps/>
      <w:color w:val="auto"/>
      <w:spacing w:val="5"/>
      <w:u w:val="single"/>
    </w:rPr>
  </w:style>
  <w:style w:type="paragraph" w:customStyle="1" w:styleId="2ColumnHeading">
    <w:name w:val="2Column Heading"/>
    <w:basedOn w:val="BodyText"/>
    <w:qFormat/>
    <w:rsid w:val="001D1BE2"/>
    <w:pPr>
      <w:spacing w:after="60"/>
      <w:ind w:left="-2268"/>
    </w:pPr>
    <w:rPr>
      <w:b/>
    </w:rPr>
  </w:style>
  <w:style w:type="paragraph" w:customStyle="1" w:styleId="Heading1TOC">
    <w:name w:val="Heading1 TOC"/>
    <w:basedOn w:val="Normal"/>
    <w:qFormat/>
    <w:rsid w:val="001D1BE2"/>
    <w:pPr>
      <w:spacing w:before="240" w:after="120"/>
    </w:pPr>
    <w:rPr>
      <w:rFonts w:ascii="Times New Roman" w:hAnsi="Times New Roman"/>
      <w:b/>
      <w:sz w:val="32"/>
    </w:rPr>
  </w:style>
  <w:style w:type="paragraph" w:customStyle="1" w:styleId="Heading2TOC">
    <w:name w:val="Heading2 TOC"/>
    <w:basedOn w:val="Normal"/>
    <w:qFormat/>
    <w:rsid w:val="001D1BE2"/>
    <w:pPr>
      <w:spacing w:before="240" w:after="60"/>
    </w:pPr>
    <w:rPr>
      <w:rFonts w:ascii="Times New Roman" w:hAnsi="Times New Roman"/>
      <w:b/>
      <w:sz w:val="28"/>
    </w:rPr>
  </w:style>
  <w:style w:type="character" w:customStyle="1" w:styleId="Underline">
    <w:name w:val="Underline"/>
    <w:basedOn w:val="DefaultParagraphFont"/>
    <w:qFormat/>
    <w:rsid w:val="001D1BE2"/>
    <w:rPr>
      <w:u w:val="single"/>
    </w:rPr>
  </w:style>
  <w:style w:type="paragraph" w:styleId="BalloonText">
    <w:name w:val="Balloon Text"/>
    <w:basedOn w:val="Normal"/>
    <w:link w:val="BalloonTextChar"/>
    <w:rsid w:val="001D1BE2"/>
    <w:rPr>
      <w:rFonts w:ascii="Tahoma" w:hAnsi="Tahoma" w:cs="Tahoma"/>
      <w:sz w:val="16"/>
      <w:szCs w:val="16"/>
    </w:rPr>
  </w:style>
  <w:style w:type="character" w:customStyle="1" w:styleId="BalloonTextChar">
    <w:name w:val="Balloon Text Char"/>
    <w:basedOn w:val="DefaultParagraphFont"/>
    <w:link w:val="BalloonText"/>
    <w:rsid w:val="001D1B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1B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1B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1444</Words>
  <Characters>8674</Characters>
  <Application>Microsoft Office Word</Application>
  <DocSecurity>0</DocSecurity>
  <Lines>350</Lines>
  <Paragraphs>177</Paragraphs>
  <ScaleCrop>false</ScaleCrop>
  <Company>Author-it Software Corporation Ltd.</Company>
  <LinksUpToDate>false</LinksUpToDate>
  <CharactersWithSpaces>10049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LMFGG2001C Use glass and glazing sector hand and power tools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2012-05-26T17:32:00Z</dcterms:created>
  <dcterms:modified xsi:type="dcterms:W3CDTF">2012-05-26T17:32:00Z</dcterms:modified>
</cp:coreProperties>
</file>