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76B" w:rsidP="00C67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LMFFT6001B Research and evaluate products, materials and processes</w:t>
      </w:r>
      <w:r>
        <w:fldChar w:fldCharType="end"/>
      </w:r>
    </w:p>
    <w:p w:rsidR="00C6776B" w:rsidP="00C6776B">
      <w:pPr>
        <w:pStyle w:val="Version"/>
        <w:sectPr w:rsidSect="00BE4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E44BB" w:rsidP="00BE44BB">
      <w:pPr>
        <w:pStyle w:val="SuperHeading"/>
      </w:pPr>
      <w:r w:rsidRPr="00BE44BB">
        <w:t>LMFFT6001B Research and evaluate products, materials and processes</w:t>
      </w:r>
    </w:p>
    <w:p w:rsidR="00000000" w:rsidRPr="00BE44BB" w:rsidP="00BE44BB">
      <w:pPr>
        <w:pStyle w:val="SuperHeading"/>
      </w:pPr>
    </w:p>
    <w:p w:rsidR="00000000" w:rsidRPr="00BE44BB" w:rsidP="00BE44BB">
      <w:pPr>
        <w:pStyle w:val="Heading1"/>
      </w:pPr>
      <w:bookmarkStart w:id="1" w:name="O_89919"/>
      <w:bookmarkEnd w:id="1"/>
      <w:r w:rsidRPr="00BE44BB">
        <w:t>Modification History</w:t>
      </w:r>
    </w:p>
    <w:p w:rsidR="00000000" w:rsidRPr="00BE44BB" w:rsidP="00BE44BB">
      <w:pPr>
        <w:pStyle w:val="BodyText"/>
      </w:pPr>
      <w:r w:rsidRPr="00BE44BB">
        <w:t>Not applicable.</w:t>
      </w: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2" w:name="O_89920"/>
      <w:bookmarkEnd w:id="2"/>
      <w:r w:rsidRPr="00BE44B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t>This unit covers the competency to effectively research and evaluate nati</w:t>
            </w:r>
            <w:r w:rsidRPr="00BE44BB">
              <w:t>onal and international developments and trends in furniture and furnishing products, materials and processes.</w:t>
            </w: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3" w:name="O_89921"/>
      <w:bookmarkEnd w:id="3"/>
      <w:r w:rsidRPr="00BE44B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5758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Application of the unit</w:t>
            </w:r>
          </w:p>
        </w:tc>
        <w:tc>
          <w:tcPr>
            <w:tcW w:w="5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4" w:name="O_89922"/>
      <w:bookmarkEnd w:id="4"/>
      <w:r w:rsidRPr="00BE44BB">
        <w:t>Licensing/Regulatory Information</w:t>
      </w:r>
    </w:p>
    <w:p w:rsidR="00000000" w:rsidRPr="00BE44BB" w:rsidP="00BE44BB">
      <w:pPr>
        <w:pStyle w:val="BodyText"/>
      </w:pPr>
      <w:r w:rsidRPr="00BE44BB">
        <w:t>Not applicable.</w:t>
      </w: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5" w:name="O_89923"/>
      <w:bookmarkEnd w:id="5"/>
      <w:r w:rsidRPr="00BE44B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1"/>
        <w:gridCol w:w="1313"/>
        <w:gridCol w:w="4438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Prerequisite units</w:t>
            </w:r>
          </w:p>
        </w:tc>
        <w:tc>
          <w:tcPr>
            <w:tcW w:w="5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t>Nil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6" w:name="O_89924"/>
      <w:bookmarkEnd w:id="6"/>
      <w:r w:rsidRPr="00BE44B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t>This unit contains employability skills.</w:t>
            </w: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7" w:name="O_89925"/>
      <w:bookmarkEnd w:id="7"/>
      <w:r w:rsidRPr="00BE44B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5956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t>Elements describe the essential outcomes of a unit of competency.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t>Performance criteria describe the performance needed to demonstrate achievement of the element. Where bold italicised text is used, further information is detailed in the required skills and</w:t>
            </w:r>
            <w:r w:rsidRPr="00BE44BB">
              <w:t xml:space="preserve"> knowledge section and the range statement. Assessment of performance is to be consistent with the evidence guide.</w:t>
            </w: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8" w:name="O_89926"/>
      <w:bookmarkEnd w:id="8"/>
      <w:r w:rsidRPr="00BE44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5956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rPr>
                <w:rStyle w:val="SpecialBold"/>
              </w:rPr>
              <w:t>ELEMENT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PERFORMANCE CRITERIA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List"/>
              <w:rPr>
                <w:lang w:val="en-NZ"/>
              </w:rPr>
            </w:pPr>
            <w:r w:rsidRPr="00BE44BB">
              <w:t>1.</w:t>
            </w:r>
            <w:r w:rsidRPr="00BE44BB">
              <w:tab/>
              <w:t>Research global market trends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2"/>
            </w:pPr>
            <w:r w:rsidRPr="00BE44BB">
              <w:t>1.1.</w:t>
            </w:r>
            <w:r w:rsidRPr="00BE44BB">
              <w:tab/>
            </w:r>
            <w:r w:rsidRPr="00BE44BB">
              <w:t>Global market trends are researched and/or forecast in relation to products and processes</w:t>
            </w:r>
          </w:p>
          <w:p w:rsidR="00000000" w:rsidP="00BE44BB">
            <w:pPr>
              <w:pStyle w:val="List2"/>
              <w:rPr>
                <w:lang w:val="en-NZ"/>
              </w:rPr>
            </w:pPr>
            <w:r w:rsidRPr="00BE44BB">
              <w:t>1.2.</w:t>
            </w:r>
            <w:r w:rsidRPr="00BE44BB">
              <w:tab/>
              <w:t>Developments in technology are investigated to ensure all possibilities are considered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List"/>
              <w:rPr>
                <w:lang w:val="en-NZ"/>
              </w:rPr>
            </w:pPr>
            <w:r w:rsidRPr="00BE44BB">
              <w:t>2.</w:t>
            </w:r>
            <w:r w:rsidRPr="00BE44BB">
              <w:tab/>
              <w:t>Research production materials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2"/>
            </w:pPr>
            <w:r w:rsidRPr="00BE44BB">
              <w:t>2.1.</w:t>
            </w:r>
            <w:r w:rsidRPr="00BE44BB">
              <w:tab/>
              <w:t>Issues which may impact on the avai</w:t>
            </w:r>
            <w:r w:rsidRPr="00BE44BB">
              <w:t>lability of current production materials are analysed and likely changes are forecast</w:t>
            </w:r>
          </w:p>
          <w:p w:rsidR="00000000" w:rsidP="00BE44BB">
            <w:pPr>
              <w:pStyle w:val="List2"/>
              <w:rPr>
                <w:lang w:val="en-NZ"/>
              </w:rPr>
            </w:pPr>
            <w:r w:rsidRPr="00BE44BB">
              <w:t>2.2.</w:t>
            </w:r>
            <w:r w:rsidRPr="00BE44BB">
              <w:tab/>
              <w:t>Availability of new and/or alternative materials is researched and projections of potential benefits is completed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List"/>
              <w:rPr>
                <w:lang w:val="en-NZ"/>
              </w:rPr>
            </w:pPr>
            <w:r w:rsidRPr="00BE44BB">
              <w:t>3.</w:t>
            </w:r>
            <w:r w:rsidRPr="00BE44BB">
              <w:tab/>
              <w:t>Identify manufacturing capabilities or implicat</w:t>
            </w:r>
            <w:r w:rsidRPr="00BE44BB">
              <w:t>ions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2"/>
            </w:pPr>
            <w:r w:rsidRPr="00BE44BB">
              <w:t>3.1.</w:t>
            </w:r>
            <w:r w:rsidRPr="00BE44BB">
              <w:tab/>
              <w:t>Manufacturing capabilities are defined in consultation with relevant personnel on issues such as human resources, materials, financial restraints, equipment capabilities, timelines and efficiency</w:t>
            </w:r>
          </w:p>
          <w:p w:rsidR="00000000" w:rsidP="00BE44BB">
            <w:pPr>
              <w:pStyle w:val="List2"/>
              <w:rPr>
                <w:lang w:val="en-NZ"/>
              </w:rPr>
            </w:pPr>
            <w:r w:rsidRPr="00BE44BB">
              <w:t>3.2.</w:t>
            </w:r>
            <w:r w:rsidRPr="00BE44BB">
              <w:tab/>
              <w:t>Options or requirements for utilisation of ex</w:t>
            </w:r>
            <w:r w:rsidRPr="00BE44BB">
              <w:t>ternal resources to undertake part of the work is determined when defining production capabilities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List"/>
              <w:rPr>
                <w:lang w:val="en-NZ"/>
              </w:rPr>
            </w:pPr>
            <w:r w:rsidRPr="00BE44BB">
              <w:t>4.</w:t>
            </w:r>
            <w:r w:rsidRPr="00BE44BB">
              <w:tab/>
              <w:t>Evaluate and recommend product and materials options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2"/>
            </w:pPr>
            <w:r w:rsidRPr="00BE44BB">
              <w:t>4.1.</w:t>
            </w:r>
            <w:r w:rsidRPr="00BE44BB">
              <w:tab/>
              <w:t>Relevant information related to products, materials and processes is identified and compiled in</w:t>
            </w:r>
            <w:r w:rsidRPr="00BE44BB">
              <w:t>to usable data form</w:t>
            </w:r>
          </w:p>
          <w:p w:rsidR="00000000" w:rsidRPr="00BE44BB" w:rsidP="00BE44BB">
            <w:pPr>
              <w:pStyle w:val="List2"/>
            </w:pPr>
            <w:r w:rsidRPr="00BE44BB">
              <w:t>4.2.</w:t>
            </w:r>
            <w:r w:rsidRPr="00BE44BB">
              <w:tab/>
              <w:t>The impact of national and international trends on products and materials is analysed and preferred courses or options are identified</w:t>
            </w:r>
          </w:p>
          <w:p w:rsidR="00000000" w:rsidRPr="00BE44BB" w:rsidP="00BE44BB">
            <w:pPr>
              <w:pStyle w:val="List2"/>
            </w:pPr>
            <w:r w:rsidRPr="00BE44BB">
              <w:t>4.3.</w:t>
            </w:r>
            <w:r w:rsidRPr="00BE44BB">
              <w:tab/>
            </w:r>
            <w:r w:rsidRPr="00BE44BB">
              <w:t>Other parameters are clarified, in consultation with production development, sales/marketing team, management and/or client, where required</w:t>
            </w:r>
          </w:p>
          <w:p w:rsidR="00000000" w:rsidRPr="00BE44BB" w:rsidP="00BE44BB">
            <w:pPr>
              <w:pStyle w:val="List2"/>
            </w:pPr>
            <w:r w:rsidRPr="00BE44BB">
              <w:t>4.4.</w:t>
            </w:r>
            <w:r w:rsidRPr="00BE44BB">
              <w:tab/>
              <w:t>Reports and/or presentations are prepared in accordance with enterprise procedures for input into business plan</w:t>
            </w:r>
            <w:r w:rsidRPr="00BE44BB">
              <w:t>ning</w:t>
            </w: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9" w:name="O_89927"/>
      <w:bookmarkEnd w:id="9"/>
      <w:r w:rsidRPr="00BE44B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REQUIRED SKILLS AND KNOWLEDGE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t>This section describes the skills and knowledge required for this unit.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Required skills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Bullet"/>
            </w:pPr>
            <w:r w:rsidRPr="00BE44BB">
              <w:t xml:space="preserve">research, collect, organise and understand information related to national and international developments and trends in products, materials and processes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communicate ideas and information to enable clarification of the requirements, coordination of work, </w:t>
            </w:r>
            <w:r w:rsidRPr="00BE44BB">
              <w:t xml:space="preserve">the presentation/reporting of outcomes, findings and recommendations </w:t>
            </w:r>
          </w:p>
          <w:p w:rsidR="00000000" w:rsidRPr="00BE44BB" w:rsidP="00BE44BB">
            <w:pPr>
              <w:pStyle w:val="ListBullet"/>
            </w:pPr>
            <w:r w:rsidRPr="00BE44BB">
              <w:t>plan and organise activities, including the preparation and implementation of the formation collection strategy and plan, and actions to avoid any back tracking, interruptions or unprodu</w:t>
            </w:r>
            <w:r w:rsidRPr="00BE44BB">
              <w:t xml:space="preserve">ctive effort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work with others and in a team by recognising dependencies and using cooperative approaches to optimise information availability and workflow </w:t>
            </w:r>
          </w:p>
          <w:p w:rsidR="00000000" w:rsidRPr="00BE44BB" w:rsidP="00BE44BB">
            <w:pPr>
              <w:pStyle w:val="ListBullet"/>
            </w:pPr>
            <w:r w:rsidRPr="00BE44BB">
              <w:t>use mathematical ideas and techniques to correctly compile comparative data required for the descri</w:t>
            </w:r>
            <w:r w:rsidRPr="00BE44BB">
              <w:t xml:space="preserve">ption, analysis and evaluation of options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create and apply systematic problem solving techniques to anticipate problems, avoid re-working and avoid inaccurate or inconclusive data </w:t>
            </w:r>
          </w:p>
          <w:p w:rsidR="00000000" w:rsidP="00BE44BB">
            <w:pPr>
              <w:pStyle w:val="ListBullet"/>
              <w:rPr>
                <w:lang w:val="en-NZ"/>
              </w:rPr>
            </w:pPr>
            <w:r w:rsidRPr="00BE44BB">
              <w:t>use the workplace and commercial technology related to research, modelling</w:t>
            </w:r>
            <w:r w:rsidRPr="00BE44BB">
              <w:t xml:space="preserve"> and evaluation and to the storage and retrieval of information 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Required knowledge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Bullet"/>
            </w:pPr>
            <w:r w:rsidRPr="00BE44BB">
              <w:t xml:space="preserve">relevant OHS legislation, regulatory requirements and copyright obligations and codes of practice </w:t>
            </w:r>
          </w:p>
          <w:p w:rsidR="00000000" w:rsidRPr="00BE44BB" w:rsidP="00BE44BB">
            <w:pPr>
              <w:pStyle w:val="ListBullet"/>
            </w:pPr>
            <w:r w:rsidRPr="00BE44BB">
              <w:t>sources of informati</w:t>
            </w:r>
            <w:r w:rsidRPr="00BE44BB">
              <w:t xml:space="preserve">on on the appropriate furnishing sector, global and local trends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existing research networks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product specifications, materials and processes (existing and already forecast)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business planning processes and techniques </w:t>
            </w:r>
          </w:p>
          <w:p w:rsidR="00000000" w:rsidRPr="00BE44BB" w:rsidP="00BE44BB">
            <w:pPr>
              <w:pStyle w:val="ListBullet"/>
            </w:pPr>
            <w:r w:rsidRPr="00BE44BB">
              <w:t>safety and environmental aspects of r</w:t>
            </w:r>
            <w:r w:rsidRPr="00BE44BB">
              <w:t>elevant enterprise activities</w:t>
            </w: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10" w:name="O_89928"/>
      <w:bookmarkEnd w:id="10"/>
      <w:r w:rsidRPr="00BE44BB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C677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EVIDENCE GUIDE</w:t>
            </w:r>
          </w:p>
        </w:tc>
      </w:tr>
      <w:tr w:rsidTr="00C677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t xml:space="preserve">The Evidence Guide provides advice on assessment and must be read in conjunction with the performance criteria, required skills and knowledge, </w:t>
            </w:r>
            <w:r w:rsidRPr="00BE44BB">
              <w:t>range statement and the Assessment Guidelines for the Training Package.</w:t>
            </w:r>
          </w:p>
        </w:tc>
      </w:tr>
      <w:tr w:rsidTr="00C677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Critical aspects of evidence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Bullet"/>
            </w:pPr>
            <w:r w:rsidRPr="00BE44BB">
              <w:t xml:space="preserve">Apply workplace health and safety policies in work operations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Communicate effectively with customers, support agencies and colleagues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Individually or as part of a management team, research and evaluate a significant product, its materials and processes, and: </w:t>
            </w:r>
          </w:p>
          <w:p w:rsidR="00000000" w:rsidRPr="00BE44BB" w:rsidP="00BE44BB">
            <w:pPr>
              <w:pStyle w:val="ListBullet2"/>
            </w:pPr>
            <w:r w:rsidRPr="00BE44BB">
              <w:t xml:space="preserve">research/forecast trends </w:t>
            </w:r>
          </w:p>
          <w:p w:rsidR="00000000" w:rsidRPr="00BE44BB" w:rsidP="00BE44BB">
            <w:pPr>
              <w:pStyle w:val="ListBullet2"/>
            </w:pPr>
            <w:r w:rsidRPr="00BE44BB">
              <w:t xml:space="preserve">define manufacturing capabilities/implications </w:t>
            </w:r>
          </w:p>
          <w:p w:rsidR="00000000" w:rsidRPr="00BE44BB" w:rsidP="00BE44BB">
            <w:pPr>
              <w:pStyle w:val="ListBullet2"/>
            </w:pPr>
            <w:r w:rsidRPr="00BE44BB">
              <w:t>identify the options in terms of the product and materi</w:t>
            </w:r>
            <w:r w:rsidRPr="00BE44BB">
              <w:t xml:space="preserve">als and the feasibility of production processes </w:t>
            </w:r>
          </w:p>
          <w:p w:rsidR="00000000" w:rsidRPr="00BE44BB" w:rsidP="00BE44BB">
            <w:pPr>
              <w:pStyle w:val="ListBullet2"/>
            </w:pPr>
            <w:r w:rsidRPr="00BE44BB">
              <w:t xml:space="preserve">evaluate options and provide balanced support for recommendations </w:t>
            </w:r>
          </w:p>
          <w:p w:rsidR="00000000" w:rsidP="00BE44BB">
            <w:pPr>
              <w:pStyle w:val="ListBullet2"/>
              <w:rPr>
                <w:lang w:val="en-NZ"/>
              </w:rPr>
            </w:pPr>
            <w:r w:rsidRPr="00BE44BB">
              <w:t>provide formal recommendations for preferred business options</w:t>
            </w:r>
          </w:p>
        </w:tc>
      </w:tr>
      <w:tr w:rsidTr="00C677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Resource implications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t>Access to real or appropriately simulat</w:t>
            </w:r>
            <w:r w:rsidRPr="00BE44BB">
              <w:t>ed product, materials and process research and evaluation situations.</w:t>
            </w:r>
          </w:p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t>This includes real or simulated work areas, materials, equipment, and information on work specifications and production processes, relevant safety procedures and regulations, quality sta</w:t>
            </w:r>
            <w:r w:rsidRPr="00BE44BB">
              <w:t>ndards, enterprise procedures and customer requirements.</w:t>
            </w:r>
          </w:p>
        </w:tc>
      </w:tr>
      <w:tr w:rsidTr="00C677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t>Assessment methods must confirm consistency of performance over time and in a range of workplace relevant contexts.</w:t>
            </w:r>
          </w:p>
          <w:p w:rsidR="00000000" w:rsidRPr="00BE44BB" w:rsidP="00BE44BB">
            <w:pPr>
              <w:pStyle w:val="BodyText"/>
            </w:pPr>
            <w:r w:rsidRPr="00BE44BB">
              <w:t>Assessment should be by direct observation of tasks and/or sa</w:t>
            </w:r>
            <w:r w:rsidRPr="00BE44BB">
              <w:t>mples of work and questioning on underpinning knowledge.</w:t>
            </w:r>
          </w:p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t>Assessment should be conducted over time and will generally be in conjunction with assessment of other units of competency.</w:t>
            </w:r>
          </w:p>
        </w:tc>
      </w:tr>
      <w:tr w:rsidTr="00C677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Context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t>Assessment may occur on the job or in a simulated wo</w:t>
            </w:r>
            <w:r w:rsidRPr="00BE44BB">
              <w:t>rkplace facility with relevant equipment, simulated work instructions and deadlines.</w:t>
            </w: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11" w:name="O_89929"/>
      <w:bookmarkEnd w:id="11"/>
      <w:r w:rsidRPr="00BE44B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3"/>
        <w:gridCol w:w="5029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RANGE STATEMENT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t>The range statement rel</w:t>
            </w:r>
            <w:r w:rsidRPr="00BE44BB">
              <w:t>ates to the unit of competency as a whole. It allows for different work environments and situations that may affect performance. Bold italicised wording, if used in the performance criteria, is detailed below. Essential operating conditions that may be pre</w:t>
            </w:r>
            <w:r w:rsidRPr="00BE44BB">
              <w:t>sent with training and assessment (depending on the work situation, needs of the candidate, accessibility of the item, and local industry and regional contexts) may also be included.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Unit scope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Bullet"/>
            </w:pPr>
            <w:r w:rsidRPr="00BE44BB">
              <w:t>Work involves activities associated with researching and ev</w:t>
            </w:r>
            <w:r w:rsidRPr="00BE44BB">
              <w:t xml:space="preserve">aluating new or alternate products, materials and related processes as a contribution to business planning </w:t>
            </w:r>
          </w:p>
          <w:p w:rsidR="00000000" w:rsidP="00BE44BB">
            <w:pPr>
              <w:pStyle w:val="ListBullet"/>
              <w:rPr>
                <w:lang w:val="en-NZ"/>
              </w:rPr>
            </w:pPr>
            <w:r w:rsidRPr="00BE44BB">
              <w:t xml:space="preserve">Significant research and analytical capabilities and judgement is required for this strategic function 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Unit context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Bullet"/>
            </w:pPr>
            <w:r w:rsidRPr="00BE44BB">
              <w:t xml:space="preserve">OHS requirements include legislation, building codes, material safety management systems, hazardous substances and dangerous goods codes and safe operating procedures </w:t>
            </w:r>
          </w:p>
          <w:p w:rsidR="00000000" w:rsidP="00BE44BB">
            <w:pPr>
              <w:pStyle w:val="ListBullet"/>
              <w:rPr>
                <w:lang w:val="en-NZ"/>
              </w:rPr>
            </w:pPr>
            <w:r w:rsidRPr="00BE44BB">
              <w:t>Work is carried out in accordance with legislative obligations, environmental legislatio</w:t>
            </w:r>
            <w:r w:rsidRPr="00BE44BB">
              <w:t xml:space="preserve">n, relevant health regulations, authorised handling procedures and organisation insurance requirements 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Workplace environment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Bullet"/>
            </w:pPr>
            <w:r w:rsidRPr="00BE44BB">
              <w:t xml:space="preserve">The competency can refer to enterprise and/or client initiated concepts, ideas or needs </w:t>
            </w:r>
          </w:p>
          <w:p w:rsidR="00000000" w:rsidRPr="00BE44BB" w:rsidP="00BE44BB">
            <w:pPr>
              <w:pStyle w:val="ListBullet"/>
            </w:pPr>
            <w:r w:rsidRPr="00BE44BB">
              <w:t>Activities may relate to all the sector</w:t>
            </w:r>
            <w:r w:rsidRPr="00BE44BB">
              <w:t xml:space="preserve"> criteria normally required to evaluate products, materials and processes </w:t>
            </w:r>
          </w:p>
          <w:p w:rsidR="00000000" w:rsidP="00BE44BB">
            <w:pPr>
              <w:pStyle w:val="ListBullet"/>
              <w:rPr>
                <w:lang w:val="en-NZ"/>
              </w:rPr>
            </w:pPr>
            <w:r w:rsidRPr="00BE44BB">
              <w:t xml:space="preserve">The competency is applied without guidance in line with a broad plan, budget or existing strategy </w:t>
            </w: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Information and procedures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ListBullet"/>
            </w:pPr>
            <w:r w:rsidRPr="00BE44BB">
              <w:t xml:space="preserve">Current and proposed product specifications </w:t>
            </w:r>
          </w:p>
          <w:p w:rsidR="00000000" w:rsidRPr="00BE44BB" w:rsidP="00BE44BB">
            <w:pPr>
              <w:pStyle w:val="ListBullet"/>
            </w:pPr>
            <w:r w:rsidRPr="00BE44BB">
              <w:t>Design b</w:t>
            </w:r>
            <w:r w:rsidRPr="00BE44BB">
              <w:t xml:space="preserve">riefs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Marketing strategies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Organisation work procedures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Customer requirements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Legislation, regulations, and codes of practice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National and international sector publications related to products and materials innovations and change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National and international materials/resource forecast documents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National and international trade fairs, expositions and symposiums </w:t>
            </w:r>
          </w:p>
          <w:p w:rsidR="00000000" w:rsidRPr="00BE44BB" w:rsidP="00BE44BB">
            <w:pPr>
              <w:pStyle w:val="ListBullet"/>
            </w:pPr>
            <w:r w:rsidRPr="00BE44BB">
              <w:t xml:space="preserve">Quality and Australian standards and procedures </w:t>
            </w:r>
          </w:p>
        </w:tc>
      </w:tr>
    </w:tbl>
    <w:p w:rsidR="00C6776B" w:rsidP="00BE44BB">
      <w:pPr>
        <w:pStyle w:val="BodyText"/>
      </w:pPr>
    </w:p>
    <w:p w:rsidR="00C6776B" w:rsidP="00BE44BB">
      <w:pPr>
        <w:pStyle w:val="BodyText"/>
      </w:pPr>
    </w:p>
    <w:p w:rsidR="00000000" w:rsidRPr="00BE44BB" w:rsidP="00BE44BB">
      <w:pPr>
        <w:pStyle w:val="Heading1"/>
      </w:pPr>
      <w:bookmarkStart w:id="12" w:name="O_89930"/>
      <w:bookmarkEnd w:id="12"/>
      <w:r w:rsidRPr="00BE44BB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Unit sector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  <w:r w:rsidRPr="00BE44BB">
              <w:t>Furnishing Technology</w:t>
            </w: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13" w:name="O_158210"/>
      <w:bookmarkEnd w:id="13"/>
      <w:r w:rsidRPr="00BE44B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</w:p>
        </w:tc>
      </w:tr>
    </w:tbl>
    <w:p w:rsidR="00000000" w:rsidRPr="00BE44BB" w:rsidP="00BE44BB">
      <w:pPr>
        <w:pStyle w:val="BodyText"/>
      </w:pPr>
    </w:p>
    <w:p w:rsidR="00000000" w:rsidRPr="00BE44BB" w:rsidP="00BE44BB">
      <w:pPr>
        <w:pStyle w:val="AllowPageBreak"/>
      </w:pPr>
    </w:p>
    <w:p w:rsidR="00000000" w:rsidRPr="00BE44BB" w:rsidP="00BE44BB">
      <w:pPr>
        <w:pStyle w:val="Heading1"/>
      </w:pPr>
      <w:bookmarkStart w:id="14" w:name="O_158209"/>
      <w:bookmarkEnd w:id="14"/>
      <w:r w:rsidRPr="00BE44BB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  <w:r w:rsidRPr="00BE44BB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4BB">
            <w:pPr>
              <w:pStyle w:val="BodyText"/>
              <w:rPr>
                <w:lang w:val="en-NZ"/>
              </w:rPr>
            </w:pPr>
          </w:p>
        </w:tc>
      </w:tr>
      <w:tr w:rsidTr="00C67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4BB" w:rsidP="00BE44BB">
            <w:pPr>
              <w:pStyle w:val="BodyText"/>
            </w:pPr>
          </w:p>
        </w:tc>
      </w:tr>
    </w:tbl>
    <w:p w:rsidR="00000000" w:rsidRPr="00BE44BB" w:rsidP="00BE44BB">
      <w:pPr>
        <w:pStyle w:val="BodyText"/>
      </w:pPr>
    </w:p>
    <w:p w:rsidR="00000000" w:rsidRPr="00BE44BB" w:rsidP="00BE44BB"/>
    <w:sectPr w:rsidSect="00BE44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776B" w:rsidP="00C67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6B" w:rsidP="00BE4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776B" w:rsidP="00BE4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6776B" w:rsidP="00BE44B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776B" w:rsidP="00C6776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6B" w:rsidP="00BE4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LMFFT6001B Research and evaluate products,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6776B" w:rsidP="00BE44B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C43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287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E8E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E4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4BB"/>
  </w:style>
  <w:style w:type="character" w:customStyle="1" w:styleId="Heading1Char">
    <w:name w:val="Heading 1 Char"/>
    <w:link w:val="Heading1"/>
    <w:rsid w:val="00BE4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4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E44B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E4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E44B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E44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44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E44BB"/>
    <w:rPr>
      <w:b/>
      <w:spacing w:val="0"/>
    </w:rPr>
  </w:style>
  <w:style w:type="paragraph" w:styleId="ListBullet2">
    <w:name w:val="List Bullet 2"/>
    <w:basedOn w:val="List2"/>
    <w:rsid w:val="00BE44B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E4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E4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E44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E4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44B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BE4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E4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E4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E4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E4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4B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E44B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E44B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E4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E4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E4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4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4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4B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E4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4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E44BB"/>
    <w:rPr>
      <w:i/>
    </w:rPr>
  </w:style>
  <w:style w:type="paragraph" w:styleId="Caption">
    <w:name w:val="caption"/>
    <w:basedOn w:val="BodyText"/>
    <w:next w:val="Normal"/>
    <w:qFormat/>
    <w:rsid w:val="00BE4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4BB"/>
  </w:style>
  <w:style w:type="paragraph" w:styleId="TableofFigures">
    <w:name w:val="table of figures"/>
    <w:basedOn w:val="Normal"/>
    <w:next w:val="Normal"/>
    <w:semiHidden/>
    <w:rsid w:val="00BE4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4BB"/>
    <w:pPr>
      <w:numPr>
        <w:numId w:val="11"/>
      </w:numPr>
    </w:pPr>
  </w:style>
  <w:style w:type="character" w:customStyle="1" w:styleId="WingdingSymbols">
    <w:name w:val="Wingding Symbols"/>
    <w:rsid w:val="00BE44BB"/>
    <w:rPr>
      <w:rFonts w:ascii="Wingdings" w:hAnsi="Wingdings"/>
    </w:rPr>
  </w:style>
  <w:style w:type="paragraph" w:customStyle="1" w:styleId="TableHeading">
    <w:name w:val="Table Heading"/>
    <w:basedOn w:val="HeadingBase"/>
    <w:rsid w:val="00BE4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4BB"/>
    <w:rPr>
      <w:color w:val="0033CC"/>
      <w:u w:val="none"/>
    </w:rPr>
  </w:style>
  <w:style w:type="paragraph" w:customStyle="1" w:styleId="BodyTextRight">
    <w:name w:val="Body Text Right"/>
    <w:basedOn w:val="BodyText"/>
    <w:rsid w:val="00BE4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4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E44B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E44BB"/>
    <w:rPr>
      <w:sz w:val="32"/>
    </w:rPr>
  </w:style>
  <w:style w:type="paragraph" w:customStyle="1" w:styleId="HeadingProcedure">
    <w:name w:val="Heading Procedure"/>
    <w:basedOn w:val="HeadingBase"/>
    <w:next w:val="Normal"/>
    <w:rsid w:val="00BE4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4BB"/>
    <w:pPr>
      <w:spacing w:before="60" w:after="60"/>
    </w:pPr>
  </w:style>
  <w:style w:type="paragraph" w:styleId="ListContinue">
    <w:name w:val="List Continue"/>
    <w:basedOn w:val="List"/>
    <w:rsid w:val="00BE44BB"/>
    <w:pPr>
      <w:ind w:firstLine="0"/>
    </w:pPr>
  </w:style>
  <w:style w:type="paragraph" w:customStyle="1" w:styleId="ListNote">
    <w:name w:val="List Note"/>
    <w:basedOn w:val="List"/>
    <w:rsid w:val="00BE4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E44BB"/>
    <w:rPr>
      <w:rFonts w:ascii="Courier New" w:hAnsi="Courier New"/>
    </w:rPr>
  </w:style>
  <w:style w:type="paragraph" w:customStyle="1" w:styleId="NoteBullet">
    <w:name w:val="Note Bullet"/>
    <w:basedOn w:val="Note"/>
    <w:rsid w:val="00BE4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4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4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4B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E44BB"/>
    <w:rPr>
      <w:b/>
      <w:smallCaps/>
    </w:rPr>
  </w:style>
  <w:style w:type="paragraph" w:customStyle="1" w:styleId="TableListNumber">
    <w:name w:val="Table List Number"/>
    <w:basedOn w:val="ListNumber"/>
    <w:rsid w:val="00BE4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4BB"/>
    <w:pPr>
      <w:numPr>
        <w:numId w:val="9"/>
      </w:numPr>
    </w:pPr>
  </w:style>
  <w:style w:type="paragraph" w:customStyle="1" w:styleId="ListAlpha2">
    <w:name w:val="List Alpha 2"/>
    <w:basedOn w:val="List2"/>
    <w:rsid w:val="00BE44BB"/>
    <w:pPr>
      <w:numPr>
        <w:numId w:val="8"/>
      </w:numPr>
    </w:pPr>
  </w:style>
  <w:style w:type="paragraph" w:styleId="List3">
    <w:name w:val="List 3"/>
    <w:basedOn w:val="BodyText"/>
    <w:rsid w:val="00BE4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4B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4BB"/>
    <w:pPr>
      <w:numPr>
        <w:numId w:val="3"/>
      </w:numPr>
    </w:pPr>
  </w:style>
  <w:style w:type="paragraph" w:styleId="ListBullet5">
    <w:name w:val="List Bullet 5"/>
    <w:basedOn w:val="List5"/>
    <w:rsid w:val="00BE44BB"/>
    <w:pPr>
      <w:numPr>
        <w:numId w:val="4"/>
      </w:numPr>
    </w:pPr>
  </w:style>
  <w:style w:type="paragraph" w:styleId="ListContinue2">
    <w:name w:val="List Continue 2"/>
    <w:basedOn w:val="List2"/>
    <w:rsid w:val="00BE44BB"/>
    <w:pPr>
      <w:ind w:firstLine="0"/>
    </w:pPr>
  </w:style>
  <w:style w:type="paragraph" w:styleId="ListContinue3">
    <w:name w:val="List Continue 3"/>
    <w:basedOn w:val="List3"/>
    <w:rsid w:val="00BE44BB"/>
    <w:pPr>
      <w:ind w:left="1021" w:firstLine="0"/>
    </w:pPr>
  </w:style>
  <w:style w:type="paragraph" w:styleId="ListContinue4">
    <w:name w:val="List Continue 4"/>
    <w:basedOn w:val="List4"/>
    <w:rsid w:val="00BE44BB"/>
    <w:pPr>
      <w:ind w:firstLine="0"/>
    </w:pPr>
  </w:style>
  <w:style w:type="paragraph" w:styleId="ListContinue5">
    <w:name w:val="List Continue 5"/>
    <w:basedOn w:val="List5"/>
    <w:rsid w:val="00BE44BB"/>
    <w:pPr>
      <w:ind w:firstLine="0"/>
    </w:pPr>
  </w:style>
  <w:style w:type="paragraph" w:styleId="ListNumber3">
    <w:name w:val="List Number 3"/>
    <w:basedOn w:val="List3"/>
    <w:rsid w:val="00BE44BB"/>
    <w:pPr>
      <w:numPr>
        <w:numId w:val="5"/>
      </w:numPr>
    </w:pPr>
  </w:style>
  <w:style w:type="paragraph" w:styleId="ListNumber4">
    <w:name w:val="List Number 4"/>
    <w:basedOn w:val="List4"/>
    <w:rsid w:val="00BE44BB"/>
    <w:pPr>
      <w:numPr>
        <w:numId w:val="6"/>
      </w:numPr>
    </w:pPr>
  </w:style>
  <w:style w:type="paragraph" w:styleId="ListNumber5">
    <w:name w:val="List Number 5"/>
    <w:basedOn w:val="List5"/>
    <w:rsid w:val="00BE44BB"/>
    <w:pPr>
      <w:numPr>
        <w:numId w:val="7"/>
      </w:numPr>
    </w:pPr>
  </w:style>
  <w:style w:type="paragraph" w:styleId="BlockText">
    <w:name w:val="Block Text"/>
    <w:basedOn w:val="Normal"/>
    <w:rsid w:val="00BE44BB"/>
    <w:pPr>
      <w:spacing w:after="120"/>
      <w:ind w:left="1440" w:right="1440"/>
    </w:pPr>
  </w:style>
  <w:style w:type="character" w:customStyle="1" w:styleId="Subscript">
    <w:name w:val="Subscript"/>
    <w:rsid w:val="00BE44BB"/>
    <w:rPr>
      <w:sz w:val="16"/>
      <w:vertAlign w:val="subscript"/>
    </w:rPr>
  </w:style>
  <w:style w:type="character" w:customStyle="1" w:styleId="Superscript">
    <w:name w:val="Superscript"/>
    <w:rsid w:val="00BE44BB"/>
    <w:rPr>
      <w:sz w:val="16"/>
      <w:vertAlign w:val="superscript"/>
    </w:rPr>
  </w:style>
  <w:style w:type="character" w:customStyle="1" w:styleId="Symbols">
    <w:name w:val="Symbols"/>
    <w:rsid w:val="00BE44BB"/>
    <w:rPr>
      <w:rFonts w:ascii="Symbol" w:hAnsi="Symbol"/>
    </w:rPr>
  </w:style>
  <w:style w:type="character" w:customStyle="1" w:styleId="MenuOptions">
    <w:name w:val="Menu Options"/>
    <w:rsid w:val="00BE44BB"/>
    <w:rPr>
      <w:rFonts w:ascii="Arial Narrow" w:hAnsi="Arial Narrow"/>
      <w:smallCaps/>
    </w:rPr>
  </w:style>
  <w:style w:type="character" w:customStyle="1" w:styleId="Buttons">
    <w:name w:val="Buttons"/>
    <w:rsid w:val="00BE44BB"/>
    <w:rPr>
      <w:b/>
    </w:rPr>
  </w:style>
  <w:style w:type="character" w:customStyle="1" w:styleId="Underlined">
    <w:name w:val="Underlined"/>
    <w:rsid w:val="00BE44BB"/>
    <w:rPr>
      <w:u w:val="single"/>
    </w:rPr>
  </w:style>
  <w:style w:type="paragraph" w:customStyle="1" w:styleId="TableBodyTextRight">
    <w:name w:val="Table Body Text Right"/>
    <w:basedOn w:val="TableBodyText"/>
    <w:rsid w:val="00BE4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4BB"/>
    <w:rPr>
      <w:sz w:val="18"/>
    </w:rPr>
  </w:style>
  <w:style w:type="paragraph" w:customStyle="1" w:styleId="BodySmallRight">
    <w:name w:val="Body Small Right"/>
    <w:basedOn w:val="BodyTextRight"/>
    <w:rsid w:val="00BE44BB"/>
    <w:rPr>
      <w:sz w:val="18"/>
      <w:szCs w:val="18"/>
    </w:rPr>
  </w:style>
  <w:style w:type="paragraph" w:customStyle="1" w:styleId="MarginEdition">
    <w:name w:val="Margin Edition"/>
    <w:basedOn w:val="MarginNote"/>
    <w:rsid w:val="00BE4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4BB"/>
    <w:rPr>
      <w:sz w:val="2"/>
      <w:szCs w:val="2"/>
    </w:rPr>
  </w:style>
  <w:style w:type="character" w:customStyle="1" w:styleId="Small">
    <w:name w:val="Small"/>
    <w:rsid w:val="00BE44BB"/>
    <w:rPr>
      <w:sz w:val="16"/>
    </w:rPr>
  </w:style>
  <w:style w:type="paragraph" w:customStyle="1" w:styleId="WideTable">
    <w:name w:val="Wide Table"/>
    <w:basedOn w:val="Normal"/>
    <w:rsid w:val="00BE44BB"/>
    <w:pPr>
      <w:ind w:left="-1418"/>
    </w:pPr>
    <w:rPr>
      <w:sz w:val="2"/>
      <w:szCs w:val="2"/>
    </w:rPr>
  </w:style>
  <w:style w:type="character" w:styleId="PageNumber">
    <w:name w:val="page number"/>
    <w:rsid w:val="00BE44BB"/>
  </w:style>
  <w:style w:type="paragraph" w:styleId="Quote">
    <w:name w:val="Quote"/>
    <w:basedOn w:val="Heading1"/>
    <w:link w:val="QuoteChar"/>
    <w:qFormat/>
    <w:rsid w:val="00BE44B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E4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4BB"/>
    <w:pPr>
      <w:pageBreakBefore/>
    </w:pPr>
  </w:style>
  <w:style w:type="paragraph" w:customStyle="1" w:styleId="Border">
    <w:name w:val="Border"/>
    <w:basedOn w:val="Normal"/>
    <w:qFormat/>
    <w:rsid w:val="00BE4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E4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E44B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E44B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E4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E44BB"/>
    <w:rPr>
      <w:u w:val="single"/>
    </w:rPr>
  </w:style>
  <w:style w:type="character" w:customStyle="1" w:styleId="BoldandItalics">
    <w:name w:val="Bold and Italics"/>
    <w:qFormat/>
    <w:rsid w:val="00BE44BB"/>
    <w:rPr>
      <w:b/>
      <w:i/>
      <w:u w:val="none"/>
    </w:rPr>
  </w:style>
  <w:style w:type="paragraph" w:styleId="BalloonText">
    <w:name w:val="Balloon Text"/>
    <w:basedOn w:val="Normal"/>
    <w:link w:val="BalloonTextChar"/>
    <w:rsid w:val="00BE4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E44B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E44B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E44B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91D2AB29.dotm</Template>
  <TotalTime>0</TotalTime>
  <Pages>6</Pages>
  <Words>1064</Words>
  <Characters>7046</Characters>
  <Application>Microsoft Office Word</Application>
  <DocSecurity>0</DocSecurity>
  <Lines>247</Lines>
  <Paragraphs>108</Paragraphs>
  <ScaleCrop>false</ScaleCrop>
  <Company>Author-it Software Corporation Ltd.</Company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LMFFT6001B Research and evaluate products, materials and processes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2012-05-26T17:31:00Z</dcterms:created>
  <dcterms:modified xsi:type="dcterms:W3CDTF">2012-05-26T17:31:00Z</dcterms:modified>
</cp:coreProperties>
</file>