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167" w:rsidP="00433167">
      <w:pPr>
        <w:pStyle w:val="Title"/>
      </w:pPr>
      <w:bookmarkStart w:id="0" w:name="O_385285"/>
      <w:bookmarkEnd w:id="0"/>
      <w:r>
        <w:fldChar w:fldCharType="begin"/>
      </w:r>
      <w:r>
        <w:instrText xml:space="preserve"> TITLE   \* MERGEFORMAT </w:instrText>
      </w:r>
      <w:r>
        <w:fldChar w:fldCharType="separate"/>
      </w:r>
      <w:r>
        <w:t>LMFFT4012B Prepare a tender submission</w:t>
      </w:r>
      <w:r>
        <w:fldChar w:fldCharType="end"/>
      </w:r>
    </w:p>
    <w:p w:rsidR="00433167" w:rsidP="00433167">
      <w:pPr>
        <w:pStyle w:val="Version"/>
        <w:sectPr w:rsidSect="00C35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257" w:rsidP="00C35257">
      <w:pPr>
        <w:pStyle w:val="Heading1"/>
      </w:pPr>
      <w:r w:rsidRPr="00C35257">
        <w:t>Modification History</w:t>
      </w:r>
    </w:p>
    <w:p w:rsidR="00000000" w:rsidRPr="00C35257" w:rsidP="00C35257">
      <w:pPr>
        <w:pStyle w:val="BodyText"/>
      </w:pPr>
      <w:r w:rsidRPr="00C35257">
        <w:t>Not Available</w:t>
      </w:r>
    </w:p>
    <w:p w:rsidR="00000000" w:rsidRPr="00C35257" w:rsidP="00C35257">
      <w:pPr>
        <w:pStyle w:val="AllowPageBreak"/>
      </w:pPr>
    </w:p>
    <w:p w:rsidR="00000000" w:rsidRPr="00C35257" w:rsidP="00C35257">
      <w:pPr>
        <w:pStyle w:val="Heading1"/>
      </w:pPr>
      <w:bookmarkStart w:id="2" w:name="O_385286"/>
      <w:bookmarkEnd w:id="2"/>
      <w:r w:rsidRPr="00C35257">
        <w:t>INTRODUCTION</w:t>
      </w:r>
    </w:p>
    <w:p w:rsidR="00000000" w:rsidRPr="00C35257" w:rsidP="00C35257">
      <w:pPr>
        <w:pStyle w:val="BodyText"/>
      </w:pPr>
    </w:p>
    <w:tbl>
      <w:tblPr>
        <w:tblW w:w="0" w:type="auto"/>
        <w:tblCellMar>
          <w:left w:w="62" w:type="dxa"/>
          <w:right w:w="62" w:type="dxa"/>
        </w:tblCellMar>
        <w:tblLook w:val="0000"/>
      </w:tblPr>
      <w:tblGrid>
        <w:gridCol w:w="3542"/>
        <w:gridCol w:w="5654"/>
      </w:tblGrid>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Unit Descriptor</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BodyText"/>
            </w:pPr>
            <w:r w:rsidRPr="00C35257">
              <w:t>This unit covers the competency and skills required to prepare and submit a tender in the furnishing industry.</w:t>
            </w:r>
          </w:p>
          <w:p w:rsidR="00000000" w:rsidP="00C35257">
            <w:pPr>
              <w:pStyle w:val="BodyTex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Unit Sector</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BodyText"/>
            </w:pPr>
            <w:r w:rsidRPr="00C35257">
              <w:t>Furnishing Technology</w:t>
            </w:r>
          </w:p>
          <w:p w:rsidR="00000000" w:rsidRPr="00C35257" w:rsidP="00C35257">
            <w:pPr>
              <w:pStyle w:val="BodyText"/>
            </w:pPr>
          </w:p>
        </w:tc>
      </w:tr>
    </w:tbl>
    <w:p w:rsidR="00000000" w:rsidRPr="00C35257" w:rsidP="00C35257">
      <w:pPr>
        <w:pStyle w:val="BodyText"/>
      </w:pPr>
    </w:p>
    <w:p w:rsidR="00000000" w:rsidRPr="00C35257" w:rsidP="00C35257">
      <w:pPr>
        <w:pStyle w:val="BodyText"/>
      </w:pPr>
    </w:p>
    <w:tbl>
      <w:tblPr>
        <w:tblW w:w="0" w:type="auto"/>
        <w:tblCellMar>
          <w:left w:w="62" w:type="dxa"/>
          <w:right w:w="62" w:type="dxa"/>
        </w:tblCellMar>
        <w:tblLook w:val="0000"/>
      </w:tblPr>
      <w:tblGrid>
        <w:gridCol w:w="3542"/>
        <w:gridCol w:w="5654"/>
      </w:tblGrid>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Heading2"/>
            </w:pPr>
            <w:r w:rsidRPr="00C35257">
              <w:t>ELEMENT</w:t>
            </w:r>
          </w:p>
        </w:tc>
        <w:tc>
          <w:tcPr>
            <w:tcW w:w="0" w:type="auto"/>
            <w:tcBorders>
              <w:top w:val="nil"/>
              <w:left w:val="nil"/>
              <w:bottom w:val="nil"/>
              <w:right w:val="nil"/>
            </w:tcBorders>
            <w:tcMar>
              <w:top w:w="0" w:type="dxa"/>
              <w:left w:w="62" w:type="dxa"/>
              <w:bottom w:w="0" w:type="dxa"/>
              <w:right w:w="62" w:type="dxa"/>
            </w:tcMar>
          </w:tcPr>
          <w:p w:rsidR="00000000" w:rsidP="00C35257">
            <w:pPr>
              <w:pStyle w:val="Heading2"/>
            </w:pPr>
            <w:r w:rsidRPr="00C35257">
              <w:t>PERFORMANCE CRITERIA</w:t>
            </w: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List"/>
              <w:rPr>
                <w:lang w:val="en-NZ"/>
              </w:rPr>
            </w:pPr>
            <w:r w:rsidRPr="00C35257">
              <w:t>1.</w:t>
            </w:r>
            <w:r w:rsidRPr="00C35257">
              <w:tab/>
              <w:t>Identify opportunity to provide goods and/or services</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1.1</w:t>
            </w:r>
            <w:r w:rsidRPr="00C35257">
              <w:tab/>
              <w:t>Opportunities that are within the operational scope of the business unit or organisation are identified</w:t>
            </w:r>
          </w:p>
          <w:p w:rsidR="00000000" w:rsidRPr="00C35257" w:rsidP="00C35257">
            <w:pPr>
              <w:pStyle w:val="List"/>
            </w:pPr>
            <w:r w:rsidRPr="00C35257">
              <w:t>1.2</w:t>
            </w:r>
            <w:r w:rsidRPr="00C35257">
              <w:tab/>
              <w:t>Organisational resources which are available, or expertis</w:t>
            </w:r>
            <w:r w:rsidRPr="00C35257">
              <w:t>e which may be accessed, is identified and matched to opportunities</w:t>
            </w:r>
          </w:p>
          <w:p w:rsidR="00000000" w:rsidRPr="00C35257" w:rsidP="00C35257">
            <w:pPr>
              <w:pStyle w:val="List"/>
            </w:pPr>
            <w:r w:rsidRPr="00C35257">
              <w:t>1.3</w:t>
            </w:r>
            <w:r w:rsidRPr="00C35257">
              <w:tab/>
              <w:t>The feasibility of undertaking the proposed project/work is assessed and approval is sought according to organisational policy and procedures</w:t>
            </w: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List"/>
              <w:rPr>
                <w:lang w:val="en-NZ"/>
              </w:rPr>
            </w:pPr>
            <w:r w:rsidRPr="00C35257">
              <w:t>2.</w:t>
            </w:r>
            <w:r w:rsidRPr="00C35257">
              <w:tab/>
              <w:t>Analyse tender requirements</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2.1</w:t>
            </w:r>
            <w:r w:rsidRPr="00C35257">
              <w:tab/>
              <w:t>Tende</w:t>
            </w:r>
            <w:r w:rsidRPr="00C35257">
              <w:t>r specifications and scope of tender requirement is identified and clarified with the originator if required</w:t>
            </w:r>
          </w:p>
          <w:p w:rsidR="00000000" w:rsidRPr="00C35257" w:rsidP="00C35257">
            <w:pPr>
              <w:pStyle w:val="List"/>
            </w:pPr>
            <w:r w:rsidRPr="00C35257">
              <w:t>2.2</w:t>
            </w:r>
            <w:r w:rsidRPr="00C35257">
              <w:tab/>
              <w:t>Proposed methodology for satisfying the request is developed</w:t>
            </w:r>
          </w:p>
          <w:p w:rsidR="00000000" w:rsidRPr="00C35257" w:rsidP="00C35257">
            <w:pPr>
              <w:pStyle w:val="List"/>
            </w:pPr>
            <w:r w:rsidRPr="00C35257">
              <w:t>2.3</w:t>
            </w:r>
            <w:r w:rsidRPr="00C35257">
              <w:tab/>
            </w:r>
            <w:r w:rsidRPr="00C35257">
              <w:t>Required resources are identified and their availability confirmed with the provider in accordance with organisational procedures</w:t>
            </w:r>
          </w:p>
          <w:p w:rsidR="00000000" w:rsidRPr="00C35257" w:rsidP="00C35257">
            <w:pPr>
              <w:pStyle w:val="List"/>
            </w:pPr>
            <w:r w:rsidRPr="00C35257">
              <w:t>2.4</w:t>
            </w:r>
            <w:r w:rsidRPr="00C35257">
              <w:tab/>
              <w:t>Methodology is adjusted to accommodate the availability of resources and expertise available</w:t>
            </w: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List"/>
              <w:rPr>
                <w:lang w:val="en-NZ"/>
              </w:rPr>
            </w:pPr>
            <w:r w:rsidRPr="00C35257">
              <w:t>3.</w:t>
            </w:r>
            <w:r w:rsidRPr="00C35257">
              <w:tab/>
              <w:t>Prepare a tender estimat</w:t>
            </w:r>
            <w:r w:rsidRPr="00C35257">
              <w:t>e</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3.1</w:t>
            </w:r>
            <w:r w:rsidRPr="00C35257">
              <w:tab/>
              <w:t>Estimate is prepared, taking all requirements into account and providing for contingencies as required by organisational policies, procedures and requirements</w:t>
            </w:r>
          </w:p>
          <w:p w:rsidR="00000000" w:rsidRPr="00C35257" w:rsidP="00C35257">
            <w:pPr>
              <w:pStyle w:val="List"/>
            </w:pPr>
            <w:r w:rsidRPr="00C35257">
              <w:t>3.2</w:t>
            </w:r>
            <w:r w:rsidRPr="00C35257">
              <w:tab/>
              <w:t>Costing of estimate conforms to organisational policies and procedures</w:t>
            </w:r>
          </w:p>
          <w:p w:rsidR="00000000" w:rsidRPr="00C35257" w:rsidP="00C35257">
            <w:pPr>
              <w:pStyle w:val="List"/>
            </w:pPr>
            <w:r w:rsidRPr="00C35257">
              <w:t>3.3</w:t>
            </w:r>
            <w:r w:rsidRPr="00C35257">
              <w:tab/>
              <w:t>The estimate</w:t>
            </w:r>
            <w:r w:rsidRPr="00C35257">
              <w:t xml:space="preserve"> satisfies the total requirement. Where this cannot be provided, an explanation/compromise/option is identified</w:t>
            </w:r>
          </w:p>
          <w:p w:rsidR="00000000" w:rsidRPr="00C35257" w:rsidP="00C35257">
            <w:pPr>
              <w:pStyle w:val="List"/>
            </w:pPr>
            <w:r w:rsidRPr="00C35257">
              <w:t>3.4</w:t>
            </w:r>
            <w:r w:rsidRPr="00C35257">
              <w:tab/>
              <w:t>Estimate is checked for accuracy and detail in accordance with organisational procedures</w:t>
            </w: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List"/>
              <w:rPr>
                <w:lang w:val="en-NZ"/>
              </w:rPr>
            </w:pPr>
            <w:r w:rsidRPr="00C35257">
              <w:t>4.</w:t>
            </w:r>
            <w:r w:rsidRPr="00C35257">
              <w:tab/>
              <w:t>Submit a tender</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4.1</w:t>
            </w:r>
            <w:r w:rsidRPr="00C35257">
              <w:tab/>
              <w:t>Tender is prepared in acco</w:t>
            </w:r>
            <w:r w:rsidRPr="00C35257">
              <w:t>rdance with organisational policy and procedures</w:t>
            </w:r>
          </w:p>
          <w:p w:rsidR="00000000" w:rsidRPr="00C35257" w:rsidP="00C35257">
            <w:pPr>
              <w:pStyle w:val="List"/>
            </w:pPr>
            <w:r w:rsidRPr="00C35257">
              <w:t>4.2</w:t>
            </w:r>
            <w:r w:rsidRPr="00C35257">
              <w:tab/>
              <w:t>Tender addresses required details and meets originator's requirements</w:t>
            </w:r>
          </w:p>
          <w:p w:rsidR="00000000" w:rsidRPr="00C35257" w:rsidP="00C35257">
            <w:pPr>
              <w:pStyle w:val="List"/>
            </w:pPr>
            <w:r w:rsidRPr="00C35257">
              <w:t>4.3</w:t>
            </w:r>
            <w:r w:rsidRPr="00C35257">
              <w:tab/>
              <w:t>Tender is submitted within the required timeframe in the form required by the request</w:t>
            </w:r>
          </w:p>
          <w:p w:rsidR="00000000" w:rsidRPr="00C35257" w:rsidP="00C35257">
            <w:pPr>
              <w:pStyle w:val="List"/>
            </w:pPr>
            <w:r w:rsidRPr="00C35257">
              <w:t>4.4</w:t>
            </w:r>
            <w:r w:rsidRPr="00C35257">
              <w:tab/>
              <w:t xml:space="preserve">Organisational requirements for record </w:t>
            </w:r>
            <w:r w:rsidRPr="00C35257">
              <w:t>keeping and documentation of tenders are completed</w:t>
            </w:r>
          </w:p>
          <w:p w:rsidR="00000000" w:rsidRPr="00C35257" w:rsidP="00C35257">
            <w:pPr>
              <w:pStyle w:val="List"/>
            </w:pP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List"/>
              <w:rPr>
                <w:lang w:val="en-NZ"/>
              </w:rPr>
            </w:pPr>
            <w:r w:rsidRPr="00C35257">
              <w:t>5.</w:t>
            </w:r>
            <w:r w:rsidRPr="00C35257">
              <w:tab/>
              <w:t>Review tender process</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5.1  Changes and variations to the tender are negotiated to meet the needs of the client and the organisation in accordance with contractual arrangements, organisational policy,</w:t>
            </w:r>
            <w:r w:rsidRPr="00C35257">
              <w:t xml:space="preserve"> procedure and delegated authority</w:t>
            </w:r>
          </w:p>
          <w:p w:rsidR="00000000" w:rsidRPr="00C35257" w:rsidP="00C35257">
            <w:pPr>
              <w:pStyle w:val="List"/>
            </w:pPr>
            <w:r w:rsidRPr="00C35257">
              <w:t>5.2  The tender content and process is reviewed and evaluated, using the outcome and the feedback provided by client and stakeholders</w:t>
            </w:r>
          </w:p>
          <w:p w:rsidR="00000000" w:rsidRPr="00C35257" w:rsidP="00C35257">
            <w:pPr>
              <w:pStyle w:val="List"/>
            </w:pPr>
            <w:r w:rsidRPr="00C35257">
              <w:t>5.3  Procedures are adjusted if required to improve subsequent bids</w:t>
            </w:r>
          </w:p>
          <w:p w:rsidR="00000000" w:rsidRPr="00C35257" w:rsidP="00C35257">
            <w:pPr>
              <w:pStyle w:val="List"/>
            </w:pPr>
          </w:p>
        </w:tc>
      </w:tr>
    </w:tbl>
    <w:p w:rsidR="00000000" w:rsidRPr="00C35257" w:rsidP="00C35257">
      <w:pPr>
        <w:pStyle w:val="BodyText"/>
      </w:pPr>
    </w:p>
    <w:p w:rsidR="00000000" w:rsidRPr="00C35257" w:rsidP="00C35257">
      <w:pPr>
        <w:pStyle w:val="BodyText"/>
      </w:pPr>
    </w:p>
    <w:p w:rsidR="00000000" w:rsidRPr="00C35257" w:rsidP="00C35257">
      <w:pPr>
        <w:pStyle w:val="Heading2"/>
      </w:pPr>
      <w:r w:rsidRPr="00C35257">
        <w:t>REQUIRED SKILLS AND KNOWLEDGE</w:t>
      </w:r>
    </w:p>
    <w:p w:rsidR="00000000" w:rsidRPr="00C35257" w:rsidP="00C35257">
      <w:pPr>
        <w:pStyle w:val="BodyText"/>
      </w:pPr>
      <w:r w:rsidRPr="00C35257">
        <w:t>This describes the essential skills and knowledge and their level, required for this unit.</w:t>
      </w:r>
    </w:p>
    <w:p w:rsidR="00000000" w:rsidRPr="00C35257" w:rsidP="00C35257">
      <w:pPr>
        <w:pStyle w:val="BodyText"/>
      </w:pPr>
    </w:p>
    <w:tbl>
      <w:tblPr>
        <w:tblW w:w="0" w:type="auto"/>
        <w:tblCellMar>
          <w:left w:w="62" w:type="dxa"/>
          <w:right w:w="62" w:type="dxa"/>
        </w:tblCellMar>
        <w:tblLook w:val="0000"/>
      </w:tblPr>
      <w:tblGrid>
        <w:gridCol w:w="3542"/>
        <w:gridCol w:w="5654"/>
      </w:tblGrid>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Required skills</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w:t>
            </w:r>
            <w:r w:rsidRPr="00C35257">
              <w:tab/>
              <w:t>research, collect, organise and understand information related to the tendering process, including the relevant lega</w:t>
            </w:r>
            <w:r w:rsidRPr="00C35257">
              <w:t>l, technical, regulatory, fiscal, cultural, environmental and safety requirements</w:t>
            </w:r>
          </w:p>
          <w:p w:rsidR="00000000" w:rsidRPr="00C35257" w:rsidP="00C35257">
            <w:pPr>
              <w:pStyle w:val="List"/>
            </w:pPr>
            <w:r w:rsidRPr="00C35257">
              <w:t>•</w:t>
            </w:r>
            <w:r w:rsidRPr="00C35257">
              <w:tab/>
              <w:t>communicate ideas and information in a form which will satisfy the tender brief in clearly understandable terms and also market the offer to the client</w:t>
            </w:r>
          </w:p>
          <w:p w:rsidR="00000000" w:rsidRPr="00C35257" w:rsidP="00C35257">
            <w:pPr>
              <w:pStyle w:val="List"/>
            </w:pPr>
            <w:r w:rsidRPr="00C35257">
              <w:t>•</w:t>
            </w:r>
            <w:r w:rsidRPr="00C35257">
              <w:tab/>
              <w:t xml:space="preserve">plan and organise </w:t>
            </w:r>
            <w:r w:rsidRPr="00C35257">
              <w:t>activities, including the research, analysis, preparation of the tender to avoid any backtracking or wastage</w:t>
            </w:r>
          </w:p>
          <w:p w:rsidR="00000000" w:rsidRPr="00C35257" w:rsidP="00C35257">
            <w:pPr>
              <w:pStyle w:val="List"/>
            </w:pPr>
            <w:r w:rsidRPr="00C35257">
              <w:t>•</w:t>
            </w:r>
            <w:r w:rsidRPr="00C35257">
              <w:tab/>
              <w:t>work with others in a team by recognising dependencies and using cooperative approaches to optimise workflow and productivity</w:t>
            </w:r>
          </w:p>
          <w:p w:rsidR="00000000" w:rsidRPr="00C35257" w:rsidP="00C35257">
            <w:pPr>
              <w:pStyle w:val="List"/>
            </w:pPr>
            <w:r w:rsidRPr="00C35257">
              <w:t>•</w:t>
            </w:r>
            <w:r w:rsidRPr="00C35257">
              <w:tab/>
              <w:t xml:space="preserve">use mathematical </w:t>
            </w:r>
            <w:r w:rsidRPr="00C35257">
              <w:t>ideas and techniques to correctly complete calculations relevant to the identification, costing, scheduling and management of the tender</w:t>
            </w:r>
          </w:p>
          <w:p w:rsidR="00000000" w:rsidRPr="00C35257" w:rsidP="00C35257">
            <w:pPr>
              <w:pStyle w:val="List"/>
            </w:pPr>
            <w:r w:rsidRPr="00C35257">
              <w:t>•</w:t>
            </w:r>
            <w:r w:rsidRPr="00C35257">
              <w:tab/>
              <w:t>create and apply systematic problem solving techniques to anticipate tendering problems, avoid re-working and avoid w</w:t>
            </w:r>
            <w:r w:rsidRPr="00C35257">
              <w:t>astage</w:t>
            </w:r>
          </w:p>
          <w:p w:rsidR="00000000" w:rsidRPr="00C35257" w:rsidP="00C35257">
            <w:pPr>
              <w:pStyle w:val="List"/>
            </w:pPr>
            <w:r w:rsidRPr="00C35257">
              <w:t>•</w:t>
            </w:r>
            <w:r w:rsidRPr="00C35257">
              <w:tab/>
              <w:t>use the workplace technology related to tendering, including calculators, computing/computer-aided systems, communications media and presentation aids</w:t>
            </w: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Required knowledge</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w:t>
            </w:r>
            <w:r w:rsidRPr="00C35257">
              <w:tab/>
              <w:t>enterprise operating procedures and requirements</w:t>
            </w:r>
          </w:p>
          <w:p w:rsidR="00000000" w:rsidRPr="00C35257" w:rsidP="00C35257">
            <w:pPr>
              <w:pStyle w:val="List"/>
            </w:pPr>
            <w:r w:rsidRPr="00C35257">
              <w:t>•</w:t>
            </w:r>
            <w:r w:rsidRPr="00C35257">
              <w:tab/>
            </w:r>
            <w:r w:rsidRPr="00C35257">
              <w:t>organisation resources, capacities and capabilities</w:t>
            </w:r>
          </w:p>
          <w:p w:rsidR="00000000" w:rsidRPr="00C35257" w:rsidP="00C35257">
            <w:pPr>
              <w:pStyle w:val="List"/>
            </w:pPr>
            <w:r w:rsidRPr="00C35257">
              <w:t>•</w:t>
            </w:r>
            <w:r w:rsidRPr="00C35257">
              <w:tab/>
              <w:t>tender management, preparation, submission and review processes</w:t>
            </w:r>
          </w:p>
          <w:p w:rsidR="00000000" w:rsidRPr="00C35257" w:rsidP="00C35257">
            <w:pPr>
              <w:pStyle w:val="List"/>
            </w:pPr>
            <w:r w:rsidRPr="00C35257">
              <w:t>•</w:t>
            </w:r>
            <w:r w:rsidRPr="00C35257">
              <w:tab/>
              <w:t>tender evaluation processes</w:t>
            </w:r>
          </w:p>
          <w:p w:rsidR="00000000" w:rsidRPr="00C35257" w:rsidP="00C35257">
            <w:pPr>
              <w:pStyle w:val="List"/>
            </w:pPr>
            <w:r w:rsidRPr="00C35257">
              <w:t>•</w:t>
            </w:r>
            <w:r w:rsidRPr="00C35257">
              <w:tab/>
              <w:t>financial and legal requirements for tendering</w:t>
            </w:r>
          </w:p>
          <w:p w:rsidR="00000000" w:rsidRPr="00C35257" w:rsidP="00C35257">
            <w:pPr>
              <w:pStyle w:val="List"/>
            </w:pPr>
            <w:r w:rsidRPr="00C35257">
              <w:t>•</w:t>
            </w:r>
            <w:r w:rsidRPr="00C35257">
              <w:tab/>
              <w:t>relevant legislation relating to tendering and contractin</w:t>
            </w:r>
            <w:r w:rsidRPr="00C35257">
              <w:t>g for goods and/or services of the organisation</w:t>
            </w:r>
          </w:p>
          <w:p w:rsidR="00000000" w:rsidRPr="00C35257" w:rsidP="00C35257">
            <w:pPr>
              <w:pStyle w:val="List"/>
            </w:pPr>
          </w:p>
        </w:tc>
      </w:tr>
    </w:tbl>
    <w:p w:rsidR="00000000" w:rsidRPr="00C35257" w:rsidP="00C35257">
      <w:pPr>
        <w:pStyle w:val="BodyText"/>
      </w:pPr>
    </w:p>
    <w:p w:rsidR="00000000" w:rsidRPr="00C35257" w:rsidP="00C35257">
      <w:pPr>
        <w:pStyle w:val="AllowPageBreak"/>
      </w:pPr>
    </w:p>
    <w:p w:rsidR="00000000" w:rsidRPr="00C35257" w:rsidP="00C35257">
      <w:pPr>
        <w:pStyle w:val="Heading1"/>
      </w:pPr>
      <w:bookmarkStart w:id="3" w:name="O_385287"/>
      <w:bookmarkEnd w:id="3"/>
      <w:r w:rsidRPr="00C35257">
        <w:t>RANGE STATEMENT</w:t>
      </w:r>
    </w:p>
    <w:p w:rsidR="00000000" w:rsidRPr="00C35257" w:rsidP="00C35257">
      <w:pPr>
        <w:pStyle w:val="BodyText"/>
      </w:pPr>
    </w:p>
    <w:p w:rsidR="00000000" w:rsidRPr="00C35257" w:rsidP="00C35257">
      <w:pPr>
        <w:pStyle w:val="BodyText"/>
      </w:pPr>
      <w:r w:rsidRPr="00C35257">
        <w:t>The range statement relates to the unit of competency as a whole. It allows for different work environments and situations that may affect performance. Bold italicised wor</w:t>
      </w:r>
      <w:r w:rsidRPr="00C35257">
        <w:t>ding, if used in the performance criteria, is detailed below. Essential operating conditions that may be present with training and assessment (depending on the work situation, needs of the candidate, accessibility of the item, and local industry and region</w:t>
      </w:r>
      <w:r w:rsidRPr="00C35257">
        <w:t>al contexts) may also be included.</w:t>
      </w:r>
    </w:p>
    <w:p w:rsidR="00000000" w:rsidRPr="00C35257" w:rsidP="00C35257">
      <w:pPr>
        <w:pStyle w:val="BodyText"/>
      </w:pPr>
    </w:p>
    <w:p w:rsidR="00000000" w:rsidRPr="00C35257" w:rsidP="00C35257">
      <w:pPr>
        <w:pStyle w:val="BodyText"/>
      </w:pPr>
    </w:p>
    <w:tbl>
      <w:tblPr>
        <w:tblW w:w="0" w:type="auto"/>
        <w:tblCellMar>
          <w:left w:w="62" w:type="dxa"/>
          <w:right w:w="62" w:type="dxa"/>
        </w:tblCellMar>
        <w:tblLook w:val="0000"/>
      </w:tblPr>
      <w:tblGrid>
        <w:gridCol w:w="3589"/>
        <w:gridCol w:w="5607"/>
      </w:tblGrid>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Unit scope</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w:t>
            </w:r>
            <w:r w:rsidRPr="00C35257">
              <w:tab/>
              <w:t>This unit covers the work involved in the preparation of tenders to secure work/orders for products</w:t>
            </w:r>
          </w:p>
          <w:p w:rsidR="00000000" w:rsidRPr="00C35257" w:rsidP="00C35257">
            <w:pPr>
              <w:pStyle w:val="List"/>
            </w:pPr>
            <w:r w:rsidRPr="00C35257">
              <w:t>•</w:t>
            </w:r>
            <w:r w:rsidRPr="00C35257">
              <w:tab/>
              <w:t>The work requires the analysis of, at times, complex requirements, the preparation and presentation of t</w:t>
            </w:r>
            <w:r w:rsidRPr="00C35257">
              <w:t>he tender and the follow-up action for both successful and unsuccessful tenders</w:t>
            </w: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Unit context</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w:t>
            </w:r>
            <w:r w:rsidRPr="00C35257">
              <w:tab/>
              <w:t xml:space="preserve">OHS requirements include legislation, building codes, material safety management systems, hazardous substances and </w:t>
            </w:r>
            <w:r w:rsidRPr="00C35257">
              <w:t>dangerous goods codes and safe operating procedures</w:t>
            </w:r>
          </w:p>
          <w:p w:rsidR="00000000" w:rsidRPr="00C35257" w:rsidP="00C35257">
            <w:pPr>
              <w:pStyle w:val="List"/>
            </w:pPr>
            <w:r w:rsidRPr="00C35257">
              <w:t>•</w:t>
            </w:r>
            <w:r w:rsidRPr="00C35257">
              <w:tab/>
              <w:t>Work is carried out in accordance with legislative obligations, environmental legislation, relevant health regulations, authorised handling procedures and organisation insurance requirements</w:t>
            </w:r>
          </w:p>
          <w:p w:rsidR="00000000" w:rsidRPr="00C35257" w:rsidP="00C35257">
            <w:pPr>
              <w:pStyle w:val="List"/>
            </w:pPr>
            <w:r w:rsidRPr="00C35257">
              <w:t>•</w:t>
            </w:r>
            <w:r w:rsidRPr="00C35257">
              <w:tab/>
              <w:t>Work requ</w:t>
            </w:r>
            <w:r w:rsidRPr="00C35257">
              <w:t>ires individuals to demonstrate analytical ability, discretion, judgement and problem solving skills</w:t>
            </w: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Workplace environment</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w:t>
            </w:r>
            <w:r w:rsidRPr="00C35257">
              <w:tab/>
              <w:t>Work is undertaken in accordance with established enterprise procedures and practices</w:t>
            </w:r>
          </w:p>
          <w:p w:rsidR="00000000" w:rsidRPr="00C35257" w:rsidP="00C35257">
            <w:pPr>
              <w:pStyle w:val="List"/>
            </w:pPr>
            <w:r w:rsidRPr="00C35257">
              <w:t>•</w:t>
            </w:r>
            <w:r w:rsidRPr="00C35257">
              <w:tab/>
              <w:t>Work is generally performed with little e</w:t>
            </w:r>
            <w:r w:rsidRPr="00C35257">
              <w:t>xternal assistance and with minimal supervision or direction</w:t>
            </w:r>
          </w:p>
          <w:p w:rsidR="00000000" w:rsidRPr="00C35257" w:rsidP="00C35257">
            <w:pPr>
              <w:pStyle w:val="List"/>
            </w:pPr>
            <w:r w:rsidRPr="00C35257">
              <w:t>•</w:t>
            </w:r>
            <w:r w:rsidRPr="00C35257">
              <w:tab/>
              <w:t>Customers may be internal or external</w:t>
            </w: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Information and procedures</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w:t>
            </w:r>
            <w:r w:rsidRPr="00C35257">
              <w:tab/>
              <w:t>Work procedures/instructions</w:t>
            </w:r>
          </w:p>
          <w:p w:rsidR="00000000" w:rsidRPr="00C35257" w:rsidP="00C35257">
            <w:pPr>
              <w:pStyle w:val="List"/>
            </w:pPr>
            <w:r w:rsidRPr="00C35257">
              <w:t>•</w:t>
            </w:r>
            <w:r w:rsidRPr="00C35257">
              <w:tab/>
              <w:t>Tender brief/specifications issued by the requesting agency</w:t>
            </w:r>
          </w:p>
          <w:p w:rsidR="00000000" w:rsidRPr="00C35257" w:rsidP="00C35257">
            <w:pPr>
              <w:pStyle w:val="List"/>
            </w:pPr>
            <w:r w:rsidRPr="00C35257">
              <w:t>•</w:t>
            </w:r>
            <w:r w:rsidRPr="00C35257">
              <w:tab/>
              <w:t>Organisation work specification</w:t>
            </w:r>
            <w:r w:rsidRPr="00C35257">
              <w:t>s and requirements</w:t>
            </w:r>
          </w:p>
          <w:p w:rsidR="00000000" w:rsidRPr="00C35257" w:rsidP="00C35257">
            <w:pPr>
              <w:pStyle w:val="List"/>
            </w:pPr>
            <w:r w:rsidRPr="00C35257">
              <w:t>•</w:t>
            </w:r>
            <w:r w:rsidRPr="00C35257">
              <w:tab/>
              <w:t>Legislation/regulations/national and industry codes and practices relevant to the product</w:t>
            </w:r>
          </w:p>
          <w:p w:rsidR="00000000" w:rsidRPr="00C35257" w:rsidP="00C35257">
            <w:pPr>
              <w:pStyle w:val="List"/>
            </w:pPr>
            <w:r w:rsidRPr="00C35257">
              <w:t>•</w:t>
            </w:r>
            <w:r w:rsidRPr="00C35257">
              <w:tab/>
              <w:t>Quality and Australian standards and procedures</w:t>
            </w:r>
          </w:p>
          <w:p w:rsidR="00000000" w:rsidRPr="00C35257" w:rsidP="00C35257">
            <w:pPr>
              <w:pStyle w:val="List"/>
            </w:pPr>
          </w:p>
        </w:tc>
      </w:tr>
    </w:tbl>
    <w:p w:rsidR="00000000" w:rsidRPr="00C35257" w:rsidP="00C35257">
      <w:pPr>
        <w:pStyle w:val="BodyText"/>
      </w:pPr>
    </w:p>
    <w:p w:rsidR="00000000" w:rsidRPr="00C35257" w:rsidP="00C35257">
      <w:pPr>
        <w:pStyle w:val="AllowPageBreak"/>
      </w:pPr>
    </w:p>
    <w:p w:rsidR="00000000" w:rsidRPr="00C35257" w:rsidP="00C35257">
      <w:pPr>
        <w:pStyle w:val="Heading1"/>
      </w:pPr>
      <w:bookmarkStart w:id="4" w:name="O_385288"/>
      <w:bookmarkEnd w:id="4"/>
      <w:r w:rsidRPr="00C35257">
        <w:t>EVIDENCE GUIDE</w:t>
      </w:r>
    </w:p>
    <w:p w:rsidR="00000000" w:rsidRPr="00C35257" w:rsidP="00C35257">
      <w:pPr>
        <w:pStyle w:val="BodyText"/>
      </w:pPr>
    </w:p>
    <w:p w:rsidR="00000000" w:rsidRPr="00C35257" w:rsidP="00C35257">
      <w:pPr>
        <w:pStyle w:val="BodyText"/>
      </w:pPr>
      <w:r w:rsidRPr="00C35257">
        <w:t>The evidence guide provides advice on assessment and must be read in conjunction with the performance criteria, required skills and knowledge, range statement and the Assessment Guidelines for the Training Package.</w:t>
      </w:r>
    </w:p>
    <w:p w:rsidR="00000000" w:rsidRPr="00C35257" w:rsidP="00C35257">
      <w:pPr>
        <w:pStyle w:val="BodyText"/>
      </w:pPr>
    </w:p>
    <w:tbl>
      <w:tblPr>
        <w:tblW w:w="0" w:type="auto"/>
        <w:tblCellMar>
          <w:left w:w="62" w:type="dxa"/>
          <w:right w:w="62" w:type="dxa"/>
        </w:tblCellMar>
        <w:tblLook w:val="0000"/>
      </w:tblPr>
      <w:tblGrid>
        <w:gridCol w:w="3542"/>
        <w:gridCol w:w="5654"/>
      </w:tblGrid>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List"/>
            </w:pPr>
            <w:r w:rsidRPr="00C35257">
              <w:t>•</w:t>
            </w:r>
            <w:r w:rsidRPr="00C35257">
              <w:tab/>
              <w:t>Locate, i</w:t>
            </w:r>
            <w:r w:rsidRPr="00C35257">
              <w:t>nterpret and apply all relevant information</w:t>
            </w:r>
          </w:p>
          <w:p w:rsidR="00000000" w:rsidRPr="00C35257" w:rsidP="00C35257">
            <w:pPr>
              <w:pStyle w:val="List"/>
            </w:pPr>
            <w:r w:rsidRPr="00C35257">
              <w:t>•</w:t>
            </w:r>
            <w:r w:rsidRPr="00C35257">
              <w:tab/>
              <w:t>Apply safety requirements throughout the work sequence, including the use of personal protective clothing and equipment</w:t>
            </w:r>
          </w:p>
          <w:p w:rsidR="00000000" w:rsidRPr="00C35257" w:rsidP="00C35257">
            <w:pPr>
              <w:pStyle w:val="List"/>
            </w:pPr>
            <w:r w:rsidRPr="00C35257">
              <w:t>•</w:t>
            </w:r>
            <w:r w:rsidRPr="00C35257">
              <w:tab/>
              <w:t>On a minimum of two occasions and for different/significant goods or services, prepare a</w:t>
            </w:r>
            <w:r w:rsidRPr="00C35257">
              <w:t>nd submit formal tenders that are framed to serve marketing purposes and which address or are supported by:</w:t>
            </w:r>
          </w:p>
          <w:p w:rsidR="00000000" w:rsidRPr="00C35257" w:rsidP="00C35257">
            <w:pPr>
              <w:pStyle w:val="List"/>
            </w:pPr>
            <w:r w:rsidRPr="00C35257">
              <w:t>•</w:t>
            </w:r>
            <w:r w:rsidRPr="00C35257">
              <w:tab/>
              <w:t>the full requirements of the tender brief</w:t>
            </w:r>
          </w:p>
          <w:p w:rsidR="00000000" w:rsidRPr="00C35257" w:rsidP="00C35257">
            <w:pPr>
              <w:pStyle w:val="List"/>
            </w:pPr>
            <w:r w:rsidRPr="00C35257">
              <w:t>•</w:t>
            </w:r>
            <w:r w:rsidRPr="00C35257">
              <w:tab/>
              <w:t>total resource requirements</w:t>
            </w:r>
          </w:p>
          <w:p w:rsidR="00000000" w:rsidRPr="00C35257" w:rsidP="00C35257">
            <w:pPr>
              <w:pStyle w:val="List"/>
            </w:pPr>
            <w:r w:rsidRPr="00C35257">
              <w:t>•</w:t>
            </w:r>
            <w:r w:rsidRPr="00C35257">
              <w:tab/>
              <w:t>total costings covering all components and scenarios</w:t>
            </w:r>
          </w:p>
          <w:p w:rsidR="00000000" w:rsidRPr="00C35257" w:rsidP="00C35257">
            <w:pPr>
              <w:pStyle w:val="List"/>
            </w:pPr>
            <w:r w:rsidRPr="00C35257">
              <w:t>•</w:t>
            </w:r>
            <w:r w:rsidRPr="00C35257">
              <w:tab/>
              <w:t>appropriate legis</w:t>
            </w:r>
            <w:r w:rsidRPr="00C35257">
              <w:t>lative requirements</w:t>
            </w:r>
          </w:p>
          <w:p w:rsidR="00000000" w:rsidRPr="00C35257" w:rsidP="00C35257">
            <w:pPr>
              <w:pStyle w:val="List"/>
            </w:pPr>
            <w:r w:rsidRPr="00C35257">
              <w:t>•</w:t>
            </w:r>
            <w:r w:rsidRPr="00C35257">
              <w:tab/>
              <w:t>options for the client</w:t>
            </w:r>
          </w:p>
          <w:p w:rsidR="00000000" w:rsidRPr="00C35257" w:rsidP="00C35257">
            <w:pPr>
              <w:pStyle w:val="List"/>
            </w:pPr>
            <w:r w:rsidRPr="00C35257">
              <w:t>•</w:t>
            </w:r>
            <w:r w:rsidRPr="00C35257">
              <w:tab/>
              <w:t>Negotiate changes/variations to tender and conduct review of outcome</w:t>
            </w:r>
          </w:p>
          <w:p w:rsidR="00000000" w:rsidRPr="00C35257" w:rsidP="00C35257">
            <w:pPr>
              <w:pStyle w:val="List"/>
            </w:pPr>
            <w:r w:rsidRPr="00C35257">
              <w:t>•</w:t>
            </w:r>
            <w:r w:rsidRPr="00C35257">
              <w:tab/>
              <w:t>Work effectively with others</w:t>
            </w:r>
          </w:p>
          <w:p w:rsidR="00000000" w:rsidP="00C35257">
            <w:pPr>
              <w:pStyle w:val="Lis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Resource implications</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BodyText"/>
            </w:pPr>
            <w:r w:rsidRPr="00C35257">
              <w:t>Access to Requests for Tender, previous tenders and outcomes, information relating to relevant resources, appropriate staff/advisers and supporting technology.</w:t>
            </w:r>
          </w:p>
          <w:p w:rsidR="00000000" w:rsidP="00C35257">
            <w:pPr>
              <w:pStyle w:val="BodyTex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Method of assessment</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BodyText"/>
            </w:pPr>
            <w:r w:rsidRPr="00C35257">
              <w:t xml:space="preserve">Assessment methods must confirm consistency of performance over time and </w:t>
            </w:r>
            <w:r w:rsidRPr="00C35257">
              <w:t>in a range of workplace relevant contexts.</w:t>
            </w:r>
          </w:p>
          <w:p w:rsidR="00000000" w:rsidRPr="00C35257" w:rsidP="00C35257">
            <w:pPr>
              <w:pStyle w:val="BodyText"/>
            </w:pPr>
            <w:r w:rsidRPr="00C35257">
              <w:t>Assessment should be by direct observation of tasks and/or samples of work and questioning on underpinning knowledge.</w:t>
            </w:r>
          </w:p>
          <w:p w:rsidR="00000000" w:rsidRPr="00C35257" w:rsidP="00C35257">
            <w:pPr>
              <w:pStyle w:val="BodyText"/>
            </w:pPr>
            <w:r w:rsidRPr="00C35257">
              <w:t>Assessment should be conducted over time and will generally be in conjunction with assessment o</w:t>
            </w:r>
            <w:r w:rsidRPr="00C35257">
              <w:t>f other units of competency.</w:t>
            </w:r>
          </w:p>
          <w:p w:rsidR="00000000" w:rsidP="00C35257">
            <w:pPr>
              <w:pStyle w:val="BodyText"/>
              <w:rPr>
                <w:lang w:val="en-NZ"/>
              </w:rPr>
            </w:pPr>
          </w:p>
        </w:tc>
      </w:tr>
      <w:tr w:rsidTr="004331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35257">
            <w:pPr>
              <w:pStyle w:val="BodyText"/>
              <w:rPr>
                <w:lang w:val="en-NZ"/>
              </w:rPr>
            </w:pPr>
            <w:r w:rsidRPr="00C35257">
              <w:t>Context of assessment</w:t>
            </w:r>
          </w:p>
        </w:tc>
        <w:tc>
          <w:tcPr>
            <w:tcW w:w="0" w:type="auto"/>
            <w:tcBorders>
              <w:top w:val="nil"/>
              <w:left w:val="nil"/>
              <w:bottom w:val="nil"/>
              <w:right w:val="nil"/>
            </w:tcBorders>
            <w:tcMar>
              <w:top w:w="0" w:type="dxa"/>
              <w:left w:w="62" w:type="dxa"/>
              <w:bottom w:w="0" w:type="dxa"/>
              <w:right w:w="62" w:type="dxa"/>
            </w:tcMar>
          </w:tcPr>
          <w:p w:rsidR="00000000" w:rsidRPr="00C35257" w:rsidP="00C35257">
            <w:pPr>
              <w:pStyle w:val="BodyText"/>
            </w:pPr>
            <w:r w:rsidRPr="00C35257">
              <w:t>Assessment may occur on the job or in a simulated workplace facility with relevant equipment, simulated work instructions and deadlines.</w:t>
            </w:r>
          </w:p>
          <w:p w:rsidR="00000000" w:rsidRPr="00C35257" w:rsidP="00C35257">
            <w:pPr>
              <w:pStyle w:val="BodyText"/>
            </w:pPr>
          </w:p>
        </w:tc>
      </w:tr>
    </w:tbl>
    <w:p w:rsidR="00000000" w:rsidRPr="00C35257" w:rsidP="00C35257">
      <w:pPr>
        <w:pStyle w:val="BodyText"/>
      </w:pPr>
    </w:p>
    <w:p w:rsidR="00000000" w:rsidRPr="00C35257" w:rsidP="00C35257"/>
    <w:sectPr w:rsidSect="00C35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167" w:rsidP="00433167">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67" w:rsidP="00C35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3167" w:rsidP="00C35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3167" w:rsidP="00C35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167" w:rsidP="004331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67" w:rsidP="00C35257">
    <w:pPr>
      <w:pStyle w:val="Header"/>
      <w:framePr w:wrap="around"/>
    </w:pPr>
    <w:r>
      <w:fldChar w:fldCharType="begin"/>
    </w:r>
    <w:r>
      <w:instrText xml:space="preserve"> TITLE   \* MERGEFORMAT </w:instrText>
    </w:r>
    <w:r>
      <w:fldChar w:fldCharType="separate"/>
    </w:r>
    <w:r>
      <w:t>LMFFT4012B Prepare a tender submission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3167" w:rsidP="00C35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5257"/>
    <w:pPr>
      <w:spacing w:before="360" w:after="60"/>
      <w:outlineLvl w:val="0"/>
    </w:pPr>
    <w:rPr>
      <w:sz w:val="32"/>
    </w:rPr>
  </w:style>
  <w:style w:type="paragraph" w:styleId="Heading2">
    <w:name w:val="heading 2"/>
    <w:basedOn w:val="HeadingBase"/>
    <w:next w:val="BodyText"/>
    <w:link w:val="Heading2Char"/>
    <w:qFormat/>
    <w:rsid w:val="00C35257"/>
    <w:pPr>
      <w:keepLines/>
      <w:spacing w:before="240" w:after="120"/>
      <w:outlineLvl w:val="1"/>
    </w:pPr>
    <w:rPr>
      <w:sz w:val="28"/>
      <w:szCs w:val="40"/>
    </w:rPr>
  </w:style>
  <w:style w:type="paragraph" w:styleId="Heading3">
    <w:name w:val="heading 3"/>
    <w:basedOn w:val="HeadingBase"/>
    <w:next w:val="BodyText"/>
    <w:link w:val="Heading3Char"/>
    <w:qFormat/>
    <w:rsid w:val="00C35257"/>
    <w:pPr>
      <w:spacing w:before="180" w:after="120"/>
      <w:outlineLvl w:val="2"/>
    </w:pPr>
    <w:rPr>
      <w:spacing w:val="-10"/>
      <w:kern w:val="32"/>
    </w:rPr>
  </w:style>
  <w:style w:type="paragraph" w:styleId="Heading4">
    <w:name w:val="heading 4"/>
    <w:basedOn w:val="HeadingBase"/>
    <w:next w:val="BodyText"/>
    <w:link w:val="Heading4Char"/>
    <w:qFormat/>
    <w:rsid w:val="00C35257"/>
    <w:pPr>
      <w:spacing w:before="160" w:after="120"/>
      <w:outlineLvl w:val="3"/>
    </w:pPr>
    <w:rPr>
      <w:sz w:val="22"/>
    </w:rPr>
  </w:style>
  <w:style w:type="paragraph" w:styleId="Heading5">
    <w:name w:val="heading 5"/>
    <w:basedOn w:val="HeadingBase"/>
    <w:next w:val="Normal"/>
    <w:link w:val="Heading5Char"/>
    <w:qFormat/>
    <w:rsid w:val="00C35257"/>
    <w:pPr>
      <w:spacing w:before="80"/>
      <w:outlineLvl w:val="4"/>
    </w:pPr>
    <w:rPr>
      <w:color w:val="918585"/>
      <w:sz w:val="20"/>
    </w:rPr>
  </w:style>
  <w:style w:type="paragraph" w:styleId="Heading6">
    <w:name w:val="heading 6"/>
    <w:basedOn w:val="HeadingBase"/>
    <w:next w:val="Normal"/>
    <w:link w:val="Heading6Char"/>
    <w:qFormat/>
    <w:rsid w:val="00C35257"/>
    <w:pPr>
      <w:spacing w:before="60"/>
      <w:outlineLvl w:val="5"/>
    </w:pPr>
    <w:rPr>
      <w:color w:val="918585"/>
      <w:sz w:val="20"/>
    </w:rPr>
  </w:style>
  <w:style w:type="paragraph" w:styleId="Heading7">
    <w:name w:val="heading 7"/>
    <w:basedOn w:val="Normal"/>
    <w:next w:val="Normal"/>
    <w:link w:val="Heading7Char"/>
    <w:qFormat/>
    <w:rsid w:val="00C35257"/>
    <w:pPr>
      <w:ind w:left="720"/>
      <w:outlineLvl w:val="6"/>
    </w:pPr>
    <w:rPr>
      <w:i/>
    </w:rPr>
  </w:style>
  <w:style w:type="paragraph" w:styleId="Heading8">
    <w:name w:val="heading 8"/>
    <w:basedOn w:val="Normal"/>
    <w:next w:val="Normal"/>
    <w:link w:val="Heading8Char"/>
    <w:qFormat/>
    <w:rsid w:val="00C35257"/>
    <w:pPr>
      <w:ind w:left="720"/>
      <w:outlineLvl w:val="7"/>
    </w:pPr>
    <w:rPr>
      <w:i/>
    </w:rPr>
  </w:style>
  <w:style w:type="paragraph" w:styleId="Heading9">
    <w:name w:val="heading 9"/>
    <w:basedOn w:val="Normal"/>
    <w:next w:val="Normal"/>
    <w:link w:val="Heading9Char"/>
    <w:qFormat/>
    <w:rsid w:val="00C35257"/>
    <w:pPr>
      <w:ind w:left="720"/>
      <w:outlineLvl w:val="8"/>
    </w:pPr>
    <w:rPr>
      <w:i/>
    </w:rPr>
  </w:style>
  <w:style w:type="character" w:default="1" w:styleId="DefaultParagraphFont">
    <w:name w:val="Default Paragraph Font"/>
    <w:uiPriority w:val="1"/>
    <w:unhideWhenUsed/>
    <w:rsid w:val="00C35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257"/>
  </w:style>
  <w:style w:type="character" w:customStyle="1" w:styleId="Heading1Char">
    <w:name w:val="Heading 1 Char"/>
    <w:basedOn w:val="DefaultParagraphFont"/>
    <w:link w:val="Heading1"/>
    <w:rsid w:val="00C35257"/>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C35257"/>
    <w:rPr>
      <w:rFonts w:ascii="Times New Roman" w:eastAsia="Times New Roman" w:hAnsi="Times New Roman" w:cs="Times New Roman"/>
      <w:b/>
      <w:sz w:val="28"/>
      <w:szCs w:val="40"/>
      <w:lang w:eastAsia="en-US"/>
    </w:rPr>
  </w:style>
  <w:style w:type="paragraph" w:styleId="BodyText">
    <w:name w:val="Body Text"/>
    <w:basedOn w:val="Normal"/>
    <w:link w:val="BodyTextChar"/>
    <w:rsid w:val="00C352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257"/>
    <w:rPr>
      <w:rFonts w:ascii="Times New Roman" w:eastAsia="Times New Roman" w:hAnsi="Times New Roman" w:cs="Times New Roman"/>
      <w:sz w:val="24"/>
      <w:lang w:val="en-US" w:eastAsia="en-US"/>
    </w:rPr>
  </w:style>
  <w:style w:type="paragraph" w:styleId="Footer">
    <w:name w:val="footer"/>
    <w:basedOn w:val="Normal"/>
    <w:link w:val="FooterChar"/>
    <w:rsid w:val="00C35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257"/>
    <w:rPr>
      <w:rFonts w:ascii="Times New Roman" w:eastAsia="Times New Roman" w:hAnsi="Times New Roman" w:cs="Times New Roman"/>
      <w:sz w:val="16"/>
      <w:lang w:val="en-US" w:eastAsia="en-US"/>
    </w:rPr>
  </w:style>
  <w:style w:type="paragraph" w:styleId="List">
    <w:name w:val="List"/>
    <w:basedOn w:val="BodyText"/>
    <w:next w:val="BodyText"/>
    <w:rsid w:val="00C35257"/>
    <w:pPr>
      <w:tabs>
        <w:tab w:val="left" w:pos="340"/>
      </w:tabs>
      <w:spacing w:before="60" w:after="60"/>
      <w:ind w:left="340" w:hanging="340"/>
    </w:pPr>
  </w:style>
  <w:style w:type="paragraph" w:styleId="Header">
    <w:name w:val="header"/>
    <w:basedOn w:val="Normal"/>
    <w:link w:val="HeaderChar"/>
    <w:rsid w:val="00C35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257"/>
    <w:rPr>
      <w:rFonts w:ascii="Times New Roman" w:eastAsia="Times New Roman" w:hAnsi="Times New Roman" w:cs="Times New Roman"/>
      <w:sz w:val="16"/>
      <w:szCs w:val="20"/>
      <w:lang w:val="en-GB" w:eastAsia="en-US"/>
    </w:rPr>
  </w:style>
  <w:style w:type="paragraph" w:customStyle="1" w:styleId="AllowPageBreak">
    <w:name w:val="AllowPageBreak"/>
    <w:rsid w:val="00C35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C35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5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5257"/>
    <w:rPr>
      <w:rFonts w:ascii="Courier New" w:eastAsia="Times New Roman" w:hAnsi="Courier New" w:cs="Times New Roman"/>
      <w:i/>
      <w:szCs w:val="20"/>
      <w:lang w:val="en-US" w:eastAsia="en-US"/>
    </w:rPr>
  </w:style>
  <w:style w:type="paragraph" w:customStyle="1" w:styleId="HeadingBase">
    <w:name w:val="Heading Base"/>
    <w:rsid w:val="00C35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257"/>
    <w:pPr>
      <w:tabs>
        <w:tab w:val="right" w:leader="dot" w:pos="9072"/>
      </w:tabs>
      <w:ind w:left="567"/>
    </w:pPr>
    <w:rPr>
      <w:szCs w:val="22"/>
    </w:rPr>
  </w:style>
  <w:style w:type="paragraph" w:customStyle="1" w:styleId="TOCBase">
    <w:name w:val="TOC Base"/>
    <w:rsid w:val="00C35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257"/>
    <w:pPr>
      <w:tabs>
        <w:tab w:val="right" w:leader="dot" w:pos="9072"/>
      </w:tabs>
      <w:spacing w:before="40" w:after="40"/>
      <w:ind w:left="284"/>
    </w:pPr>
    <w:rPr>
      <w:rFonts w:ascii="Times New Roman" w:hAnsi="Times New Roman"/>
    </w:rPr>
  </w:style>
  <w:style w:type="paragraph" w:styleId="TOC1">
    <w:name w:val="toc 1"/>
    <w:basedOn w:val="TOCBase"/>
    <w:next w:val="Normal"/>
    <w:rsid w:val="00C35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5257"/>
    <w:pPr>
      <w:spacing w:before="5040"/>
      <w:jc w:val="center"/>
    </w:pPr>
    <w:rPr>
      <w:sz w:val="48"/>
      <w:szCs w:val="72"/>
      <w:lang w:val="en-US"/>
    </w:rPr>
  </w:style>
  <w:style w:type="character" w:customStyle="1" w:styleId="TitleChar">
    <w:name w:val="Title Char"/>
    <w:basedOn w:val="DefaultParagraphFont"/>
    <w:link w:val="Title"/>
    <w:rsid w:val="00C35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257"/>
    <w:pPr>
      <w:tabs>
        <w:tab w:val="left" w:pos="3600"/>
        <w:tab w:val="left" w:pos="3958"/>
      </w:tabs>
    </w:pPr>
  </w:style>
  <w:style w:type="paragraph" w:styleId="ListBullet">
    <w:name w:val="List Bullet"/>
    <w:basedOn w:val="List"/>
    <w:rsid w:val="00C35257"/>
    <w:pPr>
      <w:numPr>
        <w:numId w:val="11"/>
      </w:numPr>
      <w:tabs>
        <w:tab w:val="clear" w:pos="340"/>
      </w:tabs>
      <w:spacing w:before="40" w:after="40"/>
    </w:pPr>
  </w:style>
  <w:style w:type="paragraph" w:customStyle="1" w:styleId="Note">
    <w:name w:val="Note"/>
    <w:basedOn w:val="BodyText"/>
    <w:rsid w:val="00C352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5257"/>
    <w:rPr>
      <w:b/>
      <w:spacing w:val="0"/>
    </w:rPr>
  </w:style>
  <w:style w:type="paragraph" w:customStyle="1" w:styleId="SuperTitle">
    <w:name w:val="SuperTitle"/>
    <w:basedOn w:val="Title"/>
    <w:rsid w:val="00C35257"/>
    <w:pPr>
      <w:framePr w:wrap="auto" w:hAnchor="text" w:y="6049"/>
    </w:pPr>
    <w:rPr>
      <w:color w:val="000000"/>
      <w:sz w:val="40"/>
    </w:rPr>
  </w:style>
  <w:style w:type="paragraph" w:customStyle="1" w:styleId="TOCTitle">
    <w:name w:val="TOCTitle"/>
    <w:basedOn w:val="Heading1"/>
    <w:rsid w:val="00C35257"/>
    <w:pPr>
      <w:spacing w:after="240"/>
      <w:jc w:val="center"/>
      <w:outlineLvl w:val="9"/>
    </w:pPr>
    <w:rPr>
      <w:caps/>
    </w:rPr>
  </w:style>
  <w:style w:type="paragraph" w:customStyle="1" w:styleId="Version">
    <w:name w:val="Version"/>
    <w:rsid w:val="00C35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257"/>
    <w:pPr>
      <w:numPr>
        <w:numId w:val="12"/>
      </w:numPr>
      <w:tabs>
        <w:tab w:val="clear" w:pos="680"/>
      </w:tabs>
    </w:pPr>
  </w:style>
  <w:style w:type="paragraph" w:styleId="Index1">
    <w:name w:val="index 1"/>
    <w:basedOn w:val="Normal"/>
    <w:next w:val="Normal"/>
    <w:semiHidden/>
    <w:rsid w:val="00C35257"/>
    <w:pPr>
      <w:keepNext w:val="0"/>
      <w:tabs>
        <w:tab w:val="right" w:pos="4176"/>
      </w:tabs>
      <w:ind w:left="198" w:hanging="198"/>
    </w:pPr>
    <w:rPr>
      <w:rFonts w:ascii="Garamond" w:hAnsi="Garamond"/>
    </w:rPr>
  </w:style>
  <w:style w:type="paragraph" w:styleId="IndexHeading">
    <w:name w:val="index heading"/>
    <w:basedOn w:val="Normal"/>
    <w:next w:val="Index1"/>
    <w:semiHidden/>
    <w:rsid w:val="00C35257"/>
    <w:pPr>
      <w:spacing w:before="120" w:after="120"/>
    </w:pPr>
    <w:rPr>
      <w:rFonts w:ascii="Arial" w:hAnsi="Arial"/>
      <w:b/>
      <w:color w:val="918585"/>
      <w:sz w:val="24"/>
    </w:rPr>
  </w:style>
  <w:style w:type="paragraph" w:customStyle="1" w:styleId="Chapter">
    <w:name w:val="Chapter"/>
    <w:basedOn w:val="Normal"/>
    <w:rsid w:val="00C35257"/>
    <w:pPr>
      <w:spacing w:before="240"/>
    </w:pPr>
    <w:rPr>
      <w:rFonts w:ascii="Times New Roman" w:hAnsi="Times New Roman"/>
      <w:smallCaps/>
      <w:spacing w:val="80"/>
      <w:sz w:val="28"/>
    </w:rPr>
  </w:style>
  <w:style w:type="paragraph" w:customStyle="1" w:styleId="InChapter">
    <w:name w:val="InChapter"/>
    <w:basedOn w:val="Heading3"/>
    <w:rsid w:val="00C35257"/>
    <w:pPr>
      <w:spacing w:after="240"/>
      <w:outlineLvl w:val="9"/>
    </w:pPr>
    <w:rPr>
      <w:noProof/>
    </w:rPr>
  </w:style>
  <w:style w:type="paragraph" w:styleId="Index2">
    <w:name w:val="index 2"/>
    <w:basedOn w:val="Normal"/>
    <w:next w:val="Normal"/>
    <w:semiHidden/>
    <w:rsid w:val="00C35257"/>
    <w:pPr>
      <w:tabs>
        <w:tab w:val="right" w:pos="4176"/>
      </w:tabs>
      <w:ind w:left="568" w:hanging="284"/>
    </w:pPr>
    <w:rPr>
      <w:rFonts w:ascii="Garamond" w:hAnsi="Garamond"/>
    </w:rPr>
  </w:style>
  <w:style w:type="paragraph" w:customStyle="1" w:styleId="Byline">
    <w:name w:val="Byline"/>
    <w:rsid w:val="00C35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257"/>
    <w:pPr>
      <w:tabs>
        <w:tab w:val="clear" w:pos="3600"/>
        <w:tab w:val="clear" w:pos="3958"/>
      </w:tabs>
      <w:jc w:val="right"/>
    </w:pPr>
  </w:style>
  <w:style w:type="character" w:styleId="Emphasis">
    <w:name w:val="Emphasis"/>
    <w:basedOn w:val="DefaultParagraphFont"/>
    <w:qFormat/>
    <w:rsid w:val="00C35257"/>
    <w:rPr>
      <w:i/>
    </w:rPr>
  </w:style>
  <w:style w:type="paragraph" w:styleId="Caption">
    <w:name w:val="caption"/>
    <w:basedOn w:val="BodyText"/>
    <w:next w:val="Normal"/>
    <w:qFormat/>
    <w:rsid w:val="00C35257"/>
    <w:pPr>
      <w:framePr w:w="2268" w:hSpace="181" w:vSpace="181" w:wrap="around" w:vAnchor="text" w:hAnchor="page" w:x="1135" w:y="285" w:anchorLock="1"/>
    </w:pPr>
    <w:rPr>
      <w:i/>
    </w:rPr>
  </w:style>
  <w:style w:type="paragraph" w:customStyle="1" w:styleId="MiniTOCTitle">
    <w:name w:val="MiniTOCTitle"/>
    <w:basedOn w:val="Heading4"/>
    <w:rsid w:val="00C35257"/>
    <w:pPr>
      <w:spacing w:before="240"/>
      <w:outlineLvl w:val="9"/>
    </w:pPr>
    <w:rPr>
      <w:noProof/>
      <w:sz w:val="24"/>
    </w:rPr>
  </w:style>
  <w:style w:type="paragraph" w:customStyle="1" w:styleId="SuperHeading">
    <w:name w:val="SuperHeading"/>
    <w:basedOn w:val="Normal"/>
    <w:rsid w:val="00C35257"/>
    <w:pPr>
      <w:spacing w:before="240" w:after="120"/>
      <w:outlineLvl w:val="0"/>
    </w:pPr>
    <w:rPr>
      <w:rFonts w:ascii="Times New Roman" w:hAnsi="Times New Roman"/>
      <w:b/>
      <w:sz w:val="28"/>
    </w:rPr>
  </w:style>
  <w:style w:type="paragraph" w:customStyle="1" w:styleId="MiniTOCItem">
    <w:name w:val="MiniTOCItem"/>
    <w:basedOn w:val="ListBullet"/>
    <w:rsid w:val="00C35257"/>
    <w:pPr>
      <w:numPr>
        <w:numId w:val="0"/>
      </w:numPr>
      <w:tabs>
        <w:tab w:val="right" w:leader="dot" w:pos="6521"/>
      </w:tabs>
      <w:spacing w:before="0" w:after="0"/>
    </w:pPr>
  </w:style>
  <w:style w:type="paragraph" w:customStyle="1" w:styleId="TOFTitle">
    <w:name w:val="TOFTitle"/>
    <w:basedOn w:val="TOCTitle"/>
    <w:rsid w:val="00C35257"/>
  </w:style>
  <w:style w:type="paragraph" w:styleId="TableofFigures">
    <w:name w:val="table of figures"/>
    <w:basedOn w:val="Normal"/>
    <w:next w:val="Normal"/>
    <w:semiHidden/>
    <w:rsid w:val="00C35257"/>
    <w:pPr>
      <w:tabs>
        <w:tab w:val="right" w:leader="dot" w:pos="9072"/>
      </w:tabs>
      <w:ind w:left="970" w:hanging="403"/>
    </w:pPr>
    <w:rPr>
      <w:rFonts w:ascii="Times New Roman" w:hAnsi="Times New Roman"/>
      <w:b/>
    </w:rPr>
  </w:style>
  <w:style w:type="paragraph" w:styleId="ListNumber">
    <w:name w:val="List Number"/>
    <w:basedOn w:val="List"/>
    <w:rsid w:val="00C35257"/>
    <w:pPr>
      <w:numPr>
        <w:numId w:val="9"/>
      </w:numPr>
    </w:pPr>
  </w:style>
  <w:style w:type="character" w:customStyle="1" w:styleId="WingdingSymbols">
    <w:name w:val="Wingding Symbols"/>
    <w:rsid w:val="00C35257"/>
    <w:rPr>
      <w:rFonts w:ascii="Wingdings" w:hAnsi="Wingdings"/>
    </w:rPr>
  </w:style>
  <w:style w:type="paragraph" w:customStyle="1" w:styleId="TableHeading">
    <w:name w:val="Table Heading"/>
    <w:basedOn w:val="HeadingBase"/>
    <w:rsid w:val="00C35257"/>
    <w:pPr>
      <w:keepLines/>
      <w:pBdr>
        <w:bottom w:val="single" w:sz="6" w:space="1" w:color="918585"/>
      </w:pBdr>
      <w:spacing w:before="240"/>
    </w:pPr>
  </w:style>
  <w:style w:type="character" w:customStyle="1" w:styleId="HotSpot">
    <w:name w:val="HotSpot"/>
    <w:rsid w:val="00C35257"/>
    <w:rPr>
      <w:color w:val="0033CC"/>
      <w:u w:val="none"/>
    </w:rPr>
  </w:style>
  <w:style w:type="paragraph" w:customStyle="1" w:styleId="BodyTextRight">
    <w:name w:val="Body Text Right"/>
    <w:basedOn w:val="BodyText"/>
    <w:rsid w:val="00C35257"/>
    <w:pPr>
      <w:spacing w:before="0" w:after="0"/>
      <w:jc w:val="right"/>
    </w:pPr>
  </w:style>
  <w:style w:type="paragraph" w:styleId="Index3">
    <w:name w:val="index 3"/>
    <w:basedOn w:val="ListNumber2"/>
    <w:next w:val="Normal"/>
    <w:semiHidden/>
    <w:rsid w:val="00C35257"/>
    <w:pPr>
      <w:numPr>
        <w:numId w:val="0"/>
      </w:numPr>
      <w:tabs>
        <w:tab w:val="right" w:leader="dot" w:pos="4176"/>
      </w:tabs>
    </w:pPr>
  </w:style>
  <w:style w:type="paragraph" w:styleId="ListNumber2">
    <w:name w:val="List Number 2"/>
    <w:basedOn w:val="List2"/>
    <w:rsid w:val="00C35257"/>
    <w:pPr>
      <w:numPr>
        <w:numId w:val="8"/>
      </w:numPr>
      <w:tabs>
        <w:tab w:val="clear" w:pos="1060"/>
      </w:tabs>
    </w:pPr>
  </w:style>
  <w:style w:type="paragraph" w:customStyle="1" w:styleId="MarginNote">
    <w:name w:val="Margin Note"/>
    <w:basedOn w:val="BodyText"/>
    <w:rsid w:val="00C35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5257"/>
    <w:rPr>
      <w:sz w:val="32"/>
    </w:rPr>
  </w:style>
  <w:style w:type="paragraph" w:customStyle="1" w:styleId="HeadingProcedure">
    <w:name w:val="Heading Procedure"/>
    <w:basedOn w:val="HeadingBase"/>
    <w:next w:val="Normal"/>
    <w:rsid w:val="00C35257"/>
    <w:pPr>
      <w:tabs>
        <w:tab w:val="left" w:pos="0"/>
      </w:tabs>
      <w:spacing w:before="120" w:after="60"/>
    </w:pPr>
    <w:rPr>
      <w:i/>
      <w:color w:val="918585"/>
      <w:sz w:val="22"/>
    </w:rPr>
  </w:style>
  <w:style w:type="paragraph" w:customStyle="1" w:styleId="TableBodyText">
    <w:name w:val="Table Body Text"/>
    <w:basedOn w:val="BodyText"/>
    <w:rsid w:val="00C35257"/>
    <w:pPr>
      <w:spacing w:before="60" w:after="60"/>
    </w:pPr>
  </w:style>
  <w:style w:type="paragraph" w:styleId="ListContinue">
    <w:name w:val="List Continue"/>
    <w:basedOn w:val="List"/>
    <w:rsid w:val="00C35257"/>
    <w:pPr>
      <w:ind w:firstLine="0"/>
    </w:pPr>
  </w:style>
  <w:style w:type="paragraph" w:customStyle="1" w:styleId="ListNote">
    <w:name w:val="List Note"/>
    <w:basedOn w:val="List"/>
    <w:rsid w:val="00C35257"/>
    <w:pPr>
      <w:pBdr>
        <w:top w:val="single" w:sz="6" w:space="2" w:color="918585"/>
        <w:bottom w:val="single" w:sz="6" w:space="2" w:color="918585"/>
      </w:pBdr>
      <w:tabs>
        <w:tab w:val="left" w:pos="1021"/>
      </w:tabs>
      <w:ind w:firstLine="0"/>
    </w:pPr>
  </w:style>
  <w:style w:type="paragraph" w:customStyle="1" w:styleId="Warning">
    <w:name w:val="Warning"/>
    <w:basedOn w:val="BodyText"/>
    <w:rsid w:val="00C35257"/>
    <w:pPr>
      <w:shd w:val="clear" w:color="auto" w:fill="D9D9D9"/>
      <w:tabs>
        <w:tab w:val="left" w:pos="992"/>
      </w:tabs>
      <w:ind w:left="119" w:right="119"/>
    </w:pPr>
    <w:rPr>
      <w:sz w:val="20"/>
    </w:rPr>
  </w:style>
  <w:style w:type="paragraph" w:customStyle="1" w:styleId="MarginIcons">
    <w:name w:val="Margin Icons"/>
    <w:basedOn w:val="BodyText"/>
    <w:rsid w:val="00C35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257"/>
    <w:rPr>
      <w:rFonts w:ascii="Courier New" w:hAnsi="Courier New"/>
    </w:rPr>
  </w:style>
  <w:style w:type="paragraph" w:customStyle="1" w:styleId="NoteBullet">
    <w:name w:val="Note Bullet"/>
    <w:basedOn w:val="Note"/>
    <w:rsid w:val="00C35257"/>
    <w:pPr>
      <w:tabs>
        <w:tab w:val="clear" w:pos="680"/>
      </w:tabs>
      <w:spacing w:before="60" w:after="60"/>
    </w:pPr>
  </w:style>
  <w:style w:type="paragraph" w:customStyle="1" w:styleId="SubHeading2">
    <w:name w:val="SubHeading2"/>
    <w:basedOn w:val="HeadingBase"/>
    <w:rsid w:val="00C35257"/>
    <w:pPr>
      <w:spacing w:before="240" w:after="60"/>
    </w:pPr>
    <w:rPr>
      <w:sz w:val="20"/>
    </w:rPr>
  </w:style>
  <w:style w:type="paragraph" w:customStyle="1" w:styleId="SubHeading1">
    <w:name w:val="SubHeading1"/>
    <w:basedOn w:val="HeadingBase"/>
    <w:rsid w:val="00C35257"/>
    <w:pPr>
      <w:spacing w:before="240" w:after="60"/>
    </w:pPr>
    <w:rPr>
      <w:color w:val="918585"/>
      <w:sz w:val="22"/>
    </w:rPr>
  </w:style>
  <w:style w:type="paragraph" w:customStyle="1" w:styleId="SideHeading">
    <w:name w:val="Side Heading"/>
    <w:basedOn w:val="HeadingBase"/>
    <w:rsid w:val="00C35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257"/>
    <w:pPr>
      <w:numPr>
        <w:numId w:val="10"/>
      </w:numPr>
    </w:pPr>
  </w:style>
  <w:style w:type="paragraph" w:styleId="PlainText">
    <w:name w:val="Plain Text"/>
    <w:basedOn w:val="Normal"/>
    <w:link w:val="PlainTextChar"/>
    <w:rsid w:val="00C35257"/>
    <w:rPr>
      <w:sz w:val="20"/>
    </w:rPr>
  </w:style>
  <w:style w:type="character" w:customStyle="1" w:styleId="PlainTextChar">
    <w:name w:val="Plain Text Char"/>
    <w:basedOn w:val="DefaultParagraphFont"/>
    <w:link w:val="PlainText"/>
    <w:rsid w:val="00C352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5257"/>
    <w:rPr>
      <w:b/>
      <w:smallCaps/>
    </w:rPr>
  </w:style>
  <w:style w:type="paragraph" w:customStyle="1" w:styleId="TableListNumber">
    <w:name w:val="Table List Number"/>
    <w:basedOn w:val="ListNumber"/>
    <w:rsid w:val="00C35257"/>
    <w:pPr>
      <w:numPr>
        <w:numId w:val="0"/>
      </w:numPr>
    </w:pPr>
  </w:style>
  <w:style w:type="paragraph" w:styleId="TOC4">
    <w:name w:val="toc 4"/>
    <w:basedOn w:val="TOCBase"/>
    <w:next w:val="Normal"/>
    <w:semiHidden/>
    <w:rsid w:val="00C35257"/>
    <w:pPr>
      <w:tabs>
        <w:tab w:val="right" w:leader="dot" w:pos="9071"/>
      </w:tabs>
      <w:ind w:left="1701"/>
    </w:pPr>
  </w:style>
  <w:style w:type="paragraph" w:customStyle="1" w:styleId="ListAlpha">
    <w:name w:val="List Alpha"/>
    <w:basedOn w:val="List"/>
    <w:rsid w:val="00C35257"/>
    <w:pPr>
      <w:numPr>
        <w:numId w:val="7"/>
      </w:numPr>
    </w:pPr>
  </w:style>
  <w:style w:type="paragraph" w:customStyle="1" w:styleId="ListAlpha2">
    <w:name w:val="List Alpha 2"/>
    <w:basedOn w:val="List2"/>
    <w:rsid w:val="00C35257"/>
    <w:pPr>
      <w:numPr>
        <w:numId w:val="6"/>
      </w:numPr>
    </w:pPr>
  </w:style>
  <w:style w:type="paragraph" w:styleId="List2">
    <w:name w:val="List 2"/>
    <w:basedOn w:val="BodyText"/>
    <w:rsid w:val="00C35257"/>
    <w:pPr>
      <w:tabs>
        <w:tab w:val="left" w:pos="680"/>
      </w:tabs>
      <w:spacing w:before="60" w:after="60"/>
      <w:ind w:left="680" w:hanging="340"/>
    </w:pPr>
  </w:style>
  <w:style w:type="paragraph" w:styleId="List3">
    <w:name w:val="List 3"/>
    <w:basedOn w:val="BodyText"/>
    <w:rsid w:val="00C35257"/>
    <w:pPr>
      <w:tabs>
        <w:tab w:val="left" w:pos="1021"/>
      </w:tabs>
      <w:spacing w:before="60" w:after="60"/>
      <w:ind w:left="1020" w:hanging="340"/>
    </w:pPr>
  </w:style>
  <w:style w:type="paragraph" w:styleId="List4">
    <w:name w:val="List 4"/>
    <w:basedOn w:val="BodyText"/>
    <w:rsid w:val="00C35257"/>
    <w:pPr>
      <w:tabs>
        <w:tab w:val="left" w:pos="1361"/>
      </w:tabs>
      <w:spacing w:before="60" w:after="60"/>
      <w:ind w:left="1361" w:hanging="340"/>
    </w:pPr>
  </w:style>
  <w:style w:type="paragraph" w:styleId="List5">
    <w:name w:val="List 5"/>
    <w:basedOn w:val="BodyText"/>
    <w:rsid w:val="00C35257"/>
    <w:pPr>
      <w:tabs>
        <w:tab w:val="left" w:pos="1701"/>
      </w:tabs>
      <w:spacing w:before="60" w:after="60"/>
      <w:ind w:left="1701" w:hanging="340"/>
    </w:pPr>
  </w:style>
  <w:style w:type="paragraph" w:styleId="ListBullet3">
    <w:name w:val="List Bullet 3"/>
    <w:basedOn w:val="List3"/>
    <w:rsid w:val="00C35257"/>
    <w:pPr>
      <w:numPr>
        <w:numId w:val="13"/>
      </w:numPr>
      <w:tabs>
        <w:tab w:val="clear" w:pos="1021"/>
      </w:tabs>
      <w:ind w:left="1037" w:hanging="357"/>
    </w:pPr>
  </w:style>
  <w:style w:type="paragraph" w:styleId="ListBullet4">
    <w:name w:val="List Bullet 4"/>
    <w:basedOn w:val="List4"/>
    <w:rsid w:val="00C35257"/>
    <w:pPr>
      <w:numPr>
        <w:numId w:val="1"/>
      </w:numPr>
    </w:pPr>
  </w:style>
  <w:style w:type="paragraph" w:styleId="ListBullet5">
    <w:name w:val="List Bullet 5"/>
    <w:basedOn w:val="List5"/>
    <w:rsid w:val="00C35257"/>
    <w:pPr>
      <w:numPr>
        <w:numId w:val="2"/>
      </w:numPr>
    </w:pPr>
  </w:style>
  <w:style w:type="paragraph" w:styleId="ListContinue2">
    <w:name w:val="List Continue 2"/>
    <w:basedOn w:val="List2"/>
    <w:rsid w:val="00C35257"/>
    <w:pPr>
      <w:ind w:firstLine="0"/>
    </w:pPr>
  </w:style>
  <w:style w:type="paragraph" w:styleId="ListContinue3">
    <w:name w:val="List Continue 3"/>
    <w:basedOn w:val="List3"/>
    <w:rsid w:val="00C35257"/>
    <w:pPr>
      <w:ind w:left="1021" w:firstLine="0"/>
    </w:pPr>
  </w:style>
  <w:style w:type="paragraph" w:styleId="ListContinue4">
    <w:name w:val="List Continue 4"/>
    <w:basedOn w:val="List4"/>
    <w:rsid w:val="00C35257"/>
    <w:pPr>
      <w:ind w:firstLine="0"/>
    </w:pPr>
  </w:style>
  <w:style w:type="paragraph" w:styleId="ListContinue5">
    <w:name w:val="List Continue 5"/>
    <w:basedOn w:val="List5"/>
    <w:rsid w:val="00C35257"/>
    <w:pPr>
      <w:ind w:firstLine="0"/>
    </w:pPr>
  </w:style>
  <w:style w:type="paragraph" w:styleId="ListNumber3">
    <w:name w:val="List Number 3"/>
    <w:basedOn w:val="List3"/>
    <w:rsid w:val="00C35257"/>
    <w:pPr>
      <w:numPr>
        <w:numId w:val="3"/>
      </w:numPr>
    </w:pPr>
  </w:style>
  <w:style w:type="paragraph" w:styleId="ListNumber4">
    <w:name w:val="List Number 4"/>
    <w:basedOn w:val="List4"/>
    <w:rsid w:val="00C35257"/>
    <w:pPr>
      <w:numPr>
        <w:numId w:val="4"/>
      </w:numPr>
    </w:pPr>
  </w:style>
  <w:style w:type="paragraph" w:styleId="ListNumber5">
    <w:name w:val="List Number 5"/>
    <w:basedOn w:val="List5"/>
    <w:rsid w:val="00C35257"/>
    <w:pPr>
      <w:numPr>
        <w:numId w:val="5"/>
      </w:numPr>
    </w:pPr>
  </w:style>
  <w:style w:type="paragraph" w:styleId="BlockText">
    <w:name w:val="Block Text"/>
    <w:basedOn w:val="Normal"/>
    <w:rsid w:val="00C35257"/>
    <w:pPr>
      <w:spacing w:after="120"/>
      <w:ind w:left="1440" w:right="1440"/>
    </w:pPr>
  </w:style>
  <w:style w:type="character" w:customStyle="1" w:styleId="Subscript">
    <w:name w:val="Subscript"/>
    <w:basedOn w:val="DefaultParagraphFont"/>
    <w:rsid w:val="00C35257"/>
    <w:rPr>
      <w:sz w:val="16"/>
      <w:vertAlign w:val="subscript"/>
    </w:rPr>
  </w:style>
  <w:style w:type="character" w:customStyle="1" w:styleId="Superscript">
    <w:name w:val="Superscript"/>
    <w:basedOn w:val="DefaultParagraphFont"/>
    <w:rsid w:val="00C35257"/>
    <w:rPr>
      <w:sz w:val="16"/>
      <w:vertAlign w:val="superscript"/>
    </w:rPr>
  </w:style>
  <w:style w:type="character" w:customStyle="1" w:styleId="Symbols">
    <w:name w:val="Symbols"/>
    <w:basedOn w:val="DefaultParagraphFont"/>
    <w:rsid w:val="00C35257"/>
    <w:rPr>
      <w:rFonts w:ascii="Symbol" w:hAnsi="Symbol"/>
    </w:rPr>
  </w:style>
  <w:style w:type="character" w:customStyle="1" w:styleId="MenuOptions">
    <w:name w:val="Menu Options"/>
    <w:basedOn w:val="DefaultParagraphFont"/>
    <w:rsid w:val="00C35257"/>
    <w:rPr>
      <w:rFonts w:ascii="Arial Narrow" w:hAnsi="Arial Narrow"/>
      <w:smallCaps/>
    </w:rPr>
  </w:style>
  <w:style w:type="character" w:customStyle="1" w:styleId="Buttons">
    <w:name w:val="Buttons"/>
    <w:basedOn w:val="DefaultParagraphFont"/>
    <w:rsid w:val="00C35257"/>
    <w:rPr>
      <w:b/>
    </w:rPr>
  </w:style>
  <w:style w:type="character" w:customStyle="1" w:styleId="Underlined">
    <w:name w:val="Underlined"/>
    <w:basedOn w:val="DefaultParagraphFont"/>
    <w:rsid w:val="00C35257"/>
    <w:rPr>
      <w:u w:val="single"/>
    </w:rPr>
  </w:style>
  <w:style w:type="paragraph" w:customStyle="1" w:styleId="TableBodyTextRight">
    <w:name w:val="Table Body Text Right"/>
    <w:basedOn w:val="TableBodyText"/>
    <w:rsid w:val="00C35257"/>
    <w:pPr>
      <w:widowControl w:val="0"/>
      <w:autoSpaceDE w:val="0"/>
      <w:autoSpaceDN w:val="0"/>
      <w:adjustRightInd w:val="0"/>
      <w:jc w:val="right"/>
    </w:pPr>
    <w:rPr>
      <w:rFonts w:cs="Arial"/>
      <w:szCs w:val="18"/>
    </w:rPr>
  </w:style>
  <w:style w:type="paragraph" w:customStyle="1" w:styleId="CopyrightText">
    <w:name w:val="Copyright Text"/>
    <w:basedOn w:val="BodyText"/>
    <w:rsid w:val="00C35257"/>
    <w:rPr>
      <w:sz w:val="18"/>
    </w:rPr>
  </w:style>
  <w:style w:type="paragraph" w:customStyle="1" w:styleId="BodySmallRight">
    <w:name w:val="Body Small Right"/>
    <w:basedOn w:val="BodyTextRight"/>
    <w:rsid w:val="00C35257"/>
    <w:rPr>
      <w:sz w:val="18"/>
      <w:szCs w:val="18"/>
    </w:rPr>
  </w:style>
  <w:style w:type="paragraph" w:customStyle="1" w:styleId="MarginEdition">
    <w:name w:val="Margin Edition"/>
    <w:basedOn w:val="MarginNote"/>
    <w:rsid w:val="00C35257"/>
    <w:pPr>
      <w:spacing w:before="0" w:after="0"/>
    </w:pPr>
    <w:rPr>
      <w:rFonts w:ascii="Times New Roman" w:hAnsi="Times New Roman"/>
      <w:color w:val="999999"/>
    </w:rPr>
  </w:style>
  <w:style w:type="paragraph" w:customStyle="1" w:styleId="Spacer">
    <w:name w:val="Spacer"/>
    <w:basedOn w:val="Normal"/>
    <w:rsid w:val="00C35257"/>
    <w:rPr>
      <w:sz w:val="2"/>
      <w:szCs w:val="2"/>
    </w:rPr>
  </w:style>
  <w:style w:type="character" w:customStyle="1" w:styleId="Small">
    <w:name w:val="Small"/>
    <w:basedOn w:val="DefaultParagraphFont"/>
    <w:rsid w:val="00C35257"/>
    <w:rPr>
      <w:sz w:val="16"/>
    </w:rPr>
  </w:style>
  <w:style w:type="paragraph" w:customStyle="1" w:styleId="WideTable">
    <w:name w:val="Wide Table"/>
    <w:basedOn w:val="Normal"/>
    <w:rsid w:val="00C35257"/>
    <w:pPr>
      <w:ind w:left="-1418"/>
    </w:pPr>
    <w:rPr>
      <w:sz w:val="2"/>
      <w:szCs w:val="2"/>
    </w:rPr>
  </w:style>
  <w:style w:type="character" w:styleId="PageNumber">
    <w:name w:val="page number"/>
    <w:basedOn w:val="DefaultParagraphFont"/>
    <w:rsid w:val="00C35257"/>
  </w:style>
  <w:style w:type="paragraph" w:styleId="Quote">
    <w:name w:val="Quote"/>
    <w:basedOn w:val="Heading1"/>
    <w:link w:val="QuoteChar"/>
    <w:qFormat/>
    <w:rsid w:val="00C35257"/>
    <w:rPr>
      <w:b w:val="0"/>
      <w:sz w:val="72"/>
      <w:szCs w:val="72"/>
      <w:lang w:val="en-NZ"/>
    </w:rPr>
  </w:style>
  <w:style w:type="character" w:customStyle="1" w:styleId="QuoteChar">
    <w:name w:val="Quote Char"/>
    <w:basedOn w:val="DefaultParagraphFont"/>
    <w:link w:val="Quote"/>
    <w:rsid w:val="00C35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257"/>
    <w:pPr>
      <w:pageBreakBefore/>
    </w:pPr>
  </w:style>
  <w:style w:type="paragraph" w:customStyle="1" w:styleId="Border">
    <w:name w:val="Border"/>
    <w:basedOn w:val="Normal"/>
    <w:qFormat/>
    <w:rsid w:val="00C35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257"/>
    <w:rPr>
      <w:b/>
      <w:bCs/>
      <w:i/>
      <w:iCs/>
      <w:color w:val="auto"/>
    </w:rPr>
  </w:style>
  <w:style w:type="paragraph" w:styleId="IntenseQuote">
    <w:name w:val="Intense Quote"/>
    <w:basedOn w:val="Normal"/>
    <w:next w:val="Normal"/>
    <w:link w:val="IntenseQuoteChar"/>
    <w:uiPriority w:val="30"/>
    <w:qFormat/>
    <w:rsid w:val="00C35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2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5257"/>
    <w:rPr>
      <w:smallCaps/>
      <w:color w:val="auto"/>
      <w:u w:val="single"/>
    </w:rPr>
  </w:style>
  <w:style w:type="character" w:styleId="IntenseReference">
    <w:name w:val="Intense Reference"/>
    <w:basedOn w:val="DefaultParagraphFont"/>
    <w:uiPriority w:val="32"/>
    <w:qFormat/>
    <w:rsid w:val="00C35257"/>
    <w:rPr>
      <w:b/>
      <w:bCs/>
      <w:smallCaps/>
      <w:color w:val="auto"/>
      <w:spacing w:val="5"/>
      <w:u w:val="single"/>
    </w:rPr>
  </w:style>
  <w:style w:type="paragraph" w:customStyle="1" w:styleId="2ColumnHeading">
    <w:name w:val="2Column Heading"/>
    <w:basedOn w:val="BodyText"/>
    <w:qFormat/>
    <w:rsid w:val="00C35257"/>
    <w:pPr>
      <w:spacing w:after="60"/>
      <w:ind w:left="-2268"/>
    </w:pPr>
    <w:rPr>
      <w:b/>
    </w:rPr>
  </w:style>
  <w:style w:type="paragraph" w:customStyle="1" w:styleId="Heading1TOC">
    <w:name w:val="Heading1 TOC"/>
    <w:basedOn w:val="Normal"/>
    <w:qFormat/>
    <w:rsid w:val="00C35257"/>
    <w:pPr>
      <w:spacing w:before="240" w:after="120"/>
    </w:pPr>
    <w:rPr>
      <w:rFonts w:ascii="Times New Roman" w:hAnsi="Times New Roman"/>
      <w:b/>
      <w:sz w:val="32"/>
    </w:rPr>
  </w:style>
  <w:style w:type="paragraph" w:customStyle="1" w:styleId="Heading2TOC">
    <w:name w:val="Heading2 TOC"/>
    <w:basedOn w:val="Normal"/>
    <w:qFormat/>
    <w:rsid w:val="00C35257"/>
    <w:pPr>
      <w:spacing w:before="240" w:after="60"/>
    </w:pPr>
    <w:rPr>
      <w:rFonts w:ascii="Times New Roman" w:hAnsi="Times New Roman"/>
      <w:b/>
      <w:sz w:val="28"/>
    </w:rPr>
  </w:style>
  <w:style w:type="character" w:customStyle="1" w:styleId="Underline">
    <w:name w:val="Underline"/>
    <w:basedOn w:val="DefaultParagraphFont"/>
    <w:qFormat/>
    <w:rsid w:val="00C35257"/>
    <w:rPr>
      <w:u w:val="single"/>
    </w:rPr>
  </w:style>
  <w:style w:type="character" w:customStyle="1" w:styleId="BoldandItalics">
    <w:name w:val="Bold and Italics"/>
    <w:qFormat/>
    <w:rsid w:val="00C35257"/>
    <w:rPr>
      <w:b/>
      <w:i/>
      <w:u w:val="none"/>
    </w:rPr>
  </w:style>
  <w:style w:type="paragraph" w:styleId="BalloonText">
    <w:name w:val="Balloon Text"/>
    <w:basedOn w:val="Normal"/>
    <w:link w:val="BalloonTextChar"/>
    <w:rsid w:val="00C35257"/>
    <w:rPr>
      <w:rFonts w:ascii="Tahoma" w:hAnsi="Tahoma" w:cs="Tahoma"/>
      <w:sz w:val="16"/>
      <w:szCs w:val="16"/>
    </w:rPr>
  </w:style>
  <w:style w:type="character" w:customStyle="1" w:styleId="BalloonTextChar">
    <w:name w:val="Balloon Text Char"/>
    <w:basedOn w:val="DefaultParagraphFont"/>
    <w:link w:val="BalloonText"/>
    <w:rsid w:val="00C35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52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2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6450</Characters>
  <Application>Microsoft Office Word</Application>
  <DocSecurity>0</DocSecurity>
  <Lines>204</Lines>
  <Paragraphs>91</Paragraphs>
  <ScaleCrop>false</ScaleCrop>
  <Company>Author-it Software Corporation Ltd.</Company>
  <LinksUpToDate>false</LinksUpToDate>
  <CharactersWithSpaces>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LMFFT4012B Prepare a tender submission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2012-05-26T17:30:00Z</dcterms:created>
  <dcterms:modified xsi:type="dcterms:W3CDTF">2012-05-26T17:30:00Z</dcterms:modified>
</cp:coreProperties>
</file>