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90D" w:rsidP="009F390D">
      <w:pPr>
        <w:pStyle w:val="Title"/>
      </w:pPr>
      <w:r>
        <w:fldChar w:fldCharType="begin"/>
      </w:r>
      <w:r>
        <w:instrText xml:space="preserve"> TITLE   \* MERGEFORMAT </w:instrText>
      </w:r>
      <w:r>
        <w:fldChar w:fldCharType="separate"/>
      </w:r>
      <w:r>
        <w:t>LMFFL2108A Select, operate and maintain shot blasting equipment</w:t>
      </w:r>
      <w:r>
        <w:fldChar w:fldCharType="end"/>
      </w:r>
    </w:p>
    <w:p w:rsidR="009F390D" w:rsidP="009F390D">
      <w:pPr>
        <w:pStyle w:val="Version"/>
        <w:sectPr w:rsidSect="007E2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26FF" w:rsidP="007E26FF">
      <w:pPr>
        <w:pStyle w:val="SuperHeading"/>
      </w:pPr>
      <w:r w:rsidRPr="007E26FF">
        <w:t>LMFFL2108A Select, operate and maintain shot blasting equipment</w:t>
      </w:r>
    </w:p>
    <w:p w:rsidR="00000000" w:rsidRPr="007E26FF" w:rsidP="007E26FF">
      <w:pPr>
        <w:pStyle w:val="SuperHeading"/>
      </w:pPr>
    </w:p>
    <w:p w:rsidR="00000000" w:rsidRPr="007E26FF" w:rsidP="007E26FF">
      <w:pPr>
        <w:pStyle w:val="Heading1"/>
      </w:pPr>
      <w:bookmarkStart w:id="1" w:name="O_88371"/>
      <w:bookmarkEnd w:id="1"/>
      <w:r w:rsidRPr="007E26FF">
        <w:t>Modification History</w:t>
      </w:r>
    </w:p>
    <w:p w:rsidR="00000000" w:rsidRPr="007E26FF" w:rsidP="007E26FF">
      <w:pPr>
        <w:pStyle w:val="BodyText"/>
      </w:pPr>
      <w:r w:rsidRPr="007E26FF">
        <w:t>Not applicable.</w:t>
      </w:r>
    </w:p>
    <w:p w:rsidR="00000000" w:rsidRPr="007E26FF" w:rsidP="007E26FF">
      <w:pPr>
        <w:pStyle w:val="AllowPageBreak"/>
      </w:pPr>
    </w:p>
    <w:p w:rsidR="00000000" w:rsidRPr="007E26FF" w:rsidP="007E26FF">
      <w:pPr>
        <w:pStyle w:val="Heading1"/>
      </w:pPr>
      <w:bookmarkStart w:id="2" w:name="O_88372"/>
      <w:bookmarkEnd w:id="2"/>
      <w:r w:rsidRPr="007E26FF">
        <w:t>Unit Descriptor</w:t>
      </w:r>
    </w:p>
    <w:tbl>
      <w:tblPr>
        <w:tblW w:w="0" w:type="auto"/>
        <w:tblLayout w:type="fixed"/>
        <w:tblCellMar>
          <w:left w:w="62" w:type="dxa"/>
          <w:right w:w="62" w:type="dxa"/>
        </w:tblCellMar>
        <w:tblLook w:val="0000"/>
      </w:tblPr>
      <w:tblGrid>
        <w:gridCol w:w="2671"/>
        <w:gridCol w:w="5851"/>
      </w:tblGrid>
      <w:tr w:rsidTr="009F390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This unit covers the competency to select, operate and maintain shot blasting equipment in a</w:t>
            </w:r>
            <w:r w:rsidRPr="007E26FF">
              <w:t>pplications relating to floor preparation.</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3" w:name="O_88373"/>
      <w:bookmarkEnd w:id="3"/>
      <w:r w:rsidRPr="007E26FF">
        <w:t>Application of the Unit</w:t>
      </w:r>
    </w:p>
    <w:tbl>
      <w:tblPr>
        <w:tblW w:w="0" w:type="auto"/>
        <w:tblLayout w:type="fixed"/>
        <w:tblCellMar>
          <w:left w:w="62" w:type="dxa"/>
          <w:right w:w="62" w:type="dxa"/>
        </w:tblCellMar>
        <w:tblLook w:val="0000"/>
      </w:tblPr>
      <w:tblGrid>
        <w:gridCol w:w="2755"/>
        <w:gridCol w:w="5767"/>
      </w:tblGrid>
      <w:tr w:rsidTr="009F390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 xml:space="preserve">This unit supports the attainment of skills and knowledge required for competent workplace performance in the wide variety of sub-floor preparation </w:t>
            </w:r>
            <w:r w:rsidRPr="007E26FF">
              <w:t>operations. The competency applies to an on site environment and involves application of skills and knowledge at a sub-trade worker level. These skills and knowledge are to be used within the scope of the individual's job and authority.</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4" w:name="O_88374"/>
      <w:bookmarkEnd w:id="4"/>
      <w:r w:rsidRPr="007E26FF">
        <w:t>Li</w:t>
      </w:r>
      <w:r w:rsidRPr="007E26FF">
        <w:t>censing/Regulatory Information</w:t>
      </w:r>
    </w:p>
    <w:p w:rsidR="00000000" w:rsidRPr="007E26FF" w:rsidP="007E26FF">
      <w:pPr>
        <w:pStyle w:val="BodyText"/>
      </w:pPr>
      <w:r w:rsidRPr="007E26FF">
        <w:t>Not applicable.</w:t>
      </w:r>
    </w:p>
    <w:p w:rsidR="00000000" w:rsidRPr="007E26FF" w:rsidP="007E26FF">
      <w:pPr>
        <w:pStyle w:val="AllowPageBreak"/>
      </w:pPr>
    </w:p>
    <w:p w:rsidR="00000000" w:rsidRPr="007E26FF" w:rsidP="007E26FF">
      <w:pPr>
        <w:pStyle w:val="Heading1"/>
      </w:pPr>
      <w:bookmarkStart w:id="5" w:name="O_88375"/>
      <w:bookmarkEnd w:id="5"/>
      <w:r w:rsidRPr="007E26FF">
        <w:t>Pre-Requisites</w:t>
      </w:r>
    </w:p>
    <w:tbl>
      <w:tblPr>
        <w:tblW w:w="0" w:type="auto"/>
        <w:tblLayout w:type="fixed"/>
        <w:tblCellMar>
          <w:left w:w="62" w:type="dxa"/>
          <w:right w:w="62" w:type="dxa"/>
        </w:tblCellMar>
        <w:tblLook w:val="0000"/>
      </w:tblPr>
      <w:tblGrid>
        <w:gridCol w:w="2771"/>
        <w:gridCol w:w="1313"/>
        <w:gridCol w:w="4438"/>
      </w:tblGrid>
      <w:tr w:rsidTr="009F390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t>Nil</w:t>
            </w:r>
          </w:p>
        </w:tc>
      </w:tr>
      <w:tr w:rsidTr="009F39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p>
        </w:tc>
      </w:tr>
      <w:tr w:rsidTr="009F39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6" w:name="O_88376"/>
      <w:bookmarkEnd w:id="6"/>
      <w:r w:rsidRPr="007E26FF">
        <w:t>Employability Skills Information</w:t>
      </w:r>
    </w:p>
    <w:tbl>
      <w:tblPr>
        <w:tblW w:w="0" w:type="auto"/>
        <w:tblLayout w:type="fixed"/>
        <w:tblCellMar>
          <w:left w:w="62" w:type="dxa"/>
          <w:right w:w="62" w:type="dxa"/>
        </w:tblCellMar>
        <w:tblLook w:val="0000"/>
      </w:tblPr>
      <w:tblGrid>
        <w:gridCol w:w="2802"/>
        <w:gridCol w:w="5720"/>
      </w:tblGrid>
      <w:tr w:rsidTr="009F39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This unit contains employability skills.</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7" w:name="O_88377"/>
      <w:bookmarkEnd w:id="7"/>
      <w:r w:rsidRPr="007E26FF">
        <w:t>Elements and Performance Criteria Pre-Content</w:t>
      </w:r>
    </w:p>
    <w:tbl>
      <w:tblPr>
        <w:tblW w:w="0" w:type="auto"/>
        <w:tblLayout w:type="fixed"/>
        <w:tblCellMar>
          <w:left w:w="62" w:type="dxa"/>
          <w:right w:w="62" w:type="dxa"/>
        </w:tblCellMar>
        <w:tblLook w:val="0000"/>
      </w:tblPr>
      <w:tblGrid>
        <w:gridCol w:w="2537"/>
        <w:gridCol w:w="5985"/>
      </w:tblGrid>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Performance criteria describe the performance needed to demonstrate achievement of the element. Where bold italicised text is used, further info</w:t>
            </w:r>
            <w:r w:rsidRPr="007E26FF">
              <w:t>rmation is detailed in the required skills and knowledge section and the range statement. Assessment of performance is to be consistent with the evidence guide.</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8" w:name="O_88378"/>
      <w:bookmarkEnd w:id="8"/>
      <w:r w:rsidRPr="007E26FF">
        <w:t>Elements and Performance Criteria</w:t>
      </w:r>
    </w:p>
    <w:tbl>
      <w:tblPr>
        <w:tblW w:w="0" w:type="auto"/>
        <w:tblLayout w:type="fixed"/>
        <w:tblCellMar>
          <w:left w:w="62" w:type="dxa"/>
          <w:right w:w="62" w:type="dxa"/>
        </w:tblCellMar>
        <w:tblLook w:val="0000"/>
      </w:tblPr>
      <w:tblGrid>
        <w:gridCol w:w="2537"/>
        <w:gridCol w:w="5985"/>
      </w:tblGrid>
      <w:tr w:rsidTr="009F390D">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PERFORMANCE CRITERIA</w:t>
            </w:r>
          </w:p>
        </w:tc>
      </w:tr>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
              <w:rPr>
                <w:lang w:val="en-NZ"/>
              </w:rPr>
            </w:pPr>
            <w:r w:rsidRPr="007E26FF">
              <w:t>1.</w:t>
            </w:r>
            <w:r w:rsidRPr="007E26FF">
              <w:tab/>
            </w:r>
            <w:r w:rsidRPr="007E26FF">
              <w:t>Identify shot blasting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2"/>
            </w:pPr>
            <w:r w:rsidRPr="007E26FF">
              <w:t>1.1.</w:t>
            </w:r>
            <w:r w:rsidRPr="007E26FF">
              <w:tab/>
              <w:t xml:space="preserve">Applicable </w:t>
            </w:r>
            <w:r w:rsidRPr="007E26FF">
              <w:rPr>
                <w:rStyle w:val="BoldandItalics"/>
              </w:rPr>
              <w:t>legislative</w:t>
            </w:r>
            <w:r w:rsidRPr="007E26FF">
              <w:t xml:space="preserve">, </w:t>
            </w:r>
            <w:r w:rsidRPr="007E26FF">
              <w:rPr>
                <w:rStyle w:val="BoldandItalics"/>
              </w:rPr>
              <w:t>OHS</w:t>
            </w:r>
            <w:r w:rsidRPr="007E26FF">
              <w:t xml:space="preserve"> and </w:t>
            </w:r>
            <w:r w:rsidRPr="007E26FF">
              <w:rPr>
                <w:rStyle w:val="BoldandItalics"/>
              </w:rPr>
              <w:t>organisational</w:t>
            </w:r>
            <w:r w:rsidRPr="007E26FF">
              <w:t xml:space="preserve"> requirements relevant to the use of shot blasting equipment, are verified and complied with</w:t>
            </w:r>
          </w:p>
          <w:p w:rsidR="00000000" w:rsidRPr="007E26FF" w:rsidP="007E26FF">
            <w:pPr>
              <w:pStyle w:val="List2"/>
            </w:pPr>
            <w:r w:rsidRPr="007E26FF">
              <w:t>1.2.</w:t>
            </w:r>
            <w:r w:rsidRPr="007E26FF">
              <w:tab/>
            </w:r>
            <w:r w:rsidRPr="007E26FF">
              <w:rPr>
                <w:rStyle w:val="BoldandItalics"/>
              </w:rPr>
              <w:t>Types of shot blasting equipment</w:t>
            </w:r>
            <w:r w:rsidRPr="007E26FF">
              <w:t xml:space="preserve"> and their functions are identified from r</w:t>
            </w:r>
            <w:r w:rsidRPr="007E26FF">
              <w:t>elevant information sources</w:t>
            </w:r>
          </w:p>
          <w:p w:rsidR="00000000" w:rsidRPr="007E26FF" w:rsidP="007E26FF">
            <w:pPr>
              <w:pStyle w:val="List2"/>
            </w:pPr>
            <w:r w:rsidRPr="007E26FF">
              <w:t>1.3.</w:t>
            </w:r>
            <w:r w:rsidRPr="007E26FF">
              <w:tab/>
            </w:r>
            <w:r w:rsidRPr="007E26FF">
              <w:rPr>
                <w:rStyle w:val="BoldandItalics"/>
              </w:rPr>
              <w:t>Instructions</w:t>
            </w:r>
            <w:r w:rsidRPr="007E26FF">
              <w:t xml:space="preserve"> and/or plans are read and interpreted to identify the process required to complete work tasks</w:t>
            </w:r>
          </w:p>
          <w:p w:rsidR="00000000" w:rsidP="007E26FF">
            <w:pPr>
              <w:pStyle w:val="List2"/>
              <w:rPr>
                <w:lang w:val="en-NZ"/>
              </w:rPr>
            </w:pPr>
            <w:r w:rsidRPr="007E26FF">
              <w:t>1.4.</w:t>
            </w:r>
            <w:r w:rsidRPr="007E26FF">
              <w:tab/>
            </w:r>
            <w:r w:rsidRPr="007E26FF">
              <w:rPr>
                <w:rStyle w:val="BoldandItalics"/>
              </w:rPr>
              <w:t>Sources of power supply</w:t>
            </w:r>
            <w:r w:rsidRPr="007E26FF">
              <w:t xml:space="preserve"> are recognised</w:t>
            </w:r>
          </w:p>
        </w:tc>
      </w:tr>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
              <w:rPr>
                <w:lang w:val="en-NZ"/>
              </w:rPr>
            </w:pPr>
            <w:r w:rsidRPr="007E26FF">
              <w:t>2.</w:t>
            </w:r>
            <w:r w:rsidRPr="007E26FF">
              <w:tab/>
              <w:t>Shot blasting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2"/>
            </w:pPr>
            <w:r w:rsidRPr="007E26FF">
              <w:t>2.1.</w:t>
            </w:r>
            <w:r w:rsidRPr="007E26FF">
              <w:tab/>
              <w:t>Shot blasting equipment and shot size a</w:t>
            </w:r>
            <w:r w:rsidRPr="007E26FF">
              <w:t>re selected consistent with the needs of the job</w:t>
            </w:r>
          </w:p>
          <w:p w:rsidR="00000000" w:rsidP="007E26FF">
            <w:pPr>
              <w:pStyle w:val="List2"/>
              <w:rPr>
                <w:lang w:val="en-NZ"/>
              </w:rPr>
            </w:pPr>
            <w:r w:rsidRPr="007E26FF">
              <w:t>2.2.</w:t>
            </w:r>
            <w:r w:rsidRPr="007E26FF">
              <w:tab/>
              <w:t xml:space="preserve">Shot blasting equipment is checked for serviceability and safety and any </w:t>
            </w:r>
            <w:r w:rsidRPr="007E26FF">
              <w:rPr>
                <w:rStyle w:val="BoldandItalics"/>
              </w:rPr>
              <w:t>faults</w:t>
            </w:r>
            <w:r w:rsidRPr="007E26FF">
              <w:t xml:space="preserve"> are correct or processed for repair</w:t>
            </w:r>
          </w:p>
        </w:tc>
      </w:tr>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
              <w:rPr>
                <w:lang w:val="en-NZ"/>
              </w:rPr>
            </w:pPr>
            <w:r w:rsidRPr="007E26FF">
              <w:t>3.</w:t>
            </w:r>
            <w:r w:rsidRPr="007E26FF">
              <w:tab/>
              <w:t>Clean and prepare sub-floor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2"/>
            </w:pPr>
            <w:r w:rsidRPr="007E26FF">
              <w:t>3.1.</w:t>
            </w:r>
            <w:r w:rsidRPr="007E26FF">
              <w:tab/>
              <w:t xml:space="preserve">Appropriate </w:t>
            </w:r>
            <w:r w:rsidRPr="007E26FF">
              <w:rPr>
                <w:rStyle w:val="BoldandItalics"/>
              </w:rPr>
              <w:t>personal protective equipment</w:t>
            </w:r>
            <w:r w:rsidRPr="007E26FF">
              <w:t xml:space="preserve"> is sele</w:t>
            </w:r>
            <w:r w:rsidRPr="007E26FF">
              <w:t>cted, correctly fitted and used</w:t>
            </w:r>
          </w:p>
          <w:p w:rsidR="00000000" w:rsidRPr="007E26FF" w:rsidP="007E26FF">
            <w:pPr>
              <w:pStyle w:val="List2"/>
            </w:pPr>
            <w:r w:rsidRPr="007E26FF">
              <w:t>3.2.</w:t>
            </w:r>
            <w:r w:rsidRPr="007E26FF">
              <w:tab/>
            </w:r>
            <w:r w:rsidRPr="007E26FF">
              <w:rPr>
                <w:rStyle w:val="BoldandItalics"/>
              </w:rPr>
              <w:t>Fittings and fixtures</w:t>
            </w:r>
            <w:r w:rsidRPr="007E26FF">
              <w:t xml:space="preserve"> are removed from the sub-floor</w:t>
            </w:r>
          </w:p>
          <w:p w:rsidR="00000000" w:rsidP="007E26FF">
            <w:pPr>
              <w:pStyle w:val="List2"/>
              <w:rPr>
                <w:lang w:val="en-NZ"/>
              </w:rPr>
            </w:pPr>
            <w:r w:rsidRPr="007E26FF">
              <w:t>3.3.</w:t>
            </w:r>
            <w:r w:rsidRPr="007E26FF">
              <w:tab/>
              <w:t>Sub-floor is cleared of loose debris and dirt and cleaned</w:t>
            </w:r>
          </w:p>
        </w:tc>
      </w:tr>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
              <w:rPr>
                <w:lang w:val="en-NZ"/>
              </w:rPr>
            </w:pPr>
            <w:r w:rsidRPr="007E26FF">
              <w:t>4.</w:t>
            </w:r>
            <w:r w:rsidRPr="007E26FF">
              <w:tab/>
              <w:t>Shot blast the floor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2"/>
            </w:pPr>
            <w:r w:rsidRPr="007E26FF">
              <w:t>4.1.</w:t>
            </w:r>
            <w:r w:rsidRPr="007E26FF">
              <w:tab/>
            </w:r>
            <w:r w:rsidRPr="007E26FF">
              <w:rPr>
                <w:rStyle w:val="BoldandItalics"/>
              </w:rPr>
              <w:t>Work sequence</w:t>
            </w:r>
            <w:r w:rsidRPr="007E26FF">
              <w:t xml:space="preserve"> and starting point are selected</w:t>
            </w:r>
          </w:p>
          <w:p w:rsidR="00000000" w:rsidRPr="007E26FF" w:rsidP="007E26FF">
            <w:pPr>
              <w:pStyle w:val="List2"/>
            </w:pPr>
            <w:r w:rsidRPr="007E26FF">
              <w:t>4.2.</w:t>
            </w:r>
            <w:r w:rsidRPr="007E26FF">
              <w:tab/>
            </w:r>
            <w:r w:rsidRPr="007E26FF">
              <w:t>Perimeter is shot blasted using light equipment and appropriate cutter</w:t>
            </w:r>
          </w:p>
          <w:p w:rsidR="00000000" w:rsidRPr="007E26FF" w:rsidP="007E26FF">
            <w:pPr>
              <w:pStyle w:val="List2"/>
            </w:pPr>
            <w:r w:rsidRPr="007E26FF">
              <w:t>4.3.</w:t>
            </w:r>
            <w:r w:rsidRPr="007E26FF">
              <w:tab/>
              <w:t xml:space="preserve">Main area is shot blasted to the required </w:t>
            </w:r>
            <w:r w:rsidRPr="007E26FF">
              <w:rPr>
                <w:rStyle w:val="BoldandItalics"/>
              </w:rPr>
              <w:t>standard</w:t>
            </w:r>
            <w:r w:rsidRPr="007E26FF">
              <w:t xml:space="preserve"> using the most appropriate available equipment in accordance with the manufacturer specification</w:t>
            </w:r>
          </w:p>
          <w:p w:rsidR="00000000" w:rsidP="007E26FF">
            <w:pPr>
              <w:pStyle w:val="List2"/>
              <w:rPr>
                <w:lang w:val="en-NZ"/>
              </w:rPr>
            </w:pPr>
            <w:r w:rsidRPr="007E26FF">
              <w:t>4.4.</w:t>
            </w:r>
            <w:r w:rsidRPr="007E26FF">
              <w:tab/>
              <w:t>Floor area is cleaned, insp</w:t>
            </w:r>
            <w:r w:rsidRPr="007E26FF">
              <w:t>ected and re-worked as required</w:t>
            </w:r>
          </w:p>
        </w:tc>
      </w:tr>
      <w:tr w:rsidTr="009F390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
              <w:rPr>
                <w:lang w:val="en-NZ"/>
              </w:rPr>
            </w:pPr>
            <w:r w:rsidRPr="007E26FF">
              <w:t>5.</w:t>
            </w:r>
            <w:r w:rsidRPr="007E26FF">
              <w:tab/>
              <w:t>Clean up work area and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2"/>
            </w:pPr>
            <w:r w:rsidRPr="007E26FF">
              <w:t>5.1.</w:t>
            </w:r>
            <w:r w:rsidRPr="007E26FF">
              <w:tab/>
              <w:t>All tools are cleaned, maintained and stored</w:t>
            </w:r>
          </w:p>
          <w:p w:rsidR="00000000" w:rsidRPr="007E26FF" w:rsidP="007E26FF">
            <w:pPr>
              <w:pStyle w:val="List2"/>
            </w:pPr>
            <w:r w:rsidRPr="007E26FF">
              <w:t>5.2.</w:t>
            </w:r>
            <w:r w:rsidRPr="007E26FF">
              <w:tab/>
              <w:t>Equipment is cleaned, maintained and stored</w:t>
            </w:r>
          </w:p>
          <w:p w:rsidR="00000000" w:rsidRPr="007E26FF" w:rsidP="007E26FF">
            <w:pPr>
              <w:pStyle w:val="List2"/>
            </w:pPr>
            <w:r w:rsidRPr="007E26FF">
              <w:t>5.3.</w:t>
            </w:r>
            <w:r w:rsidRPr="007E26FF">
              <w:tab/>
              <w:t>Work area is cleared and waste removed</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9" w:name="O_88379"/>
      <w:bookmarkEnd w:id="9"/>
      <w:r w:rsidRPr="007E26FF">
        <w:t>Required Skills and Knowledge</w:t>
      </w:r>
    </w:p>
    <w:tbl>
      <w:tblPr>
        <w:tblW w:w="0" w:type="auto"/>
        <w:tblLayout w:type="fixed"/>
        <w:tblCellMar>
          <w:left w:w="62" w:type="dxa"/>
          <w:right w:w="62" w:type="dxa"/>
        </w:tblCellMar>
        <w:tblLook w:val="0000"/>
      </w:tblPr>
      <w:tblGrid>
        <w:gridCol w:w="8522"/>
      </w:tblGrid>
      <w:tr w:rsidTr="009F39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R</w:t>
            </w:r>
            <w:r w:rsidRPr="007E26FF">
              <w:rPr>
                <w:rStyle w:val="SpecialBold"/>
              </w:rPr>
              <w:t>EQUIRED SKILLS AND KNOWLEDGE</w:t>
            </w:r>
          </w:p>
        </w:tc>
      </w:tr>
      <w:tr w:rsidTr="009F39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t>This section describes the skills and knowledge required for this unit.</w:t>
            </w:r>
          </w:p>
        </w:tc>
      </w:tr>
      <w:tr w:rsidTr="009F3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Required skills</w:t>
            </w:r>
          </w:p>
        </w:tc>
      </w:tr>
      <w:tr w:rsidTr="009F3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 xml:space="preserve">communicate ideas and information to enable confirmation of work requirements and </w:t>
            </w:r>
            <w:r w:rsidRPr="007E26FF">
              <w:t>specifications and the reporting of faults and problems</w:t>
            </w:r>
          </w:p>
          <w:p w:rsidR="00000000" w:rsidRPr="007E26FF" w:rsidP="007E26FF">
            <w:pPr>
              <w:pStyle w:val="ListBullet"/>
            </w:pPr>
            <w:r w:rsidRPr="007E26FF">
              <w:t>collect and understand information related to the use and maintenance of shot blasting equipment</w:t>
            </w:r>
          </w:p>
          <w:p w:rsidR="00000000" w:rsidRPr="007E26FF" w:rsidP="007E26FF">
            <w:pPr>
              <w:pStyle w:val="ListBullet"/>
            </w:pPr>
            <w:r w:rsidRPr="007E26FF">
              <w:t>work with others and in a team by recognising dependencies and using cooperative approaches to optimise work flow and productivity</w:t>
            </w:r>
          </w:p>
          <w:p w:rsidR="00000000" w:rsidRPr="007E26FF" w:rsidP="007E26FF">
            <w:pPr>
              <w:pStyle w:val="ListBullet"/>
            </w:pPr>
            <w:r w:rsidRPr="007E26FF">
              <w:t>use pre-checking and inspection techniques to anticipate shot blasting problems to avoid re-work and wastage</w:t>
            </w:r>
          </w:p>
          <w:p w:rsidR="00000000" w:rsidRPr="007E26FF" w:rsidP="007E26FF">
            <w:pPr>
              <w:pStyle w:val="ListBullet"/>
            </w:pPr>
            <w:r w:rsidRPr="007E26FF">
              <w:t>recognise and re</w:t>
            </w:r>
            <w:r w:rsidRPr="007E26FF">
              <w:t>spond to circumstances outside instructions or personal competence</w:t>
            </w:r>
          </w:p>
          <w:p w:rsidR="00000000" w:rsidRPr="007E26FF" w:rsidP="007E26FF">
            <w:pPr>
              <w:pStyle w:val="ListBullet"/>
            </w:pPr>
            <w:r w:rsidRPr="007E26FF">
              <w:t>plan and organize activities, including the preparation and layout of the worksite and the obtaining of tools</w:t>
            </w:r>
          </w:p>
          <w:p w:rsidR="00000000" w:rsidRPr="007E26FF" w:rsidP="007E26FF">
            <w:pPr>
              <w:pStyle w:val="ListBullet"/>
            </w:pPr>
            <w:r w:rsidRPr="007E26FF">
              <w:t>use mathematical ideas and techniques to correctly complete measurements and es</w:t>
            </w:r>
            <w:r w:rsidRPr="007E26FF">
              <w:t>timate other material requirements</w:t>
            </w:r>
          </w:p>
          <w:p w:rsidR="00000000" w:rsidRPr="007E26FF" w:rsidP="007E26FF">
            <w:pPr>
              <w:pStyle w:val="ListBullet"/>
            </w:pPr>
            <w:r w:rsidRPr="007E26FF">
              <w:t>clarify and confirm work instructions</w:t>
            </w:r>
          </w:p>
          <w:p w:rsidR="00000000" w:rsidRPr="007E26FF" w:rsidP="007E26FF">
            <w:pPr>
              <w:pStyle w:val="ListBullet"/>
            </w:pPr>
            <w:r w:rsidRPr="007E26FF">
              <w:t>plan work within given task parameters</w:t>
            </w:r>
          </w:p>
          <w:p w:rsidR="00000000" w:rsidRPr="007E26FF" w:rsidP="007E26FF">
            <w:pPr>
              <w:pStyle w:val="ListBullet"/>
            </w:pPr>
            <w:r w:rsidRPr="007E26FF">
              <w:t>accept responsibility for given tasks</w:t>
            </w:r>
          </w:p>
          <w:p w:rsidR="00000000" w:rsidRPr="007E26FF" w:rsidP="007E26FF">
            <w:pPr>
              <w:pStyle w:val="ListBullet"/>
            </w:pPr>
            <w:r w:rsidRPr="007E26FF">
              <w:t>set, monitor and satisfy personal work goals</w:t>
            </w:r>
          </w:p>
          <w:p w:rsidR="00000000" w:rsidRPr="007E26FF" w:rsidP="007E26FF">
            <w:pPr>
              <w:pStyle w:val="ListBullet"/>
            </w:pPr>
            <w:r w:rsidRPr="007E26FF">
              <w:t>satisfy the competency requirements for the job</w:t>
            </w:r>
          </w:p>
          <w:p w:rsidR="00000000" w:rsidRPr="007E26FF" w:rsidP="007E26FF">
            <w:pPr>
              <w:pStyle w:val="ListBullet"/>
            </w:pPr>
            <w:r w:rsidRPr="007E26FF">
              <w:t>maintain curr</w:t>
            </w:r>
            <w:r w:rsidRPr="007E26FF">
              <w:t>ent knowledge of:</w:t>
            </w:r>
          </w:p>
          <w:p w:rsidR="00000000" w:rsidRPr="007E26FF" w:rsidP="007E26FF">
            <w:pPr>
              <w:pStyle w:val="ListBullet2"/>
            </w:pPr>
            <w:r w:rsidRPr="007E26FF">
              <w:t>tools and materials</w:t>
            </w:r>
          </w:p>
          <w:p w:rsidR="00000000" w:rsidRPr="007E26FF" w:rsidP="007E26FF">
            <w:pPr>
              <w:pStyle w:val="ListBullet2"/>
            </w:pPr>
            <w:r w:rsidRPr="007E26FF">
              <w:t>installation techniques</w:t>
            </w:r>
          </w:p>
          <w:p w:rsidR="00000000" w:rsidRPr="007E26FF" w:rsidP="007E26FF">
            <w:pPr>
              <w:pStyle w:val="ListBullet"/>
            </w:pPr>
            <w:r w:rsidRPr="007E26FF">
              <w:t>seek learning opportunities</w:t>
            </w:r>
          </w:p>
          <w:p w:rsidR="00000000" w:rsidP="007E26FF">
            <w:pPr>
              <w:pStyle w:val="ListBullet"/>
              <w:rPr>
                <w:lang w:val="en-NZ"/>
              </w:rPr>
            </w:pPr>
            <w:r w:rsidRPr="007E26FF">
              <w:t>use workplace technology related to the use and operator maintenance of shot blasters and associated materials</w:t>
            </w:r>
          </w:p>
        </w:tc>
      </w:tr>
      <w:tr w:rsidTr="009F3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Required knowledge</w:t>
            </w:r>
          </w:p>
        </w:tc>
      </w:tr>
      <w:tr w:rsidTr="009F3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State or Territory OHS legislation, regulations, standards and codes of practice relevant to shot blasting</w:t>
            </w:r>
          </w:p>
          <w:p w:rsidR="00000000" w:rsidRPr="007E26FF" w:rsidP="007E26FF">
            <w:pPr>
              <w:pStyle w:val="ListBullet"/>
            </w:pPr>
            <w:r w:rsidRPr="007E26FF">
              <w:t>Standards including AS/NZS 2455 and AS 1884 (1985)</w:t>
            </w:r>
          </w:p>
          <w:p w:rsidR="00000000" w:rsidRPr="007E26FF" w:rsidP="007E26FF">
            <w:pPr>
              <w:pStyle w:val="ListBullet"/>
            </w:pPr>
            <w:r w:rsidRPr="007E26FF">
              <w:t>organisational and site standards, requirement</w:t>
            </w:r>
            <w:r w:rsidRPr="007E26FF">
              <w:t>s, policies and procedures for the use of shot blasting equipment</w:t>
            </w:r>
          </w:p>
          <w:p w:rsidR="00000000" w:rsidRPr="007E26FF" w:rsidP="007E26FF">
            <w:pPr>
              <w:pStyle w:val="ListBullet"/>
            </w:pPr>
            <w:r w:rsidRPr="007E26FF">
              <w:t>types of shot blasters and procedures for their safe use, operation and maintenance</w:t>
            </w:r>
          </w:p>
          <w:p w:rsidR="00000000" w:rsidRPr="007E26FF" w:rsidP="007E26FF">
            <w:pPr>
              <w:pStyle w:val="ListBullet"/>
            </w:pPr>
            <w:r w:rsidRPr="007E26FF">
              <w:t>shot blaster attachments, their uses, limitations and maintenance requirements</w:t>
            </w:r>
          </w:p>
          <w:p w:rsidR="00000000" w:rsidRPr="007E26FF" w:rsidP="007E26FF">
            <w:pPr>
              <w:pStyle w:val="ListBullet"/>
            </w:pPr>
            <w:r w:rsidRPr="007E26FF">
              <w:t>characteristics, uses and l</w:t>
            </w:r>
            <w:r w:rsidRPr="007E26FF">
              <w:t>imitations of the available shot sizes</w:t>
            </w:r>
          </w:p>
          <w:p w:rsidR="00000000" w:rsidRPr="007E26FF" w:rsidP="007E26FF">
            <w:pPr>
              <w:pStyle w:val="ListBullet"/>
            </w:pPr>
            <w:r w:rsidRPr="007E26FF">
              <w:t>environmental protection requirements</w:t>
            </w:r>
          </w:p>
          <w:p w:rsidR="00000000" w:rsidRPr="007E26FF" w:rsidP="007E26FF">
            <w:pPr>
              <w:pStyle w:val="ListBullet"/>
            </w:pPr>
            <w:r w:rsidRPr="007E26FF">
              <w:t>established communication channels and protocols</w:t>
            </w:r>
          </w:p>
          <w:p w:rsidR="00000000" w:rsidRPr="007E26FF" w:rsidP="007E26FF">
            <w:pPr>
              <w:pStyle w:val="ListBullet"/>
            </w:pPr>
            <w:r w:rsidRPr="007E26FF">
              <w:t>problem identification and resolution</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10" w:name="O_88380"/>
      <w:bookmarkEnd w:id="10"/>
      <w:r w:rsidRPr="007E26FF">
        <w:t>Evidence Guide</w:t>
      </w:r>
    </w:p>
    <w:tbl>
      <w:tblPr>
        <w:tblW w:w="9570" w:type="dxa"/>
        <w:tblLayout w:type="fixed"/>
        <w:tblCellMar>
          <w:left w:w="62" w:type="dxa"/>
          <w:right w:w="62" w:type="dxa"/>
        </w:tblCellMar>
        <w:tblLook w:val="0000"/>
      </w:tblPr>
      <w:tblGrid>
        <w:gridCol w:w="3908"/>
        <w:gridCol w:w="5662"/>
      </w:tblGrid>
      <w:tr w:rsidTr="009F39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EVIDENCE GUIDE</w:t>
            </w:r>
          </w:p>
        </w:tc>
      </w:tr>
      <w:tr w:rsidTr="009F39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t>The Evidence Guide provides advice on assessment and must be read in conjunction with the performance criteria, required skills and knowledge, range statement and the Assessment Guidelines for the Training Package.</w:t>
            </w:r>
          </w:p>
        </w:tc>
      </w:tr>
      <w:tr w:rsidTr="009F3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Critical aspects for assessment and evi</w:t>
            </w:r>
            <w:r w:rsidRPr="007E26F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Comply with legislation, regulations, standards, codes of practice and established safe practices and procedures for operating and maintaining shot blasting equipment</w:t>
            </w:r>
          </w:p>
          <w:p w:rsidR="00000000" w:rsidRPr="007E26FF" w:rsidP="007E26FF">
            <w:pPr>
              <w:pStyle w:val="ListBullet"/>
            </w:pPr>
            <w:r w:rsidRPr="007E26FF">
              <w:t>Apply safe handling practices for equipment, products and materials</w:t>
            </w:r>
          </w:p>
          <w:p w:rsidR="00000000" w:rsidRPr="007E26FF" w:rsidP="007E26FF">
            <w:pPr>
              <w:pStyle w:val="ListBullet"/>
            </w:pPr>
            <w:r w:rsidRPr="007E26FF">
              <w:t>Adopt and carry out correct procedures prior to and during use of the shot blasting equipment prescribed above in the Range Statement</w:t>
            </w:r>
          </w:p>
          <w:p w:rsidR="00000000" w:rsidRPr="007E26FF" w:rsidP="007E26FF">
            <w:pPr>
              <w:pStyle w:val="ListBullet"/>
            </w:pPr>
            <w:r w:rsidRPr="007E26FF">
              <w:t>Follow work in</w:t>
            </w:r>
            <w:r w:rsidRPr="007E26FF">
              <w:t>structions, operating procedures and inspection practices to:</w:t>
            </w:r>
          </w:p>
          <w:p w:rsidR="00000000" w:rsidRPr="007E26FF" w:rsidP="007E26FF">
            <w:pPr>
              <w:pStyle w:val="ListBullet2"/>
            </w:pPr>
            <w:r w:rsidRPr="007E26FF">
              <w:t>prevent damage to goods, equipment and products</w:t>
            </w:r>
          </w:p>
          <w:p w:rsidR="00000000" w:rsidRPr="007E26FF" w:rsidP="007E26FF">
            <w:pPr>
              <w:pStyle w:val="ListBullet2"/>
            </w:pPr>
            <w:r w:rsidRPr="007E26FF">
              <w:t>maintain required production output and product quality</w:t>
            </w:r>
          </w:p>
          <w:p w:rsidR="00000000" w:rsidRPr="007E26FF" w:rsidP="007E26FF">
            <w:pPr>
              <w:pStyle w:val="ListBullet2"/>
            </w:pPr>
            <w:r w:rsidRPr="007E26FF">
              <w:t>minimise the risk of injury to self and others</w:t>
            </w:r>
          </w:p>
          <w:p w:rsidR="00000000" w:rsidRPr="007E26FF" w:rsidP="007E26FF">
            <w:pPr>
              <w:pStyle w:val="ListBullet"/>
            </w:pPr>
            <w:r w:rsidRPr="007E26FF">
              <w:t>Shot blast a minimum of two concrete sub-</w:t>
            </w:r>
            <w:r w:rsidRPr="007E26FF">
              <w:t>floors to the relevant Australian Standard</w:t>
            </w:r>
          </w:p>
          <w:p w:rsidR="00000000" w:rsidRPr="007E26FF" w:rsidP="007E26FF">
            <w:pPr>
              <w:pStyle w:val="ListBullet"/>
            </w:pPr>
            <w:r w:rsidRPr="007E26FF">
              <w:t>Complete operator maintenance on shot blasting equipment</w:t>
            </w:r>
          </w:p>
          <w:p w:rsidR="00000000" w:rsidRPr="007E26FF" w:rsidP="007E26FF">
            <w:pPr>
              <w:pStyle w:val="ListBullet"/>
            </w:pPr>
            <w:r w:rsidRPr="007E26FF">
              <w:t>Work effectively with others</w:t>
            </w:r>
          </w:p>
          <w:p w:rsidR="00000000" w:rsidP="007E26FF">
            <w:pPr>
              <w:pStyle w:val="ListBullet"/>
              <w:rPr>
                <w:lang w:val="en-NZ"/>
              </w:rPr>
            </w:pPr>
            <w:r w:rsidRPr="007E26FF">
              <w:t>Modify activities to cater for variations in workplace contexts and environment</w:t>
            </w:r>
          </w:p>
        </w:tc>
      </w:tr>
      <w:tr w:rsidTr="009F3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Context of</w:t>
            </w:r>
            <w:r w:rsidRPr="007E26FF">
              <w:t xml:space="preserve">, </w:t>
            </w:r>
            <w:r w:rsidRPr="007E26F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The application of competency is to be assessed in the workplace or realistically simulated workplace</w:t>
            </w:r>
          </w:p>
          <w:p w:rsidR="00000000" w:rsidRPr="007E26FF" w:rsidP="007E26FF">
            <w:pPr>
              <w:pStyle w:val="ListBullet"/>
            </w:pPr>
            <w:r w:rsidRPr="007E26FF">
              <w:t>Assessment is to occur under standard and authorised work practices, safety requirements and environmental constrai</w:t>
            </w:r>
            <w:r w:rsidRPr="007E26FF">
              <w:t>nts</w:t>
            </w:r>
          </w:p>
          <w:p w:rsidR="00000000" w:rsidRPr="007E26FF" w:rsidP="007E26FF">
            <w:pPr>
              <w:pStyle w:val="ListBullet"/>
            </w:pPr>
            <w:r w:rsidRPr="007E26FF">
              <w:t>Assessment of essential underpinning knowledge, other than confirmatory questions, will usually be conducted in an off-site context</w:t>
            </w:r>
          </w:p>
          <w:p w:rsidR="00000000" w:rsidRPr="007E26FF" w:rsidP="007E26FF">
            <w:pPr>
              <w:pStyle w:val="ListBullet"/>
            </w:pPr>
            <w:r w:rsidRPr="007E26FF">
              <w:t>Assessment is to comply with relevant regulatory or Australian Standards requirements</w:t>
            </w:r>
          </w:p>
          <w:p w:rsidR="00000000" w:rsidRPr="007E26FF" w:rsidP="007E26FF">
            <w:pPr>
              <w:pStyle w:val="ListBullet"/>
            </w:pPr>
            <w:r w:rsidRPr="007E26FF">
              <w:t xml:space="preserve">The following resources should be </w:t>
            </w:r>
            <w:r w:rsidRPr="007E26FF">
              <w:t>made available:</w:t>
            </w:r>
          </w:p>
          <w:p w:rsidR="00000000" w:rsidRPr="007E26FF" w:rsidP="007E26FF">
            <w:pPr>
              <w:pStyle w:val="ListBullet2"/>
            </w:pPr>
            <w:r w:rsidRPr="007E26FF">
              <w:t>workplace location or simulated workplace</w:t>
            </w:r>
          </w:p>
          <w:p w:rsidR="00000000" w:rsidRPr="007E26FF" w:rsidP="007E26FF">
            <w:pPr>
              <w:pStyle w:val="ListBullet2"/>
            </w:pPr>
            <w:r w:rsidRPr="007E26FF">
              <w:t>access to shot blasting equipment and shot</w:t>
            </w:r>
          </w:p>
          <w:p w:rsidR="00000000" w:rsidRPr="007E26FF" w:rsidP="007E26FF">
            <w:pPr>
              <w:pStyle w:val="ListBullet2"/>
            </w:pPr>
            <w:r w:rsidRPr="007E26FF">
              <w:t>access to manufacturer/user instructions and/or manuals</w:t>
            </w:r>
          </w:p>
          <w:p w:rsidR="00000000" w:rsidP="007E26FF">
            <w:pPr>
              <w:pStyle w:val="ListBullet2"/>
              <w:rPr>
                <w:lang w:val="en-NZ"/>
              </w:rPr>
            </w:pPr>
            <w:r w:rsidRPr="007E26FF">
              <w:t>a reasonable shot blasting requirement</w:t>
            </w:r>
          </w:p>
        </w:tc>
      </w:tr>
      <w:tr w:rsidTr="009F3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Assessment must satisfy the endorsed assessment guidelines of the Furnishing Industry Training Package</w:t>
            </w:r>
          </w:p>
          <w:p w:rsidR="00000000" w:rsidRPr="007E26FF" w:rsidP="007E26FF">
            <w:pPr>
              <w:pStyle w:val="BodyText"/>
            </w:pPr>
            <w:r w:rsidRPr="007E26FF">
              <w:t>Assessment methods must confirm consistency and accuracy of performance (over time and in a range of workplace relevant contexts) together with applicati</w:t>
            </w:r>
            <w:r w:rsidRPr="007E26FF">
              <w:t>on of underpinning knowledge</w:t>
            </w:r>
          </w:p>
          <w:p w:rsidR="00000000" w:rsidRPr="007E26FF" w:rsidP="007E26FF">
            <w:pPr>
              <w:pStyle w:val="BodyText"/>
            </w:pPr>
            <w:r w:rsidRPr="007E26FF">
              <w:t>Assessment methods must be by direct observation of tasks and include questioning on underpinning knowledge to ensure its correct interpretation and application</w:t>
            </w:r>
          </w:p>
          <w:p w:rsidR="00000000" w:rsidRPr="007E26FF" w:rsidP="007E26FF">
            <w:pPr>
              <w:pStyle w:val="BodyText"/>
            </w:pPr>
            <w:r w:rsidRPr="007E26FF">
              <w:t>Assessment may be applied under project related conditions (real o</w:t>
            </w:r>
            <w:r w:rsidRPr="007E26FF">
              <w:t>r simulated) and require evidence of process</w:t>
            </w:r>
          </w:p>
          <w:p w:rsidR="00000000" w:rsidRPr="007E26FF" w:rsidP="007E26FF">
            <w:pPr>
              <w:pStyle w:val="BodyText"/>
            </w:pPr>
            <w:r w:rsidRPr="007E26FF">
              <w:t>Assessment must confirm a reasonable inference that competency is able not only to be satisfied under the particular circumstance, but is able to be transferred to other circumstances</w:t>
            </w:r>
          </w:p>
          <w:p w:rsidR="00000000" w:rsidRPr="007E26FF" w:rsidP="007E26FF">
            <w:pPr>
              <w:pStyle w:val="BodyText"/>
            </w:pPr>
            <w:r w:rsidRPr="007E26FF">
              <w:t>Assessment may be in conjun</w:t>
            </w:r>
            <w:r w:rsidRPr="007E26FF">
              <w:t>ction with assessment of other related units of competency</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11" w:name="O_88381"/>
      <w:bookmarkEnd w:id="11"/>
      <w:r w:rsidRPr="007E26FF">
        <w:t>Range Statement</w:t>
      </w:r>
    </w:p>
    <w:tbl>
      <w:tblPr>
        <w:tblW w:w="0" w:type="auto"/>
        <w:tblLayout w:type="fixed"/>
        <w:tblCellMar>
          <w:left w:w="62" w:type="dxa"/>
          <w:right w:w="62" w:type="dxa"/>
        </w:tblCellMar>
        <w:tblLook w:val="0000"/>
      </w:tblPr>
      <w:tblGrid>
        <w:gridCol w:w="3528"/>
        <w:gridCol w:w="4994"/>
      </w:tblGrid>
      <w:tr w:rsidTr="009F39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RANGE STATEMENT</w:t>
            </w:r>
          </w:p>
        </w:tc>
      </w:tr>
      <w:tr w:rsidTr="009F39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t xml:space="preserve">The range statement relates to the unit of competency as a whole. It allows for different work environments and situations that may affect </w:t>
            </w:r>
            <w:r w:rsidRPr="007E26FF">
              <w:t>performance. Bold italicised wording, if used in the performance criteria, is detailed below. Essential operating conditions that may be present with training and assessment (depending on the work situation, needs of the candidate, accessibility of the ite</w:t>
            </w:r>
            <w:r w:rsidRPr="007E26FF">
              <w:t>m, and local industry and regional contexts) may also be included.</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are to be in accordance with applicable legislation from all levels of government that affect organisational operation. Requirements may include but not be limit</w:t>
            </w:r>
            <w:r w:rsidRPr="007E26FF">
              <w:t>ed to award and enterprise agreements, industrial relations, Australian Standards, confidentiality and privacy, OHS, the environment, equal opportunity, anti-discrimination, relevant industry codes of practice, duty of care and heritage</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are to be in accordance with Commonwealth, State or Territory legislation and regulations, organisational safety policies and procedures. Requirements may include but not be limited to the use of personal protective equipment and clothing, fire fighting eq</w:t>
            </w:r>
            <w:r w:rsidRPr="007E26FF">
              <w:t>uipment, First Aid equipment, hazard and risk control and elimination, control of hazardous materials and substances, manual handling, including lifting and carrying</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 xml:space="preserve">may include but not be limited to legal, organisational and </w:t>
            </w:r>
            <w:r w:rsidRPr="007E26FF">
              <w:t xml:space="preserve">site guidelines, policies and procedures relating to own role and responsibility, quality assurance, procedural manuals, quality and continuous improvement processes and standards, OHS, emergency and evacuation, ethical standards, recording and reporting, </w:t>
            </w:r>
            <w:r w:rsidRPr="007E26FF">
              <w:t>access and equity principles and practices, equipment use, maintenance and storage, environmental management (waste disposal, recycling and re-use guidelines)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Types of shot blasting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share technology and differ only in size and capacity</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Instruc</w:t>
            </w:r>
            <w:r w:rsidRPr="007E26FF">
              <w:rPr>
                <w:rStyle w:val="SpecialBold"/>
              </w:rPr>
              <w:t>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Shot blaster manufacturer specifications and operational procedures</w:t>
            </w:r>
          </w:p>
          <w:p w:rsidR="00000000" w:rsidRPr="007E26FF" w:rsidP="007E26FF">
            <w:pPr>
              <w:pStyle w:val="ListBullet"/>
            </w:pPr>
            <w:r w:rsidRPr="007E26FF">
              <w:t>Workplace procedures relating to OHS, tool handling and operation, reporting and communication</w:t>
            </w:r>
          </w:p>
          <w:p w:rsidR="00000000" w:rsidP="007E26FF">
            <w:pPr>
              <w:pStyle w:val="ListBullet"/>
              <w:rPr>
                <w:lang w:val="en-NZ"/>
              </w:rPr>
            </w:pPr>
            <w:r w:rsidRPr="007E26FF">
              <w:t>Work instructions, including job sheets, plans, drawings and designs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Sources of power supply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may be electrical (single or 3-phase) and gas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Attachments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are to include air cleaning/vacuum systems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Fault reporting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in the operation of blasting equipment may be verbal or written</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Personal protective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 xml:space="preserve">is to include </w:t>
            </w:r>
            <w:r w:rsidRPr="007E26FF">
              <w:t>that prescribed under legislation, regulation and enterprise policies and practices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Fittings and fixtures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include nails, door stops, gripper strips, metal mouldings and debris</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Work sequence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ListBullet"/>
              <w:rPr>
                <w:lang w:val="en-NZ"/>
              </w:rPr>
            </w:pPr>
            <w:r w:rsidRPr="007E26FF">
              <w:t>is likely to cover inspect, select equipment and accessories, clean sub-floor, shot blasting, cleaning and rework</w:t>
            </w:r>
          </w:p>
        </w:tc>
      </w:tr>
      <w:tr w:rsidTr="009F390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Standards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ListBullet"/>
            </w:pPr>
            <w:r w:rsidRPr="007E26FF">
              <w:t>AS/NZS 2455 and AS 1884 (1985)</w:t>
            </w:r>
          </w:p>
        </w:tc>
      </w:tr>
    </w:tbl>
    <w:p w:rsidR="009F390D" w:rsidP="007E26FF">
      <w:pPr>
        <w:pStyle w:val="BodyText"/>
      </w:pPr>
    </w:p>
    <w:p w:rsidR="009F390D" w:rsidP="007E26FF">
      <w:pPr>
        <w:pStyle w:val="BodyText"/>
      </w:pPr>
    </w:p>
    <w:p w:rsidR="00000000" w:rsidRPr="007E26FF" w:rsidP="007E26FF">
      <w:pPr>
        <w:pStyle w:val="Heading1"/>
      </w:pPr>
      <w:bookmarkStart w:id="12" w:name="O_88382"/>
      <w:bookmarkEnd w:id="12"/>
      <w:r w:rsidRPr="007E26FF">
        <w:t>Unit Sector(s)</w:t>
      </w:r>
    </w:p>
    <w:tbl>
      <w:tblPr>
        <w:tblW w:w="0" w:type="auto"/>
        <w:tblLayout w:type="fixed"/>
        <w:tblCellMar>
          <w:left w:w="62" w:type="dxa"/>
          <w:right w:w="62" w:type="dxa"/>
        </w:tblCellMar>
        <w:tblLook w:val="0000"/>
      </w:tblPr>
      <w:tblGrid>
        <w:gridCol w:w="2617"/>
        <w:gridCol w:w="5905"/>
      </w:tblGrid>
      <w:tr w:rsidTr="009F390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Flooring Technology</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13" w:name="O_157958"/>
      <w:bookmarkEnd w:id="13"/>
      <w:r w:rsidRPr="007E26FF">
        <w:t>Competency field</w:t>
      </w:r>
    </w:p>
    <w:tbl>
      <w:tblPr>
        <w:tblW w:w="0" w:type="auto"/>
        <w:tblLayout w:type="fixed"/>
        <w:tblCellMar>
          <w:left w:w="62" w:type="dxa"/>
          <w:right w:w="62" w:type="dxa"/>
        </w:tblCellMar>
        <w:tblLook w:val="0000"/>
      </w:tblPr>
      <w:tblGrid>
        <w:gridCol w:w="2779"/>
        <w:gridCol w:w="5743"/>
      </w:tblGrid>
      <w:tr w:rsidTr="009F390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r w:rsidRPr="007E26FF">
              <w:t>Floor Preparation</w:t>
            </w:r>
          </w:p>
        </w:tc>
      </w:tr>
    </w:tbl>
    <w:p w:rsidR="00000000" w:rsidRPr="007E26FF" w:rsidP="007E26FF">
      <w:pPr>
        <w:pStyle w:val="BodyText"/>
      </w:pPr>
    </w:p>
    <w:p w:rsidR="00000000" w:rsidRPr="007E26FF" w:rsidP="007E26FF">
      <w:pPr>
        <w:pStyle w:val="AllowPageBreak"/>
      </w:pPr>
    </w:p>
    <w:p w:rsidR="00000000" w:rsidRPr="007E26FF" w:rsidP="007E26FF">
      <w:pPr>
        <w:pStyle w:val="Heading1"/>
      </w:pPr>
      <w:bookmarkStart w:id="14" w:name="O_157957"/>
      <w:bookmarkEnd w:id="14"/>
      <w:r w:rsidRPr="007E26FF">
        <w:t>Co-requisite units</w:t>
      </w:r>
    </w:p>
    <w:tbl>
      <w:tblPr>
        <w:tblW w:w="0" w:type="auto"/>
        <w:tblLayout w:type="fixed"/>
        <w:tblCellMar>
          <w:left w:w="62" w:type="dxa"/>
          <w:right w:w="62" w:type="dxa"/>
        </w:tblCellMar>
        <w:tblLook w:val="0000"/>
      </w:tblPr>
      <w:tblGrid>
        <w:gridCol w:w="2641"/>
        <w:gridCol w:w="1322"/>
        <w:gridCol w:w="4559"/>
      </w:tblGrid>
      <w:tr w:rsidTr="009F39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r w:rsidRPr="007E26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p>
        </w:tc>
      </w:tr>
      <w:tr w:rsidTr="009F3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26FF">
            <w:pPr>
              <w:pStyle w:val="BodyText"/>
              <w:rPr>
                <w:lang w:val="en-NZ"/>
              </w:rPr>
            </w:pPr>
          </w:p>
        </w:tc>
      </w:tr>
      <w:tr w:rsidTr="009F3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26FF" w:rsidP="007E26FF">
            <w:pPr>
              <w:pStyle w:val="BodyText"/>
            </w:pPr>
          </w:p>
        </w:tc>
      </w:tr>
    </w:tbl>
    <w:p w:rsidR="00000000" w:rsidRPr="007E26FF" w:rsidP="007E26FF">
      <w:pPr>
        <w:pStyle w:val="BodyText"/>
      </w:pPr>
    </w:p>
    <w:p w:rsidR="00000000" w:rsidRPr="007E26FF" w:rsidP="007E26FF"/>
    <w:sectPr w:rsidSect="007E2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90D" w:rsidP="009F3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0D" w:rsidP="007E2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90D" w:rsidP="007E26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390D" w:rsidP="007E26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90D" w:rsidP="009F39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0D" w:rsidP="007E26FF">
    <w:pPr>
      <w:pStyle w:val="Header"/>
      <w:framePr w:wrap="around"/>
    </w:pPr>
    <w:r>
      <w:fldChar w:fldCharType="begin"/>
    </w:r>
    <w:r>
      <w:instrText xml:space="preserve"> TITLE   \* MERGEFORMAT </w:instrText>
    </w:r>
    <w:r>
      <w:fldChar w:fldCharType="separate"/>
    </w:r>
    <w:r>
      <w:t>LMFFL2108A Select, operate and maintain shot blasting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390D" w:rsidP="007E26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2A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DC8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23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6FF"/>
    <w:pPr>
      <w:spacing w:before="360" w:after="60"/>
      <w:outlineLvl w:val="0"/>
    </w:pPr>
    <w:rPr>
      <w:sz w:val="32"/>
    </w:rPr>
  </w:style>
  <w:style w:type="paragraph" w:styleId="Heading2">
    <w:name w:val="heading 2"/>
    <w:basedOn w:val="HeadingBase"/>
    <w:next w:val="BodyText"/>
    <w:link w:val="Heading2Char"/>
    <w:qFormat/>
    <w:rsid w:val="007E26FF"/>
    <w:pPr>
      <w:keepLines/>
      <w:spacing w:before="240" w:after="120"/>
      <w:outlineLvl w:val="1"/>
    </w:pPr>
    <w:rPr>
      <w:sz w:val="28"/>
      <w:szCs w:val="40"/>
    </w:rPr>
  </w:style>
  <w:style w:type="paragraph" w:styleId="Heading3">
    <w:name w:val="heading 3"/>
    <w:basedOn w:val="HeadingBase"/>
    <w:next w:val="BodyText"/>
    <w:link w:val="Heading3Char"/>
    <w:qFormat/>
    <w:rsid w:val="007E26FF"/>
    <w:pPr>
      <w:spacing w:before="180" w:after="120"/>
      <w:outlineLvl w:val="2"/>
    </w:pPr>
    <w:rPr>
      <w:spacing w:val="-10"/>
      <w:kern w:val="32"/>
    </w:rPr>
  </w:style>
  <w:style w:type="paragraph" w:styleId="Heading4">
    <w:name w:val="heading 4"/>
    <w:basedOn w:val="HeadingBase"/>
    <w:next w:val="BodyText"/>
    <w:link w:val="Heading4Char"/>
    <w:qFormat/>
    <w:rsid w:val="007E26FF"/>
    <w:pPr>
      <w:spacing w:before="160" w:after="120"/>
      <w:outlineLvl w:val="3"/>
    </w:pPr>
    <w:rPr>
      <w:sz w:val="22"/>
    </w:rPr>
  </w:style>
  <w:style w:type="paragraph" w:styleId="Heading5">
    <w:name w:val="heading 5"/>
    <w:basedOn w:val="HeadingBase"/>
    <w:next w:val="Normal"/>
    <w:link w:val="Heading5Char"/>
    <w:qFormat/>
    <w:rsid w:val="007E26FF"/>
    <w:pPr>
      <w:spacing w:before="80"/>
      <w:outlineLvl w:val="4"/>
    </w:pPr>
    <w:rPr>
      <w:color w:val="918585"/>
      <w:sz w:val="20"/>
    </w:rPr>
  </w:style>
  <w:style w:type="paragraph" w:styleId="Heading6">
    <w:name w:val="heading 6"/>
    <w:basedOn w:val="HeadingBase"/>
    <w:next w:val="Normal"/>
    <w:link w:val="Heading6Char"/>
    <w:qFormat/>
    <w:rsid w:val="007E26FF"/>
    <w:pPr>
      <w:spacing w:before="60"/>
      <w:outlineLvl w:val="5"/>
    </w:pPr>
    <w:rPr>
      <w:color w:val="918585"/>
      <w:sz w:val="20"/>
    </w:rPr>
  </w:style>
  <w:style w:type="paragraph" w:styleId="Heading7">
    <w:name w:val="heading 7"/>
    <w:basedOn w:val="Normal"/>
    <w:next w:val="Normal"/>
    <w:link w:val="Heading7Char"/>
    <w:qFormat/>
    <w:rsid w:val="007E26FF"/>
    <w:pPr>
      <w:ind w:left="720"/>
      <w:outlineLvl w:val="6"/>
    </w:pPr>
    <w:rPr>
      <w:i/>
    </w:rPr>
  </w:style>
  <w:style w:type="paragraph" w:styleId="Heading8">
    <w:name w:val="heading 8"/>
    <w:basedOn w:val="Normal"/>
    <w:next w:val="Normal"/>
    <w:link w:val="Heading8Char"/>
    <w:qFormat/>
    <w:rsid w:val="007E26FF"/>
    <w:pPr>
      <w:ind w:left="720"/>
      <w:outlineLvl w:val="7"/>
    </w:pPr>
    <w:rPr>
      <w:i/>
    </w:rPr>
  </w:style>
  <w:style w:type="paragraph" w:styleId="Heading9">
    <w:name w:val="heading 9"/>
    <w:basedOn w:val="Normal"/>
    <w:next w:val="Normal"/>
    <w:link w:val="Heading9Char"/>
    <w:qFormat/>
    <w:rsid w:val="007E26FF"/>
    <w:pPr>
      <w:ind w:left="720"/>
      <w:outlineLvl w:val="8"/>
    </w:pPr>
    <w:rPr>
      <w:i/>
    </w:rPr>
  </w:style>
  <w:style w:type="character" w:default="1" w:styleId="DefaultParagraphFont">
    <w:name w:val="Default Paragraph Font"/>
    <w:uiPriority w:val="1"/>
    <w:unhideWhenUsed/>
    <w:rsid w:val="007E2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6FF"/>
  </w:style>
  <w:style w:type="character" w:customStyle="1" w:styleId="Heading1Char">
    <w:name w:val="Heading 1 Char"/>
    <w:link w:val="Heading1"/>
    <w:rsid w:val="007E26FF"/>
    <w:rPr>
      <w:rFonts w:ascii="Times New Roman" w:eastAsia="Times New Roman" w:hAnsi="Times New Roman" w:cs="Times New Roman"/>
      <w:b/>
      <w:sz w:val="32"/>
      <w:szCs w:val="20"/>
      <w:lang w:eastAsia="en-US"/>
    </w:rPr>
  </w:style>
  <w:style w:type="paragraph" w:styleId="BodyText">
    <w:name w:val="Body Text"/>
    <w:basedOn w:val="Normal"/>
    <w:link w:val="BodyTextChar"/>
    <w:rsid w:val="007E26FF"/>
    <w:pPr>
      <w:spacing w:before="120" w:after="120"/>
      <w:contextualSpacing/>
    </w:pPr>
    <w:rPr>
      <w:rFonts w:ascii="Times New Roman" w:hAnsi="Times New Roman"/>
      <w:sz w:val="24"/>
      <w:szCs w:val="22"/>
    </w:rPr>
  </w:style>
  <w:style w:type="character" w:customStyle="1" w:styleId="BodyTextChar">
    <w:name w:val="Body Text Char"/>
    <w:link w:val="BodyText"/>
    <w:rsid w:val="007E26FF"/>
    <w:rPr>
      <w:rFonts w:ascii="Times New Roman" w:eastAsia="Times New Roman" w:hAnsi="Times New Roman" w:cs="Times New Roman"/>
      <w:sz w:val="24"/>
      <w:lang w:val="en-US" w:eastAsia="en-US"/>
    </w:rPr>
  </w:style>
  <w:style w:type="paragraph" w:styleId="Footer">
    <w:name w:val="footer"/>
    <w:basedOn w:val="Normal"/>
    <w:link w:val="FooterChar"/>
    <w:rsid w:val="007E2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26FF"/>
    <w:rPr>
      <w:rFonts w:ascii="Times New Roman" w:eastAsia="Times New Roman" w:hAnsi="Times New Roman" w:cs="Times New Roman"/>
      <w:sz w:val="16"/>
      <w:lang w:val="en-US" w:eastAsia="en-US"/>
    </w:rPr>
  </w:style>
  <w:style w:type="paragraph" w:styleId="List">
    <w:name w:val="List"/>
    <w:basedOn w:val="BodyText"/>
    <w:next w:val="BodyText"/>
    <w:rsid w:val="007E26FF"/>
    <w:pPr>
      <w:tabs>
        <w:tab w:val="left" w:pos="340"/>
      </w:tabs>
      <w:spacing w:before="60" w:after="60"/>
      <w:ind w:left="340" w:hanging="340"/>
    </w:pPr>
  </w:style>
  <w:style w:type="paragraph" w:styleId="ListBullet">
    <w:name w:val="List Bullet"/>
    <w:basedOn w:val="List"/>
    <w:rsid w:val="007E26FF"/>
    <w:pPr>
      <w:numPr>
        <w:numId w:val="13"/>
      </w:numPr>
      <w:tabs>
        <w:tab w:val="clear" w:pos="340"/>
      </w:tabs>
      <w:spacing w:before="40" w:after="40"/>
    </w:pPr>
  </w:style>
  <w:style w:type="character" w:customStyle="1" w:styleId="SpecialBold">
    <w:name w:val="Special Bold"/>
    <w:rsid w:val="007E26FF"/>
    <w:rPr>
      <w:b/>
      <w:spacing w:val="0"/>
    </w:rPr>
  </w:style>
  <w:style w:type="paragraph" w:styleId="ListBullet2">
    <w:name w:val="List Bullet 2"/>
    <w:basedOn w:val="List2"/>
    <w:rsid w:val="007E26FF"/>
    <w:pPr>
      <w:numPr>
        <w:numId w:val="14"/>
      </w:numPr>
      <w:tabs>
        <w:tab w:val="clear" w:pos="680"/>
      </w:tabs>
    </w:pPr>
  </w:style>
  <w:style w:type="paragraph" w:styleId="Header">
    <w:name w:val="header"/>
    <w:basedOn w:val="Normal"/>
    <w:link w:val="HeaderChar"/>
    <w:rsid w:val="007E2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26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26FF"/>
    <w:pPr>
      <w:spacing w:before="240" w:after="120"/>
      <w:outlineLvl w:val="0"/>
    </w:pPr>
    <w:rPr>
      <w:rFonts w:ascii="Times New Roman" w:hAnsi="Times New Roman"/>
      <w:b/>
      <w:sz w:val="28"/>
    </w:rPr>
  </w:style>
  <w:style w:type="paragraph" w:customStyle="1" w:styleId="AllowPageBreak">
    <w:name w:val="AllowPageBreak"/>
    <w:rsid w:val="007E26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26FF"/>
    <w:pPr>
      <w:tabs>
        <w:tab w:val="left" w:pos="680"/>
      </w:tabs>
      <w:spacing w:before="60" w:after="60"/>
      <w:ind w:left="680" w:hanging="340"/>
    </w:pPr>
  </w:style>
  <w:style w:type="character" w:customStyle="1" w:styleId="BoldandItalics">
    <w:name w:val="Bold and Italics"/>
    <w:qFormat/>
    <w:rsid w:val="007E26FF"/>
    <w:rPr>
      <w:b/>
      <w:i/>
      <w:u w:val="none"/>
    </w:rPr>
  </w:style>
  <w:style w:type="character" w:customStyle="1" w:styleId="Heading2Char">
    <w:name w:val="Heading 2 Char"/>
    <w:link w:val="Heading2"/>
    <w:rsid w:val="007E26FF"/>
    <w:rPr>
      <w:rFonts w:ascii="Times New Roman" w:eastAsia="Times New Roman" w:hAnsi="Times New Roman" w:cs="Times New Roman"/>
      <w:b/>
      <w:sz w:val="28"/>
      <w:szCs w:val="40"/>
      <w:lang w:eastAsia="en-US"/>
    </w:rPr>
  </w:style>
  <w:style w:type="character" w:customStyle="1" w:styleId="Heading3Char">
    <w:name w:val="Heading 3 Char"/>
    <w:link w:val="Heading3"/>
    <w:rsid w:val="007E26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26FF"/>
    <w:rPr>
      <w:rFonts w:ascii="Times New Roman" w:eastAsia="Times New Roman" w:hAnsi="Times New Roman" w:cs="Times New Roman"/>
      <w:b/>
      <w:szCs w:val="20"/>
      <w:lang w:eastAsia="en-US"/>
    </w:rPr>
  </w:style>
  <w:style w:type="character" w:customStyle="1" w:styleId="Heading5Char">
    <w:name w:val="Heading 5 Char"/>
    <w:link w:val="Heading5"/>
    <w:rsid w:val="007E26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2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6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6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6FF"/>
    <w:rPr>
      <w:rFonts w:ascii="Courier New" w:eastAsia="Times New Roman" w:hAnsi="Courier New" w:cs="Times New Roman"/>
      <w:i/>
      <w:szCs w:val="20"/>
      <w:lang w:val="en-US" w:eastAsia="en-US"/>
    </w:rPr>
  </w:style>
  <w:style w:type="paragraph" w:customStyle="1" w:styleId="HeadingBase">
    <w:name w:val="Heading Base"/>
    <w:rsid w:val="007E2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6FF"/>
    <w:pPr>
      <w:tabs>
        <w:tab w:val="right" w:leader="dot" w:pos="9072"/>
      </w:tabs>
      <w:ind w:left="567"/>
    </w:pPr>
    <w:rPr>
      <w:szCs w:val="22"/>
    </w:rPr>
  </w:style>
  <w:style w:type="paragraph" w:customStyle="1" w:styleId="TOCBase">
    <w:name w:val="TOC Base"/>
    <w:rsid w:val="007E2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6FF"/>
    <w:pPr>
      <w:tabs>
        <w:tab w:val="right" w:leader="dot" w:pos="9072"/>
      </w:tabs>
      <w:spacing w:before="40" w:after="40"/>
      <w:ind w:left="284"/>
    </w:pPr>
    <w:rPr>
      <w:rFonts w:ascii="Times New Roman" w:hAnsi="Times New Roman"/>
    </w:rPr>
  </w:style>
  <w:style w:type="paragraph" w:styleId="TOC1">
    <w:name w:val="toc 1"/>
    <w:basedOn w:val="TOCBase"/>
    <w:next w:val="Normal"/>
    <w:rsid w:val="007E26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6FF"/>
    <w:pPr>
      <w:spacing w:before="5040"/>
      <w:jc w:val="center"/>
    </w:pPr>
    <w:rPr>
      <w:sz w:val="48"/>
      <w:szCs w:val="72"/>
      <w:lang w:val="en-US"/>
    </w:rPr>
  </w:style>
  <w:style w:type="character" w:customStyle="1" w:styleId="TitleChar">
    <w:name w:val="Title Char"/>
    <w:link w:val="Title"/>
    <w:rsid w:val="007E2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6FF"/>
    <w:pPr>
      <w:tabs>
        <w:tab w:val="left" w:pos="3600"/>
        <w:tab w:val="left" w:pos="3958"/>
      </w:tabs>
    </w:pPr>
  </w:style>
  <w:style w:type="paragraph" w:customStyle="1" w:styleId="Note">
    <w:name w:val="Note"/>
    <w:basedOn w:val="BodyText"/>
    <w:rsid w:val="007E2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6FF"/>
    <w:pPr>
      <w:framePr w:wrap="auto" w:hAnchor="text" w:y="6049"/>
    </w:pPr>
    <w:rPr>
      <w:color w:val="000000"/>
      <w:sz w:val="40"/>
    </w:rPr>
  </w:style>
  <w:style w:type="paragraph" w:customStyle="1" w:styleId="TOCTitle">
    <w:name w:val="TOCTitle"/>
    <w:basedOn w:val="Heading1"/>
    <w:rsid w:val="007E26FF"/>
    <w:pPr>
      <w:spacing w:after="240"/>
      <w:jc w:val="center"/>
      <w:outlineLvl w:val="9"/>
    </w:pPr>
    <w:rPr>
      <w:caps/>
    </w:rPr>
  </w:style>
  <w:style w:type="paragraph" w:customStyle="1" w:styleId="Version">
    <w:name w:val="Version"/>
    <w:rsid w:val="007E2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6FF"/>
    <w:pPr>
      <w:keepNext w:val="0"/>
      <w:tabs>
        <w:tab w:val="right" w:pos="4176"/>
      </w:tabs>
      <w:ind w:left="198" w:hanging="198"/>
    </w:pPr>
    <w:rPr>
      <w:rFonts w:ascii="Garamond" w:hAnsi="Garamond"/>
    </w:rPr>
  </w:style>
  <w:style w:type="paragraph" w:styleId="IndexHeading">
    <w:name w:val="index heading"/>
    <w:basedOn w:val="Normal"/>
    <w:next w:val="Index1"/>
    <w:semiHidden/>
    <w:rsid w:val="007E26FF"/>
    <w:pPr>
      <w:spacing w:before="120" w:after="120"/>
    </w:pPr>
    <w:rPr>
      <w:rFonts w:ascii="Arial" w:hAnsi="Arial"/>
      <w:b/>
      <w:color w:val="918585"/>
      <w:sz w:val="24"/>
    </w:rPr>
  </w:style>
  <w:style w:type="paragraph" w:customStyle="1" w:styleId="Chapter">
    <w:name w:val="Chapter"/>
    <w:basedOn w:val="Normal"/>
    <w:rsid w:val="007E26FF"/>
    <w:pPr>
      <w:spacing w:before="240"/>
    </w:pPr>
    <w:rPr>
      <w:rFonts w:ascii="Times New Roman" w:hAnsi="Times New Roman"/>
      <w:smallCaps/>
      <w:spacing w:val="80"/>
      <w:sz w:val="28"/>
    </w:rPr>
  </w:style>
  <w:style w:type="paragraph" w:customStyle="1" w:styleId="InChapter">
    <w:name w:val="InChapter"/>
    <w:basedOn w:val="Heading3"/>
    <w:rsid w:val="007E26FF"/>
    <w:pPr>
      <w:spacing w:after="240"/>
      <w:outlineLvl w:val="9"/>
    </w:pPr>
    <w:rPr>
      <w:noProof/>
    </w:rPr>
  </w:style>
  <w:style w:type="paragraph" w:styleId="Index2">
    <w:name w:val="index 2"/>
    <w:basedOn w:val="Normal"/>
    <w:next w:val="Normal"/>
    <w:semiHidden/>
    <w:rsid w:val="007E26FF"/>
    <w:pPr>
      <w:tabs>
        <w:tab w:val="right" w:pos="4176"/>
      </w:tabs>
      <w:ind w:left="568" w:hanging="284"/>
    </w:pPr>
    <w:rPr>
      <w:rFonts w:ascii="Garamond" w:hAnsi="Garamond"/>
    </w:rPr>
  </w:style>
  <w:style w:type="paragraph" w:customStyle="1" w:styleId="Byline">
    <w:name w:val="Byline"/>
    <w:rsid w:val="007E2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6FF"/>
    <w:pPr>
      <w:tabs>
        <w:tab w:val="clear" w:pos="3600"/>
        <w:tab w:val="clear" w:pos="3958"/>
      </w:tabs>
      <w:jc w:val="right"/>
    </w:pPr>
  </w:style>
  <w:style w:type="character" w:styleId="Emphasis">
    <w:name w:val="Emphasis"/>
    <w:qFormat/>
    <w:rsid w:val="007E26FF"/>
    <w:rPr>
      <w:i/>
    </w:rPr>
  </w:style>
  <w:style w:type="paragraph" w:styleId="Caption">
    <w:name w:val="caption"/>
    <w:basedOn w:val="BodyText"/>
    <w:next w:val="Normal"/>
    <w:qFormat/>
    <w:rsid w:val="007E26FF"/>
    <w:pPr>
      <w:framePr w:w="2268" w:hSpace="181" w:vSpace="181" w:wrap="around" w:vAnchor="text" w:hAnchor="page" w:x="1135" w:y="285" w:anchorLock="1"/>
    </w:pPr>
    <w:rPr>
      <w:i/>
    </w:rPr>
  </w:style>
  <w:style w:type="paragraph" w:customStyle="1" w:styleId="MiniTOCTitle">
    <w:name w:val="MiniTOCTitle"/>
    <w:basedOn w:val="Heading4"/>
    <w:rsid w:val="007E26FF"/>
    <w:pPr>
      <w:spacing w:before="240"/>
      <w:outlineLvl w:val="9"/>
    </w:pPr>
    <w:rPr>
      <w:noProof/>
      <w:sz w:val="24"/>
    </w:rPr>
  </w:style>
  <w:style w:type="paragraph" w:customStyle="1" w:styleId="MiniTOCItem">
    <w:name w:val="MiniTOCItem"/>
    <w:basedOn w:val="ListBullet"/>
    <w:rsid w:val="007E26FF"/>
    <w:pPr>
      <w:numPr>
        <w:numId w:val="0"/>
      </w:numPr>
      <w:tabs>
        <w:tab w:val="right" w:leader="dot" w:pos="6521"/>
      </w:tabs>
      <w:spacing w:before="0" w:after="0"/>
    </w:pPr>
  </w:style>
  <w:style w:type="paragraph" w:customStyle="1" w:styleId="TOFTitle">
    <w:name w:val="TOFTitle"/>
    <w:basedOn w:val="TOCTitle"/>
    <w:rsid w:val="007E26FF"/>
  </w:style>
  <w:style w:type="paragraph" w:styleId="TableofFigures">
    <w:name w:val="table of figures"/>
    <w:basedOn w:val="Normal"/>
    <w:next w:val="Normal"/>
    <w:semiHidden/>
    <w:rsid w:val="007E26FF"/>
    <w:pPr>
      <w:tabs>
        <w:tab w:val="right" w:leader="dot" w:pos="9072"/>
      </w:tabs>
      <w:ind w:left="970" w:hanging="403"/>
    </w:pPr>
    <w:rPr>
      <w:rFonts w:ascii="Times New Roman" w:hAnsi="Times New Roman"/>
      <w:b/>
    </w:rPr>
  </w:style>
  <w:style w:type="paragraph" w:styleId="ListNumber">
    <w:name w:val="List Number"/>
    <w:basedOn w:val="List"/>
    <w:rsid w:val="007E26FF"/>
    <w:pPr>
      <w:numPr>
        <w:numId w:val="11"/>
      </w:numPr>
    </w:pPr>
  </w:style>
  <w:style w:type="character" w:customStyle="1" w:styleId="WingdingSymbols">
    <w:name w:val="Wingding Symbols"/>
    <w:rsid w:val="007E26FF"/>
    <w:rPr>
      <w:rFonts w:ascii="Wingdings" w:hAnsi="Wingdings"/>
    </w:rPr>
  </w:style>
  <w:style w:type="paragraph" w:customStyle="1" w:styleId="TableHeading">
    <w:name w:val="Table Heading"/>
    <w:basedOn w:val="HeadingBase"/>
    <w:rsid w:val="007E26FF"/>
    <w:pPr>
      <w:keepLines/>
      <w:pBdr>
        <w:bottom w:val="single" w:sz="6" w:space="1" w:color="918585"/>
      </w:pBdr>
      <w:spacing w:before="240"/>
    </w:pPr>
  </w:style>
  <w:style w:type="character" w:customStyle="1" w:styleId="HotSpot">
    <w:name w:val="HotSpot"/>
    <w:rsid w:val="007E26FF"/>
    <w:rPr>
      <w:color w:val="0033CC"/>
      <w:u w:val="none"/>
    </w:rPr>
  </w:style>
  <w:style w:type="paragraph" w:customStyle="1" w:styleId="BodyTextRight">
    <w:name w:val="Body Text Right"/>
    <w:basedOn w:val="BodyText"/>
    <w:rsid w:val="007E26FF"/>
    <w:pPr>
      <w:spacing w:before="0" w:after="0"/>
      <w:jc w:val="right"/>
    </w:pPr>
  </w:style>
  <w:style w:type="paragraph" w:styleId="Index3">
    <w:name w:val="index 3"/>
    <w:basedOn w:val="ListNumber2"/>
    <w:next w:val="Normal"/>
    <w:semiHidden/>
    <w:rsid w:val="007E26FF"/>
    <w:pPr>
      <w:numPr>
        <w:numId w:val="0"/>
      </w:numPr>
      <w:tabs>
        <w:tab w:val="right" w:leader="dot" w:pos="4176"/>
      </w:tabs>
    </w:pPr>
  </w:style>
  <w:style w:type="paragraph" w:styleId="ListNumber2">
    <w:name w:val="List Number 2"/>
    <w:basedOn w:val="List2"/>
    <w:rsid w:val="007E26FF"/>
    <w:pPr>
      <w:numPr>
        <w:numId w:val="10"/>
      </w:numPr>
      <w:tabs>
        <w:tab w:val="clear" w:pos="1060"/>
      </w:tabs>
    </w:pPr>
  </w:style>
  <w:style w:type="paragraph" w:customStyle="1" w:styleId="MarginNote">
    <w:name w:val="Margin Note"/>
    <w:basedOn w:val="BodyText"/>
    <w:rsid w:val="007E2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26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6FF"/>
    <w:rPr>
      <w:sz w:val="32"/>
    </w:rPr>
  </w:style>
  <w:style w:type="paragraph" w:customStyle="1" w:styleId="HeadingProcedure">
    <w:name w:val="Heading Procedure"/>
    <w:basedOn w:val="HeadingBase"/>
    <w:next w:val="Normal"/>
    <w:rsid w:val="007E26FF"/>
    <w:pPr>
      <w:tabs>
        <w:tab w:val="left" w:pos="0"/>
      </w:tabs>
      <w:spacing w:before="120" w:after="60"/>
    </w:pPr>
    <w:rPr>
      <w:i/>
      <w:color w:val="918585"/>
      <w:sz w:val="22"/>
    </w:rPr>
  </w:style>
  <w:style w:type="paragraph" w:customStyle="1" w:styleId="TableBodyText">
    <w:name w:val="Table Body Text"/>
    <w:basedOn w:val="BodyText"/>
    <w:rsid w:val="007E26FF"/>
    <w:pPr>
      <w:spacing w:before="60" w:after="60"/>
    </w:pPr>
  </w:style>
  <w:style w:type="paragraph" w:styleId="ListContinue">
    <w:name w:val="List Continue"/>
    <w:basedOn w:val="List"/>
    <w:rsid w:val="007E26FF"/>
    <w:pPr>
      <w:ind w:firstLine="0"/>
    </w:pPr>
  </w:style>
  <w:style w:type="paragraph" w:customStyle="1" w:styleId="ListNote">
    <w:name w:val="List Note"/>
    <w:basedOn w:val="List"/>
    <w:rsid w:val="007E26FF"/>
    <w:pPr>
      <w:pBdr>
        <w:top w:val="single" w:sz="6" w:space="2" w:color="918585"/>
        <w:bottom w:val="single" w:sz="6" w:space="2" w:color="918585"/>
      </w:pBdr>
      <w:tabs>
        <w:tab w:val="left" w:pos="1021"/>
      </w:tabs>
      <w:ind w:firstLine="0"/>
    </w:pPr>
  </w:style>
  <w:style w:type="paragraph" w:customStyle="1" w:styleId="Warning">
    <w:name w:val="Warning"/>
    <w:basedOn w:val="BodyText"/>
    <w:rsid w:val="007E26FF"/>
    <w:pPr>
      <w:shd w:val="clear" w:color="auto" w:fill="D9D9D9"/>
      <w:tabs>
        <w:tab w:val="left" w:pos="992"/>
      </w:tabs>
      <w:ind w:left="119" w:right="119"/>
    </w:pPr>
    <w:rPr>
      <w:sz w:val="20"/>
    </w:rPr>
  </w:style>
  <w:style w:type="paragraph" w:customStyle="1" w:styleId="MarginIcons">
    <w:name w:val="Margin Icons"/>
    <w:basedOn w:val="BodyText"/>
    <w:rsid w:val="007E26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26FF"/>
    <w:rPr>
      <w:rFonts w:ascii="Courier New" w:hAnsi="Courier New"/>
    </w:rPr>
  </w:style>
  <w:style w:type="paragraph" w:customStyle="1" w:styleId="NoteBullet">
    <w:name w:val="Note Bullet"/>
    <w:basedOn w:val="Note"/>
    <w:rsid w:val="007E26FF"/>
    <w:pPr>
      <w:tabs>
        <w:tab w:val="clear" w:pos="680"/>
      </w:tabs>
      <w:spacing w:before="60" w:after="60"/>
    </w:pPr>
  </w:style>
  <w:style w:type="paragraph" w:customStyle="1" w:styleId="SubHeading2">
    <w:name w:val="SubHeading2"/>
    <w:basedOn w:val="HeadingBase"/>
    <w:rsid w:val="007E26FF"/>
    <w:pPr>
      <w:spacing w:before="240" w:after="60"/>
    </w:pPr>
    <w:rPr>
      <w:sz w:val="20"/>
    </w:rPr>
  </w:style>
  <w:style w:type="paragraph" w:customStyle="1" w:styleId="SubHeading1">
    <w:name w:val="SubHeading1"/>
    <w:basedOn w:val="HeadingBase"/>
    <w:rsid w:val="007E26FF"/>
    <w:pPr>
      <w:spacing w:before="240" w:after="60"/>
    </w:pPr>
    <w:rPr>
      <w:color w:val="918585"/>
      <w:sz w:val="22"/>
    </w:rPr>
  </w:style>
  <w:style w:type="paragraph" w:customStyle="1" w:styleId="SideHeading">
    <w:name w:val="Side Heading"/>
    <w:basedOn w:val="HeadingBase"/>
    <w:rsid w:val="007E2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6FF"/>
    <w:pPr>
      <w:numPr>
        <w:numId w:val="12"/>
      </w:numPr>
    </w:pPr>
  </w:style>
  <w:style w:type="paragraph" w:styleId="PlainText">
    <w:name w:val="Plain Text"/>
    <w:basedOn w:val="Normal"/>
    <w:link w:val="PlainTextChar"/>
    <w:rsid w:val="007E26FF"/>
    <w:rPr>
      <w:sz w:val="20"/>
    </w:rPr>
  </w:style>
  <w:style w:type="character" w:customStyle="1" w:styleId="PlainTextChar">
    <w:name w:val="Plain Text Char"/>
    <w:basedOn w:val="DefaultParagraphFont"/>
    <w:link w:val="PlainText"/>
    <w:rsid w:val="007E26FF"/>
    <w:rPr>
      <w:rFonts w:ascii="Courier New" w:eastAsia="Times New Roman" w:hAnsi="Courier New" w:cs="Times New Roman"/>
      <w:sz w:val="20"/>
      <w:szCs w:val="20"/>
      <w:lang w:val="en-US" w:eastAsia="en-US"/>
    </w:rPr>
  </w:style>
  <w:style w:type="character" w:customStyle="1" w:styleId="MenuOption">
    <w:name w:val="Menu Option"/>
    <w:rsid w:val="007E26FF"/>
    <w:rPr>
      <w:b/>
      <w:smallCaps/>
    </w:rPr>
  </w:style>
  <w:style w:type="paragraph" w:customStyle="1" w:styleId="TableListNumber">
    <w:name w:val="Table List Number"/>
    <w:basedOn w:val="ListNumber"/>
    <w:rsid w:val="007E26FF"/>
    <w:pPr>
      <w:numPr>
        <w:numId w:val="0"/>
      </w:numPr>
    </w:pPr>
  </w:style>
  <w:style w:type="paragraph" w:styleId="TOC4">
    <w:name w:val="toc 4"/>
    <w:basedOn w:val="TOCBase"/>
    <w:next w:val="Normal"/>
    <w:semiHidden/>
    <w:rsid w:val="007E26FF"/>
    <w:pPr>
      <w:tabs>
        <w:tab w:val="right" w:leader="dot" w:pos="9071"/>
      </w:tabs>
      <w:ind w:left="1701"/>
    </w:pPr>
  </w:style>
  <w:style w:type="paragraph" w:customStyle="1" w:styleId="ListAlpha">
    <w:name w:val="List Alpha"/>
    <w:basedOn w:val="List"/>
    <w:rsid w:val="007E26FF"/>
    <w:pPr>
      <w:numPr>
        <w:numId w:val="9"/>
      </w:numPr>
    </w:pPr>
  </w:style>
  <w:style w:type="paragraph" w:customStyle="1" w:styleId="ListAlpha2">
    <w:name w:val="List Alpha 2"/>
    <w:basedOn w:val="List2"/>
    <w:rsid w:val="007E26FF"/>
    <w:pPr>
      <w:numPr>
        <w:numId w:val="8"/>
      </w:numPr>
    </w:pPr>
  </w:style>
  <w:style w:type="paragraph" w:styleId="List3">
    <w:name w:val="List 3"/>
    <w:basedOn w:val="BodyText"/>
    <w:rsid w:val="007E26FF"/>
    <w:pPr>
      <w:tabs>
        <w:tab w:val="left" w:pos="1021"/>
      </w:tabs>
      <w:spacing w:before="60" w:after="60"/>
      <w:ind w:left="1020" w:hanging="340"/>
    </w:pPr>
  </w:style>
  <w:style w:type="paragraph" w:styleId="List4">
    <w:name w:val="List 4"/>
    <w:basedOn w:val="BodyText"/>
    <w:rsid w:val="007E26FF"/>
    <w:pPr>
      <w:tabs>
        <w:tab w:val="left" w:pos="1361"/>
      </w:tabs>
      <w:spacing w:before="60" w:after="60"/>
      <w:ind w:left="1361" w:hanging="340"/>
    </w:pPr>
  </w:style>
  <w:style w:type="paragraph" w:styleId="List5">
    <w:name w:val="List 5"/>
    <w:basedOn w:val="BodyText"/>
    <w:rsid w:val="007E26FF"/>
    <w:pPr>
      <w:tabs>
        <w:tab w:val="left" w:pos="1701"/>
      </w:tabs>
      <w:spacing w:before="60" w:after="60"/>
      <w:ind w:left="1701" w:hanging="340"/>
    </w:pPr>
  </w:style>
  <w:style w:type="paragraph" w:styleId="ListBullet3">
    <w:name w:val="List Bullet 3"/>
    <w:basedOn w:val="List3"/>
    <w:rsid w:val="007E26FF"/>
    <w:pPr>
      <w:numPr>
        <w:numId w:val="15"/>
      </w:numPr>
      <w:tabs>
        <w:tab w:val="clear" w:pos="1021"/>
      </w:tabs>
      <w:ind w:left="1037" w:hanging="357"/>
    </w:pPr>
  </w:style>
  <w:style w:type="paragraph" w:styleId="ListBullet4">
    <w:name w:val="List Bullet 4"/>
    <w:basedOn w:val="List4"/>
    <w:rsid w:val="007E26FF"/>
    <w:pPr>
      <w:numPr>
        <w:numId w:val="3"/>
      </w:numPr>
    </w:pPr>
  </w:style>
  <w:style w:type="paragraph" w:styleId="ListBullet5">
    <w:name w:val="List Bullet 5"/>
    <w:basedOn w:val="List5"/>
    <w:rsid w:val="007E26FF"/>
    <w:pPr>
      <w:numPr>
        <w:numId w:val="4"/>
      </w:numPr>
    </w:pPr>
  </w:style>
  <w:style w:type="paragraph" w:styleId="ListContinue2">
    <w:name w:val="List Continue 2"/>
    <w:basedOn w:val="List2"/>
    <w:rsid w:val="007E26FF"/>
    <w:pPr>
      <w:ind w:firstLine="0"/>
    </w:pPr>
  </w:style>
  <w:style w:type="paragraph" w:styleId="ListContinue3">
    <w:name w:val="List Continue 3"/>
    <w:basedOn w:val="List3"/>
    <w:rsid w:val="007E26FF"/>
    <w:pPr>
      <w:ind w:left="1021" w:firstLine="0"/>
    </w:pPr>
  </w:style>
  <w:style w:type="paragraph" w:styleId="ListContinue4">
    <w:name w:val="List Continue 4"/>
    <w:basedOn w:val="List4"/>
    <w:rsid w:val="007E26FF"/>
    <w:pPr>
      <w:ind w:firstLine="0"/>
    </w:pPr>
  </w:style>
  <w:style w:type="paragraph" w:styleId="ListContinue5">
    <w:name w:val="List Continue 5"/>
    <w:basedOn w:val="List5"/>
    <w:rsid w:val="007E26FF"/>
    <w:pPr>
      <w:ind w:firstLine="0"/>
    </w:pPr>
  </w:style>
  <w:style w:type="paragraph" w:styleId="ListNumber3">
    <w:name w:val="List Number 3"/>
    <w:basedOn w:val="List3"/>
    <w:rsid w:val="007E26FF"/>
    <w:pPr>
      <w:numPr>
        <w:numId w:val="5"/>
      </w:numPr>
    </w:pPr>
  </w:style>
  <w:style w:type="paragraph" w:styleId="ListNumber4">
    <w:name w:val="List Number 4"/>
    <w:basedOn w:val="List4"/>
    <w:rsid w:val="007E26FF"/>
    <w:pPr>
      <w:numPr>
        <w:numId w:val="6"/>
      </w:numPr>
    </w:pPr>
  </w:style>
  <w:style w:type="paragraph" w:styleId="ListNumber5">
    <w:name w:val="List Number 5"/>
    <w:basedOn w:val="List5"/>
    <w:rsid w:val="007E26FF"/>
    <w:pPr>
      <w:numPr>
        <w:numId w:val="7"/>
      </w:numPr>
    </w:pPr>
  </w:style>
  <w:style w:type="paragraph" w:styleId="BlockText">
    <w:name w:val="Block Text"/>
    <w:basedOn w:val="Normal"/>
    <w:rsid w:val="007E26FF"/>
    <w:pPr>
      <w:spacing w:after="120"/>
      <w:ind w:left="1440" w:right="1440"/>
    </w:pPr>
  </w:style>
  <w:style w:type="character" w:customStyle="1" w:styleId="Subscript">
    <w:name w:val="Subscript"/>
    <w:rsid w:val="007E26FF"/>
    <w:rPr>
      <w:sz w:val="16"/>
      <w:vertAlign w:val="subscript"/>
    </w:rPr>
  </w:style>
  <w:style w:type="character" w:customStyle="1" w:styleId="Superscript">
    <w:name w:val="Superscript"/>
    <w:rsid w:val="007E26FF"/>
    <w:rPr>
      <w:sz w:val="16"/>
      <w:vertAlign w:val="superscript"/>
    </w:rPr>
  </w:style>
  <w:style w:type="character" w:customStyle="1" w:styleId="Symbols">
    <w:name w:val="Symbols"/>
    <w:rsid w:val="007E26FF"/>
    <w:rPr>
      <w:rFonts w:ascii="Symbol" w:hAnsi="Symbol"/>
    </w:rPr>
  </w:style>
  <w:style w:type="character" w:customStyle="1" w:styleId="MenuOptions">
    <w:name w:val="Menu Options"/>
    <w:rsid w:val="007E26FF"/>
    <w:rPr>
      <w:rFonts w:ascii="Arial Narrow" w:hAnsi="Arial Narrow"/>
      <w:smallCaps/>
    </w:rPr>
  </w:style>
  <w:style w:type="character" w:customStyle="1" w:styleId="Buttons">
    <w:name w:val="Buttons"/>
    <w:rsid w:val="007E26FF"/>
    <w:rPr>
      <w:b/>
    </w:rPr>
  </w:style>
  <w:style w:type="character" w:customStyle="1" w:styleId="Underlined">
    <w:name w:val="Underlined"/>
    <w:rsid w:val="007E26FF"/>
    <w:rPr>
      <w:u w:val="single"/>
    </w:rPr>
  </w:style>
  <w:style w:type="paragraph" w:customStyle="1" w:styleId="TableBodyTextRight">
    <w:name w:val="Table Body Text Right"/>
    <w:basedOn w:val="TableBodyText"/>
    <w:rsid w:val="007E26FF"/>
    <w:pPr>
      <w:widowControl w:val="0"/>
      <w:autoSpaceDE w:val="0"/>
      <w:autoSpaceDN w:val="0"/>
      <w:adjustRightInd w:val="0"/>
      <w:jc w:val="right"/>
    </w:pPr>
    <w:rPr>
      <w:rFonts w:cs="Arial"/>
      <w:szCs w:val="18"/>
    </w:rPr>
  </w:style>
  <w:style w:type="paragraph" w:customStyle="1" w:styleId="CopyrightText">
    <w:name w:val="Copyright Text"/>
    <w:basedOn w:val="BodyText"/>
    <w:rsid w:val="007E26FF"/>
    <w:rPr>
      <w:sz w:val="18"/>
    </w:rPr>
  </w:style>
  <w:style w:type="paragraph" w:customStyle="1" w:styleId="BodySmallRight">
    <w:name w:val="Body Small Right"/>
    <w:basedOn w:val="BodyTextRight"/>
    <w:rsid w:val="007E26FF"/>
    <w:rPr>
      <w:sz w:val="18"/>
      <w:szCs w:val="18"/>
    </w:rPr>
  </w:style>
  <w:style w:type="paragraph" w:customStyle="1" w:styleId="MarginEdition">
    <w:name w:val="Margin Edition"/>
    <w:basedOn w:val="MarginNote"/>
    <w:rsid w:val="007E26FF"/>
    <w:pPr>
      <w:spacing w:before="0" w:after="0"/>
    </w:pPr>
    <w:rPr>
      <w:rFonts w:ascii="Times New Roman" w:hAnsi="Times New Roman"/>
      <w:color w:val="999999"/>
    </w:rPr>
  </w:style>
  <w:style w:type="paragraph" w:customStyle="1" w:styleId="Spacer">
    <w:name w:val="Spacer"/>
    <w:basedOn w:val="Normal"/>
    <w:rsid w:val="007E26FF"/>
    <w:rPr>
      <w:sz w:val="2"/>
      <w:szCs w:val="2"/>
    </w:rPr>
  </w:style>
  <w:style w:type="character" w:customStyle="1" w:styleId="Small">
    <w:name w:val="Small"/>
    <w:rsid w:val="007E26FF"/>
    <w:rPr>
      <w:sz w:val="16"/>
    </w:rPr>
  </w:style>
  <w:style w:type="paragraph" w:customStyle="1" w:styleId="WideTable">
    <w:name w:val="Wide Table"/>
    <w:basedOn w:val="Normal"/>
    <w:rsid w:val="007E26FF"/>
    <w:pPr>
      <w:ind w:left="-1418"/>
    </w:pPr>
    <w:rPr>
      <w:sz w:val="2"/>
      <w:szCs w:val="2"/>
    </w:rPr>
  </w:style>
  <w:style w:type="character" w:styleId="PageNumber">
    <w:name w:val="page number"/>
    <w:rsid w:val="007E26FF"/>
  </w:style>
  <w:style w:type="paragraph" w:styleId="Quote">
    <w:name w:val="Quote"/>
    <w:basedOn w:val="Heading1"/>
    <w:link w:val="QuoteChar"/>
    <w:qFormat/>
    <w:rsid w:val="007E26FF"/>
    <w:rPr>
      <w:b w:val="0"/>
      <w:sz w:val="72"/>
      <w:szCs w:val="72"/>
      <w:lang w:val="en-NZ"/>
    </w:rPr>
  </w:style>
  <w:style w:type="character" w:customStyle="1" w:styleId="QuoteChar">
    <w:name w:val="Quote Char"/>
    <w:link w:val="Quote"/>
    <w:rsid w:val="007E2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6FF"/>
    <w:pPr>
      <w:pageBreakBefore/>
    </w:pPr>
  </w:style>
  <w:style w:type="paragraph" w:customStyle="1" w:styleId="Border">
    <w:name w:val="Border"/>
    <w:basedOn w:val="Normal"/>
    <w:qFormat/>
    <w:rsid w:val="007E26FF"/>
    <w:pPr>
      <w:pBdr>
        <w:top w:val="single" w:sz="18" w:space="1" w:color="auto"/>
      </w:pBdr>
    </w:pPr>
    <w:rPr>
      <w:rFonts w:ascii="Times New Roman" w:hAnsi="Times New Roman"/>
      <w:color w:val="FFFFFF"/>
      <w:sz w:val="2"/>
    </w:rPr>
  </w:style>
  <w:style w:type="character" w:styleId="IntenseEmphasis">
    <w:name w:val="Intense Emphasis"/>
    <w:uiPriority w:val="21"/>
    <w:qFormat/>
    <w:rsid w:val="007E26FF"/>
    <w:rPr>
      <w:b/>
      <w:bCs/>
      <w:i/>
      <w:iCs/>
      <w:color w:val="auto"/>
    </w:rPr>
  </w:style>
  <w:style w:type="paragraph" w:styleId="IntenseQuote">
    <w:name w:val="Intense Quote"/>
    <w:basedOn w:val="Normal"/>
    <w:next w:val="Normal"/>
    <w:link w:val="IntenseQuoteChar"/>
    <w:uiPriority w:val="30"/>
    <w:qFormat/>
    <w:rsid w:val="007E26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26FF"/>
    <w:rPr>
      <w:rFonts w:ascii="Courier New" w:eastAsia="Times New Roman" w:hAnsi="Courier New" w:cs="Times New Roman"/>
      <w:b/>
      <w:bCs/>
      <w:i/>
      <w:iCs/>
      <w:szCs w:val="20"/>
      <w:lang w:val="en-US" w:eastAsia="en-US"/>
    </w:rPr>
  </w:style>
  <w:style w:type="character" w:styleId="SubtleReference">
    <w:name w:val="Subtle Reference"/>
    <w:uiPriority w:val="31"/>
    <w:qFormat/>
    <w:rsid w:val="007E26FF"/>
    <w:rPr>
      <w:smallCaps/>
      <w:color w:val="auto"/>
      <w:u w:val="single"/>
    </w:rPr>
  </w:style>
  <w:style w:type="character" w:styleId="IntenseReference">
    <w:name w:val="Intense Reference"/>
    <w:uiPriority w:val="32"/>
    <w:qFormat/>
    <w:rsid w:val="007E26FF"/>
    <w:rPr>
      <w:b/>
      <w:bCs/>
      <w:smallCaps/>
      <w:color w:val="auto"/>
      <w:spacing w:val="5"/>
      <w:u w:val="single"/>
    </w:rPr>
  </w:style>
  <w:style w:type="paragraph" w:customStyle="1" w:styleId="2ColumnHeading">
    <w:name w:val="2Column Heading"/>
    <w:basedOn w:val="BodyText"/>
    <w:qFormat/>
    <w:rsid w:val="007E26FF"/>
    <w:pPr>
      <w:spacing w:after="60"/>
      <w:ind w:left="-2268"/>
    </w:pPr>
    <w:rPr>
      <w:b/>
    </w:rPr>
  </w:style>
  <w:style w:type="paragraph" w:customStyle="1" w:styleId="Heading1TOC">
    <w:name w:val="Heading1 TOC"/>
    <w:basedOn w:val="Normal"/>
    <w:qFormat/>
    <w:rsid w:val="007E26FF"/>
    <w:pPr>
      <w:spacing w:before="240" w:after="120"/>
    </w:pPr>
    <w:rPr>
      <w:rFonts w:ascii="Times New Roman" w:hAnsi="Times New Roman"/>
      <w:b/>
      <w:sz w:val="32"/>
    </w:rPr>
  </w:style>
  <w:style w:type="paragraph" w:customStyle="1" w:styleId="Heading2TOC">
    <w:name w:val="Heading2 TOC"/>
    <w:basedOn w:val="Normal"/>
    <w:qFormat/>
    <w:rsid w:val="007E26FF"/>
    <w:pPr>
      <w:spacing w:before="240" w:after="60"/>
    </w:pPr>
    <w:rPr>
      <w:rFonts w:ascii="Times New Roman" w:hAnsi="Times New Roman"/>
      <w:b/>
      <w:sz w:val="28"/>
    </w:rPr>
  </w:style>
  <w:style w:type="character" w:customStyle="1" w:styleId="Underline">
    <w:name w:val="Underline"/>
    <w:qFormat/>
    <w:rsid w:val="007E26FF"/>
    <w:rPr>
      <w:u w:val="single"/>
    </w:rPr>
  </w:style>
  <w:style w:type="paragraph" w:styleId="BalloonText">
    <w:name w:val="Balloon Text"/>
    <w:basedOn w:val="Normal"/>
    <w:link w:val="BalloonTextChar"/>
    <w:rsid w:val="007E26FF"/>
    <w:rPr>
      <w:rFonts w:ascii="Tahoma" w:hAnsi="Tahoma" w:cs="Tahoma"/>
      <w:sz w:val="16"/>
      <w:szCs w:val="16"/>
    </w:rPr>
  </w:style>
  <w:style w:type="character" w:customStyle="1" w:styleId="BalloonTextChar">
    <w:name w:val="Balloon Text Char"/>
    <w:link w:val="BalloonText"/>
    <w:rsid w:val="007E26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6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26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1470</Words>
  <Characters>9169</Characters>
  <Application>Microsoft Office Word</Application>
  <DocSecurity>0</DocSecurity>
  <Lines>309</Lines>
  <Paragraphs>146</Paragraphs>
  <ScaleCrop>false</ScaleCrop>
  <Company>Author-it Software Corporation Ltd.</Company>
  <LinksUpToDate>false</LinksUpToDate>
  <CharactersWithSpaces>10552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LMFFL2108A Select, operate and maintain shot blasting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2012-05-26T17:23:00Z</dcterms:modified>
</cp:coreProperties>
</file>