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32120" w:rsidP="00332120">
      <w:pPr>
        <w:pStyle w:val="Title"/>
      </w:pPr>
      <w:r>
        <w:fldChar w:fldCharType="begin"/>
      </w:r>
      <w:r>
        <w:instrText xml:space="preserve"> TITLE   \* MERGEFORMAT </w:instrText>
      </w:r>
      <w:r>
        <w:fldChar w:fldCharType="separate"/>
      </w:r>
      <w:r>
        <w:t>LGAREGS402B Provide evidence in court</w:t>
      </w:r>
      <w:r>
        <w:fldChar w:fldCharType="end"/>
      </w:r>
    </w:p>
    <w:p w:rsidR="00332120" w:rsidP="00332120">
      <w:pPr>
        <w:pStyle w:val="Version"/>
        <w:sectPr w:rsidSect="001A1A3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1A1A32" w:rsidP="001A1A32">
      <w:pPr>
        <w:pStyle w:val="SuperHeading"/>
      </w:pPr>
      <w:r w:rsidRPr="001A1A32">
        <w:t>LGAREGS402B Provide evidence in court</w:t>
      </w:r>
    </w:p>
    <w:p w:rsidR="00000000" w:rsidRPr="001A1A32" w:rsidP="001A1A32">
      <w:pPr>
        <w:pStyle w:val="SuperHeading"/>
      </w:pPr>
    </w:p>
    <w:p w:rsidR="00000000" w:rsidRPr="001A1A32" w:rsidP="001A1A32">
      <w:pPr>
        <w:pStyle w:val="Heading1"/>
      </w:pPr>
      <w:bookmarkStart w:id="1" w:name="O_442127"/>
      <w:bookmarkEnd w:id="1"/>
      <w:r w:rsidRPr="001A1A32">
        <w:t>Modification History</w:t>
      </w:r>
    </w:p>
    <w:p w:rsidR="00000000" w:rsidRPr="001A1A32" w:rsidP="001A1A32">
      <w:pPr>
        <w:pStyle w:val="BodyText"/>
      </w:pPr>
      <w:r w:rsidRPr="001A1A32">
        <w:t>LGAREGS402B Release 2:</w:t>
      </w:r>
      <w:r w:rsidRPr="001A1A32">
        <w:tab/>
        <w:t>Layout adjusted.</w:t>
      </w:r>
    </w:p>
    <w:p w:rsidR="00000000" w:rsidRPr="001A1A32" w:rsidP="001A1A32">
      <w:pPr>
        <w:pStyle w:val="BodyText"/>
      </w:pPr>
      <w:r w:rsidRPr="001A1A32">
        <w:t>LGAREGS402B Release 1:</w:t>
      </w:r>
      <w:r w:rsidRPr="001A1A32">
        <w:tab/>
        <w:t>Primary release.</w:t>
      </w:r>
    </w:p>
    <w:p w:rsidR="00000000" w:rsidRPr="001A1A32" w:rsidP="001A1A32">
      <w:pPr>
        <w:pStyle w:val="AllowPageBreak"/>
      </w:pPr>
    </w:p>
    <w:p w:rsidR="00000000" w:rsidRPr="001A1A32" w:rsidP="001A1A32">
      <w:pPr>
        <w:pStyle w:val="Heading1"/>
      </w:pPr>
      <w:bookmarkStart w:id="2" w:name="O_442123"/>
      <w:bookmarkEnd w:id="2"/>
      <w:r w:rsidRPr="001A1A32">
        <w:t>Unit Descriptor</w:t>
      </w:r>
    </w:p>
    <w:p w:rsidR="00000000" w:rsidRPr="001A1A32" w:rsidP="001A1A32">
      <w:pPr>
        <w:pStyle w:val="BodyText"/>
      </w:pPr>
      <w:r w:rsidRPr="001A1A32">
        <w:t>This unit covers the skills and knowledge required to present evidence in a judicial or quasi-judicial environment. It requires the ability to prepare for legal proceedings, present evidence and follow up outcomes of proceedings. Thi</w:t>
      </w:r>
      <w:r w:rsidRPr="001A1A32">
        <w:t xml:space="preserve">s work would be carried out under supervision and within council guidelines. </w:t>
      </w:r>
    </w:p>
    <w:p w:rsidR="00000000" w:rsidRPr="001A1A32" w:rsidP="001A1A32">
      <w:pPr>
        <w:pStyle w:val="BodyText"/>
      </w:pPr>
      <w:r w:rsidRPr="001A1A32">
        <w:t>This unit is derived from and equivalent to PRSSO208A from the Asset Security Training Package and has been contextualised to local government requirements.</w:t>
      </w:r>
    </w:p>
    <w:p w:rsidR="00000000" w:rsidRPr="001A1A32" w:rsidP="001A1A32">
      <w:pPr>
        <w:pStyle w:val="BodyText"/>
      </w:pPr>
      <w:r w:rsidRPr="001A1A32">
        <w:t>No licensing, legisla</w:t>
      </w:r>
      <w:r w:rsidRPr="001A1A32">
        <w:t>tive, regulatory or certification requirements apply to this unit at the time of publication.</w:t>
      </w:r>
    </w:p>
    <w:p w:rsidR="00000000" w:rsidRPr="001A1A32" w:rsidP="001A1A32">
      <w:pPr>
        <w:pStyle w:val="AllowPageBreak"/>
      </w:pPr>
    </w:p>
    <w:p w:rsidR="00000000" w:rsidRPr="001A1A32" w:rsidP="001A1A32">
      <w:pPr>
        <w:pStyle w:val="Heading1"/>
      </w:pPr>
      <w:bookmarkStart w:id="3" w:name="O_442136"/>
      <w:bookmarkEnd w:id="3"/>
      <w:r w:rsidRPr="001A1A32">
        <w:t>Application of the Unit</w:t>
      </w:r>
    </w:p>
    <w:p w:rsidR="00000000" w:rsidRPr="001A1A32" w:rsidP="001A1A32">
      <w:pPr>
        <w:pStyle w:val="BodyText"/>
      </w:pPr>
      <w:r w:rsidRPr="001A1A32">
        <w:t>This unit supports the attainment of skills and knowledge required for competent workplace performance in councils of all</w:t>
      </w:r>
      <w:r w:rsidRPr="001A1A32">
        <w:t xml:space="preserve"> sizes. Knowledge of the legislation and regulations within which councils must operate is essential. The unique nature of councils, as a tier of government directed by elected members and reflecting the needs of local communities, must be appropriately re</w:t>
      </w:r>
      <w:r w:rsidRPr="001A1A32">
        <w:t xml:space="preserve">flected. </w:t>
      </w:r>
    </w:p>
    <w:p w:rsidR="00000000" w:rsidRPr="001A1A32" w:rsidP="001A1A32">
      <w:pPr>
        <w:pStyle w:val="AllowPageBreak"/>
      </w:pPr>
    </w:p>
    <w:p w:rsidR="00000000" w:rsidRPr="001A1A32" w:rsidP="001A1A32">
      <w:pPr>
        <w:pStyle w:val="Heading1"/>
      </w:pPr>
      <w:bookmarkStart w:id="4" w:name="O_442128"/>
      <w:bookmarkEnd w:id="4"/>
      <w:r w:rsidRPr="001A1A32">
        <w:t>Licensing/Regulatory Information</w:t>
      </w:r>
    </w:p>
    <w:p w:rsidR="00000000" w:rsidRPr="001A1A32" w:rsidP="001A1A32">
      <w:pPr>
        <w:pStyle w:val="BodyText"/>
      </w:pPr>
      <w:r w:rsidRPr="001A1A32">
        <w:t>Not applicable.</w:t>
      </w:r>
    </w:p>
    <w:p w:rsidR="00000000" w:rsidRPr="001A1A32" w:rsidP="001A1A32">
      <w:pPr>
        <w:pStyle w:val="AllowPageBreak"/>
      </w:pPr>
    </w:p>
    <w:p w:rsidR="00000000" w:rsidRPr="001A1A32" w:rsidP="001A1A32">
      <w:pPr>
        <w:pStyle w:val="Heading1"/>
      </w:pPr>
      <w:bookmarkStart w:id="5" w:name="O_442126"/>
      <w:bookmarkEnd w:id="5"/>
      <w:r w:rsidRPr="001A1A32">
        <w:t>Pre-Requisites</w:t>
      </w:r>
    </w:p>
    <w:p w:rsidR="00000000" w:rsidRPr="001A1A32" w:rsidP="001A1A32">
      <w:pPr>
        <w:pStyle w:val="BodyText"/>
      </w:pPr>
      <w:r w:rsidRPr="001A1A32">
        <w:t xml:space="preserve">Not applicable. </w:t>
      </w:r>
    </w:p>
    <w:p w:rsidR="00000000" w:rsidRPr="001A1A32" w:rsidP="001A1A32">
      <w:pPr>
        <w:pStyle w:val="AllowPageBreak"/>
      </w:pPr>
    </w:p>
    <w:p w:rsidR="00000000" w:rsidRPr="001A1A32" w:rsidP="001A1A32">
      <w:pPr>
        <w:pStyle w:val="Heading1"/>
      </w:pPr>
      <w:bookmarkStart w:id="6" w:name="O_442131"/>
      <w:bookmarkEnd w:id="6"/>
      <w:r w:rsidRPr="001A1A32">
        <w:t>Employability Skills Information</w:t>
      </w:r>
    </w:p>
    <w:p w:rsidR="00000000" w:rsidRPr="001A1A32" w:rsidP="001A1A32">
      <w:pPr>
        <w:pStyle w:val="BodyText"/>
      </w:pPr>
      <w:r w:rsidRPr="001A1A32">
        <w:t>This unit contains employability skills.</w:t>
      </w:r>
    </w:p>
    <w:p w:rsidR="00000000" w:rsidRPr="001A1A32" w:rsidP="001A1A32">
      <w:pPr>
        <w:pStyle w:val="AllowPageBreak"/>
      </w:pPr>
    </w:p>
    <w:p w:rsidR="00000000" w:rsidRPr="001A1A32" w:rsidP="001A1A32">
      <w:pPr>
        <w:pStyle w:val="Heading1"/>
      </w:pPr>
      <w:bookmarkStart w:id="7" w:name="O_442132"/>
      <w:bookmarkEnd w:id="7"/>
      <w:r w:rsidRPr="001A1A32">
        <w:t>Elements and Performance Criteria Pre-Content</w:t>
      </w:r>
    </w:p>
    <w:tbl>
      <w:tblPr>
        <w:tblW w:w="0" w:type="auto"/>
        <w:tblLayout w:type="fixed"/>
        <w:tblCellMar>
          <w:left w:w="62" w:type="dxa"/>
          <w:right w:w="62" w:type="dxa"/>
        </w:tblCellMar>
        <w:tblLook w:val="0000"/>
      </w:tblPr>
      <w:tblGrid>
        <w:gridCol w:w="2700"/>
        <w:gridCol w:w="6228"/>
      </w:tblGrid>
      <w:tr w:rsidTr="0033212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1A1A32">
            <w:pPr>
              <w:pStyle w:val="BodyText"/>
              <w:rPr>
                <w:lang w:val="en-NZ"/>
              </w:rPr>
            </w:pPr>
            <w:r w:rsidRPr="001A1A32">
              <w:t>Elements describe the essential outcomes of a Unit of Competency</w:t>
            </w:r>
          </w:p>
        </w:tc>
        <w:tc>
          <w:tcPr>
            <w:tcW w:w="6228" w:type="dxa"/>
            <w:tcBorders>
              <w:top w:val="nil"/>
              <w:left w:val="nil"/>
              <w:bottom w:val="nil"/>
              <w:right w:val="nil"/>
            </w:tcBorders>
            <w:tcMar>
              <w:top w:w="0" w:type="dxa"/>
              <w:left w:w="62" w:type="dxa"/>
              <w:bottom w:w="0" w:type="dxa"/>
              <w:right w:w="62" w:type="dxa"/>
            </w:tcMar>
          </w:tcPr>
          <w:p w:rsidR="00000000" w:rsidRPr="001A1A32" w:rsidP="001A1A32">
            <w:pPr>
              <w:pStyle w:val="BodyText"/>
            </w:pPr>
            <w:r w:rsidRPr="001A1A32">
              <w:t xml:space="preserve">Performance criteria describe the required performance needed to demonstrate achievement of the element.  Where </w:t>
            </w:r>
            <w:r w:rsidRPr="001A1A32">
              <w:rPr>
                <w:rStyle w:val="BoldandItalics"/>
              </w:rPr>
              <w:t>bold italicised</w:t>
            </w:r>
            <w:r w:rsidRPr="001A1A32">
              <w:t xml:space="preserve"> text is used, fur</w:t>
            </w:r>
            <w:r w:rsidRPr="001A1A32">
              <w:t>ther information is detailed in the Range Statement.  Assessment of performance is to be consistent with the Evidence Guide.</w:t>
            </w:r>
          </w:p>
        </w:tc>
      </w:tr>
    </w:tbl>
    <w:p w:rsidR="00000000" w:rsidRPr="001A1A32" w:rsidP="001A1A32">
      <w:pPr>
        <w:pStyle w:val="BodyText"/>
      </w:pPr>
    </w:p>
    <w:p w:rsidR="00000000" w:rsidRPr="001A1A32" w:rsidP="001A1A32">
      <w:pPr>
        <w:pStyle w:val="AllowPageBreak"/>
      </w:pPr>
    </w:p>
    <w:p w:rsidR="00000000" w:rsidRPr="001A1A32" w:rsidP="001A1A32">
      <w:pPr>
        <w:pStyle w:val="Heading1"/>
      </w:pPr>
      <w:bookmarkStart w:id="8" w:name="O_442133"/>
      <w:bookmarkEnd w:id="8"/>
      <w:r w:rsidRPr="001A1A32">
        <w:t>Elements and Performance Criteria</w:t>
      </w:r>
    </w:p>
    <w:tbl>
      <w:tblPr>
        <w:tblW w:w="0" w:type="auto"/>
        <w:tblLayout w:type="fixed"/>
        <w:tblCellMar>
          <w:left w:w="62" w:type="dxa"/>
          <w:right w:w="62" w:type="dxa"/>
        </w:tblCellMar>
        <w:tblLook w:val="0000"/>
      </w:tblPr>
      <w:tblGrid>
        <w:gridCol w:w="2700"/>
        <w:gridCol w:w="6228"/>
      </w:tblGrid>
      <w:tr w:rsidTr="00332120">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A1A32" w:rsidP="001A1A32">
            <w:pPr>
              <w:pStyle w:val="BodyText"/>
            </w:pPr>
            <w:r w:rsidRPr="001A1A32">
              <w:rPr>
                <w:rStyle w:val="SpecialBold"/>
              </w:rPr>
              <w:t>ELEMENT</w:t>
            </w:r>
          </w:p>
        </w:tc>
        <w:tc>
          <w:tcPr>
            <w:tcW w:w="6228" w:type="dxa"/>
            <w:tcBorders>
              <w:top w:val="nil"/>
              <w:left w:val="nil"/>
              <w:bottom w:val="nil"/>
              <w:right w:val="nil"/>
            </w:tcBorders>
            <w:tcMar>
              <w:top w:w="0" w:type="dxa"/>
              <w:left w:w="62" w:type="dxa"/>
              <w:bottom w:w="0" w:type="dxa"/>
              <w:right w:w="62" w:type="dxa"/>
            </w:tcMar>
          </w:tcPr>
          <w:p w:rsidR="00000000" w:rsidP="001A1A32">
            <w:pPr>
              <w:pStyle w:val="BodyText"/>
              <w:rPr>
                <w:lang w:val="en-NZ"/>
              </w:rPr>
            </w:pPr>
            <w:r w:rsidRPr="001A1A32">
              <w:rPr>
                <w:rStyle w:val="SpecialBold"/>
              </w:rPr>
              <w:t>PERFORMANCE CRITERIA</w:t>
            </w:r>
          </w:p>
        </w:tc>
      </w:tr>
      <w:tr w:rsidTr="0033212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1A1A32">
            <w:pPr>
              <w:pStyle w:val="List"/>
              <w:rPr>
                <w:lang w:val="en-NZ"/>
              </w:rPr>
            </w:pPr>
            <w:r w:rsidRPr="001A1A32">
              <w:t>1</w:t>
            </w:r>
            <w:r w:rsidRPr="001A1A32">
              <w:tab/>
            </w:r>
            <w:r w:rsidRPr="001A1A32">
              <w:rPr>
                <w:rStyle w:val="SpecialBold"/>
              </w:rPr>
              <w:t>Prepare for court proceedings</w:t>
            </w:r>
          </w:p>
        </w:tc>
        <w:tc>
          <w:tcPr>
            <w:tcW w:w="6228" w:type="dxa"/>
            <w:tcBorders>
              <w:top w:val="nil"/>
              <w:left w:val="nil"/>
              <w:bottom w:val="nil"/>
              <w:right w:val="nil"/>
            </w:tcBorders>
            <w:tcMar>
              <w:top w:w="0" w:type="dxa"/>
              <w:left w:w="62" w:type="dxa"/>
              <w:bottom w:w="0" w:type="dxa"/>
              <w:right w:w="62" w:type="dxa"/>
            </w:tcMar>
          </w:tcPr>
          <w:p w:rsidR="00000000" w:rsidRPr="001A1A32" w:rsidP="001A1A32">
            <w:pPr>
              <w:pStyle w:val="List"/>
            </w:pPr>
            <w:r w:rsidRPr="001A1A32">
              <w:t>1.1</w:t>
            </w:r>
            <w:r w:rsidRPr="001A1A32">
              <w:tab/>
            </w:r>
            <w:r w:rsidRPr="001A1A32">
              <w:rPr>
                <w:rStyle w:val="BoldandItalics"/>
              </w:rPr>
              <w:t>Court arrangements</w:t>
            </w:r>
            <w:r w:rsidRPr="001A1A32">
              <w:t>, role and involvement in</w:t>
            </w:r>
            <w:r w:rsidRPr="001A1A32">
              <w:rPr>
                <w:rStyle w:val="BoldandItalics"/>
              </w:rPr>
              <w:t xml:space="preserve"> proceedings</w:t>
            </w:r>
            <w:r w:rsidRPr="001A1A32">
              <w:t xml:space="preserve"> are verified with appropriate persons.</w:t>
            </w:r>
          </w:p>
          <w:p w:rsidR="00000000" w:rsidRPr="001A1A32" w:rsidP="001A1A32">
            <w:pPr>
              <w:pStyle w:val="List"/>
            </w:pPr>
            <w:r w:rsidRPr="001A1A32">
              <w:t>1.2</w:t>
            </w:r>
            <w:r w:rsidRPr="001A1A32">
              <w:rPr>
                <w:rStyle w:val="BoldandItalics"/>
              </w:rPr>
              <w:tab/>
              <w:t>Documentation and exhibits</w:t>
            </w:r>
            <w:r w:rsidRPr="001A1A32">
              <w:t xml:space="preserve"> are prepared in accordance with </w:t>
            </w:r>
            <w:r w:rsidRPr="001A1A32">
              <w:rPr>
                <w:rStyle w:val="BoldandItalics"/>
              </w:rPr>
              <w:t>legislative and council requirements.</w:t>
            </w:r>
          </w:p>
          <w:p w:rsidR="00000000" w:rsidRPr="001A1A32" w:rsidP="001A1A32">
            <w:pPr>
              <w:pStyle w:val="List"/>
            </w:pPr>
            <w:r w:rsidRPr="001A1A32">
              <w:t>1.3</w:t>
            </w:r>
            <w:r w:rsidRPr="001A1A32">
              <w:tab/>
              <w:t>All material to be used or referred to in proceedings is</w:t>
            </w:r>
            <w:r w:rsidRPr="001A1A32">
              <w:t xml:space="preserve"> thoroughly reviewed prior to presentation in court to ensure familiarity, completeness and availability.</w:t>
            </w:r>
          </w:p>
          <w:p w:rsidR="00000000" w:rsidP="001A1A32">
            <w:pPr>
              <w:pStyle w:val="List"/>
              <w:rPr>
                <w:lang w:val="en-NZ"/>
              </w:rPr>
            </w:pPr>
            <w:r w:rsidRPr="001A1A32">
              <w:t>1.4</w:t>
            </w:r>
            <w:r w:rsidRPr="001A1A32">
              <w:tab/>
              <w:t xml:space="preserve">Personal presentation, manner and language are consistent with </w:t>
            </w:r>
            <w:r w:rsidRPr="001A1A32">
              <w:rPr>
                <w:rStyle w:val="BoldandItalics"/>
              </w:rPr>
              <w:t>court protocols</w:t>
            </w:r>
            <w:r w:rsidRPr="001A1A32">
              <w:t xml:space="preserve"> and council requirements.</w:t>
            </w:r>
          </w:p>
        </w:tc>
      </w:tr>
      <w:tr w:rsidTr="0033212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1A1A32">
            <w:pPr>
              <w:pStyle w:val="List"/>
              <w:rPr>
                <w:lang w:val="en-NZ"/>
              </w:rPr>
            </w:pPr>
            <w:r w:rsidRPr="001A1A32">
              <w:t>2</w:t>
            </w:r>
            <w:r w:rsidRPr="001A1A32">
              <w:tab/>
            </w:r>
            <w:r w:rsidRPr="001A1A32">
              <w:rPr>
                <w:rStyle w:val="SpecialBold"/>
              </w:rPr>
              <w:t>Present evidence</w:t>
            </w:r>
          </w:p>
        </w:tc>
        <w:tc>
          <w:tcPr>
            <w:tcW w:w="6228" w:type="dxa"/>
            <w:tcBorders>
              <w:top w:val="nil"/>
              <w:left w:val="nil"/>
              <w:bottom w:val="nil"/>
              <w:right w:val="nil"/>
            </w:tcBorders>
            <w:tcMar>
              <w:top w:w="0" w:type="dxa"/>
              <w:left w:w="62" w:type="dxa"/>
              <w:bottom w:w="0" w:type="dxa"/>
              <w:right w:w="62" w:type="dxa"/>
            </w:tcMar>
          </w:tcPr>
          <w:p w:rsidR="00000000" w:rsidRPr="001A1A32" w:rsidP="001A1A32">
            <w:pPr>
              <w:pStyle w:val="List"/>
            </w:pPr>
            <w:r w:rsidRPr="001A1A32">
              <w:t>2.1</w:t>
            </w:r>
            <w:r w:rsidRPr="001A1A32">
              <w:rPr>
                <w:rStyle w:val="BoldandItalics"/>
              </w:rPr>
              <w:tab/>
              <w:t>Rules of evidence</w:t>
            </w:r>
            <w:r w:rsidRPr="001A1A32">
              <w:t xml:space="preserve">, procedures and protocols relevant to the jurisdiction involved are observed and adhered to throughout the proceedings. </w:t>
            </w:r>
          </w:p>
          <w:p w:rsidR="00000000" w:rsidRPr="001A1A32" w:rsidP="001A1A32">
            <w:pPr>
              <w:pStyle w:val="List"/>
            </w:pPr>
            <w:r w:rsidRPr="001A1A32">
              <w:t>2.2</w:t>
            </w:r>
            <w:r w:rsidRPr="001A1A32">
              <w:rPr>
                <w:rStyle w:val="BoldandItalics"/>
              </w:rPr>
              <w:tab/>
              <w:t xml:space="preserve">Evidence </w:t>
            </w:r>
            <w:r w:rsidRPr="001A1A32">
              <w:t xml:space="preserve">is based on fact and is presented in a clear, concise and unambiguous manner and complies with the rules of evidence. </w:t>
            </w:r>
          </w:p>
          <w:p w:rsidR="00000000" w:rsidRPr="001A1A32" w:rsidP="001A1A32">
            <w:pPr>
              <w:pStyle w:val="List"/>
            </w:pPr>
            <w:r w:rsidRPr="001A1A32">
              <w:t>2.</w:t>
            </w:r>
            <w:r w:rsidRPr="001A1A32">
              <w:t>3</w:t>
            </w:r>
            <w:r w:rsidRPr="001A1A32">
              <w:tab/>
              <w:t>All evidence required during court proceedings is available in an original form when required.</w:t>
            </w:r>
          </w:p>
          <w:p w:rsidR="00000000" w:rsidP="001A1A32">
            <w:pPr>
              <w:pStyle w:val="List"/>
              <w:rPr>
                <w:lang w:val="en-NZ"/>
              </w:rPr>
            </w:pPr>
            <w:r w:rsidRPr="001A1A32">
              <w:t>2.4</w:t>
            </w:r>
            <w:r w:rsidRPr="001A1A32">
              <w:tab/>
              <w:t>Specialist opinion within own level of qualification and expertise is provided on request in accordance with council policy.</w:t>
            </w:r>
          </w:p>
        </w:tc>
      </w:tr>
      <w:tr w:rsidTr="0033212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1A1A32">
            <w:pPr>
              <w:pStyle w:val="List"/>
              <w:rPr>
                <w:lang w:val="en-NZ"/>
              </w:rPr>
            </w:pPr>
            <w:r w:rsidRPr="001A1A32">
              <w:t>3</w:t>
            </w:r>
            <w:r w:rsidRPr="001A1A32">
              <w:tab/>
            </w:r>
            <w:r w:rsidRPr="001A1A32">
              <w:rPr>
                <w:rStyle w:val="SpecialBold"/>
              </w:rPr>
              <w:t>Implement relevant outcomes</w:t>
            </w:r>
            <w:r w:rsidRPr="001A1A32">
              <w:rPr>
                <w:rStyle w:val="SpecialBold"/>
              </w:rPr>
              <w:t xml:space="preserve"> of proceedings</w:t>
            </w:r>
          </w:p>
        </w:tc>
        <w:tc>
          <w:tcPr>
            <w:tcW w:w="6228" w:type="dxa"/>
            <w:tcBorders>
              <w:top w:val="nil"/>
              <w:left w:val="nil"/>
              <w:bottom w:val="nil"/>
              <w:right w:val="nil"/>
            </w:tcBorders>
            <w:tcMar>
              <w:top w:w="0" w:type="dxa"/>
              <w:left w:w="62" w:type="dxa"/>
              <w:bottom w:w="0" w:type="dxa"/>
              <w:right w:w="62" w:type="dxa"/>
            </w:tcMar>
          </w:tcPr>
          <w:p w:rsidR="00000000" w:rsidRPr="001A1A32" w:rsidP="001A1A32">
            <w:pPr>
              <w:pStyle w:val="List"/>
            </w:pPr>
            <w:r w:rsidRPr="001A1A32">
              <w:t>3.1</w:t>
            </w:r>
            <w:r w:rsidRPr="001A1A32">
              <w:tab/>
              <w:t>Outcomes of the proceedings are obtained, noted and reports completed where required according to council requirements.</w:t>
            </w:r>
          </w:p>
          <w:p w:rsidR="00000000" w:rsidRPr="001A1A32" w:rsidP="001A1A32">
            <w:pPr>
              <w:pStyle w:val="List"/>
            </w:pPr>
            <w:r w:rsidRPr="001A1A32">
              <w:t>3.2</w:t>
            </w:r>
            <w:r w:rsidRPr="001A1A32">
              <w:tab/>
              <w:t>Required actions are implemented in accordance with council policies and procedures.</w:t>
            </w:r>
          </w:p>
          <w:p w:rsidR="00000000" w:rsidRPr="001A1A32" w:rsidP="001A1A32">
            <w:pPr>
              <w:pStyle w:val="List"/>
            </w:pPr>
            <w:r w:rsidRPr="001A1A32">
              <w:t>3.3</w:t>
            </w:r>
            <w:r w:rsidRPr="001A1A32">
              <w:tab/>
              <w:t xml:space="preserve">Relevant documentation </w:t>
            </w:r>
            <w:r w:rsidRPr="001A1A32">
              <w:t>is completed in accordance with professional obligations in the case and council requirements.</w:t>
            </w:r>
          </w:p>
          <w:p w:rsidR="00000000" w:rsidRPr="001A1A32" w:rsidP="001A1A32">
            <w:pPr>
              <w:pStyle w:val="List"/>
            </w:pPr>
            <w:r w:rsidRPr="001A1A32">
              <w:t>3.4</w:t>
            </w:r>
            <w:r w:rsidRPr="001A1A32">
              <w:rPr>
                <w:rStyle w:val="BoldandItalics"/>
              </w:rPr>
              <w:tab/>
              <w:t>Feedback</w:t>
            </w:r>
            <w:r w:rsidRPr="001A1A32">
              <w:t>, further information and clarification of issues associated with proceedings and outcomes are sought as required from appropriate persons.</w:t>
            </w:r>
          </w:p>
        </w:tc>
      </w:tr>
    </w:tbl>
    <w:p w:rsidR="00000000" w:rsidRPr="001A1A32" w:rsidP="001A1A32">
      <w:pPr>
        <w:pStyle w:val="BodyText"/>
      </w:pPr>
    </w:p>
    <w:p w:rsidR="00000000" w:rsidRPr="001A1A32" w:rsidP="001A1A32">
      <w:pPr>
        <w:pStyle w:val="AllowPageBreak"/>
      </w:pPr>
    </w:p>
    <w:p w:rsidR="00000000" w:rsidRPr="001A1A32" w:rsidP="001A1A32">
      <w:pPr>
        <w:pStyle w:val="Heading1"/>
      </w:pPr>
      <w:bookmarkStart w:id="9" w:name="O_442124"/>
      <w:bookmarkEnd w:id="9"/>
      <w:r w:rsidRPr="001A1A32">
        <w:t>Required Skills and Knowledge</w:t>
      </w:r>
    </w:p>
    <w:tbl>
      <w:tblPr>
        <w:tblW w:w="0" w:type="auto"/>
        <w:tblLayout w:type="fixed"/>
        <w:tblCellMar>
          <w:left w:w="62" w:type="dxa"/>
          <w:right w:w="62" w:type="dxa"/>
        </w:tblCellMar>
        <w:tblLook w:val="0000"/>
      </w:tblPr>
      <w:tblGrid>
        <w:gridCol w:w="8928"/>
      </w:tblGrid>
      <w:tr w:rsidTr="00332120">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1A1A32">
            <w:pPr>
              <w:pStyle w:val="BodyText"/>
              <w:rPr>
                <w:lang w:val="en-NZ"/>
              </w:rPr>
            </w:pPr>
            <w:r w:rsidRPr="001A1A32">
              <w:t>This describes the essential skills and knowledge and their level, required for this unit</w:t>
            </w:r>
          </w:p>
        </w:tc>
      </w:tr>
      <w:tr w:rsidTr="00332120">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1A1A32">
            <w:pPr>
              <w:pStyle w:val="BodyText"/>
              <w:rPr>
                <w:lang w:val="en-NZ"/>
              </w:rPr>
            </w:pPr>
            <w:r w:rsidRPr="001A1A32">
              <w:rPr>
                <w:rStyle w:val="SpecialBold"/>
              </w:rPr>
              <w:t>Required Skills</w:t>
            </w:r>
          </w:p>
        </w:tc>
      </w:tr>
      <w:tr w:rsidTr="00332120">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RPr="001A1A32" w:rsidP="001A1A32">
            <w:pPr>
              <w:pStyle w:val="ListBullet"/>
            </w:pPr>
            <w:r w:rsidRPr="001A1A32">
              <w:t>reading and interpreting a range of information relevant to job/role, which may include legislation a</w:t>
            </w:r>
            <w:r w:rsidRPr="001A1A32">
              <w:t>nd its impact on council operations</w:t>
            </w:r>
          </w:p>
          <w:p w:rsidR="00000000" w:rsidRPr="001A1A32" w:rsidP="001A1A32">
            <w:pPr>
              <w:pStyle w:val="ListBullet"/>
            </w:pPr>
            <w:r w:rsidRPr="001A1A32">
              <w:t>demonstrating clear, open communication and consultation with the community and stakeholders and managing stakeholder relationships using a range of communication techniques to assess their needs and expectations, which may involve participation in and fac</w:t>
            </w:r>
            <w:r w:rsidRPr="001A1A32">
              <w:t>ilitation of committees</w:t>
            </w:r>
          </w:p>
          <w:p w:rsidR="00000000" w:rsidRPr="001A1A32" w:rsidP="001A1A32">
            <w:pPr>
              <w:pStyle w:val="ListBullet"/>
            </w:pPr>
            <w:r w:rsidRPr="001A1A32">
              <w:t>chain of custody requirements for validity of physical evidence</w:t>
            </w:r>
          </w:p>
          <w:p w:rsidR="00000000" w:rsidRPr="001A1A32" w:rsidP="001A1A32">
            <w:pPr>
              <w:pStyle w:val="ListBullet"/>
            </w:pPr>
            <w:r w:rsidRPr="001A1A32">
              <w:t xml:space="preserve">collating and organising information </w:t>
            </w:r>
          </w:p>
          <w:p w:rsidR="00000000" w:rsidRPr="001A1A32" w:rsidP="001A1A32">
            <w:pPr>
              <w:pStyle w:val="ListBullet"/>
            </w:pPr>
            <w:r w:rsidRPr="001A1A32">
              <w:t>preparing statements and writing reports</w:t>
            </w:r>
          </w:p>
          <w:p w:rsidR="00000000" w:rsidRPr="001A1A32" w:rsidP="001A1A32">
            <w:pPr>
              <w:pStyle w:val="ListBullet"/>
            </w:pPr>
            <w:r w:rsidRPr="001A1A32">
              <w:t>relating to people from a range of social, cultural and ethnic backgrounds and physical a</w:t>
            </w:r>
            <w:r w:rsidRPr="001A1A32">
              <w:t>nd mental abilities</w:t>
            </w:r>
          </w:p>
          <w:p w:rsidR="00000000" w:rsidRPr="001A1A32" w:rsidP="001A1A32">
            <w:pPr>
              <w:pStyle w:val="ListBullet"/>
            </w:pPr>
            <w:r w:rsidRPr="001A1A32">
              <w:t>achieving effective working relationships that demonstrate an ability to work collaboratively with people from diverse backgrounds</w:t>
            </w:r>
          </w:p>
          <w:p w:rsidR="00000000" w:rsidRPr="001A1A32" w:rsidP="001A1A32">
            <w:pPr>
              <w:pStyle w:val="ListBullet"/>
            </w:pPr>
            <w:r w:rsidRPr="001A1A32">
              <w:t>problem solving and conflict management</w:t>
            </w:r>
          </w:p>
          <w:p w:rsidR="00000000" w:rsidRPr="001A1A32" w:rsidP="001A1A32">
            <w:pPr>
              <w:pStyle w:val="ListBullet"/>
            </w:pPr>
            <w:r w:rsidRPr="001A1A32">
              <w:t>monitoring own work and adjusting to meet agreed standards and ex</w:t>
            </w:r>
            <w:r w:rsidRPr="001A1A32">
              <w:t>pectations</w:t>
            </w:r>
          </w:p>
          <w:p w:rsidR="00000000" w:rsidRPr="001A1A32" w:rsidP="001A1A32">
            <w:pPr>
              <w:pStyle w:val="ListBullet"/>
            </w:pPr>
            <w:r w:rsidRPr="001A1A32">
              <w:t>engaging in activities that promote own ongoing learning requirements, which may include maintaining current knowledge of legislation and common law</w:t>
            </w:r>
          </w:p>
          <w:p w:rsidR="00000000" w:rsidP="001A1A32">
            <w:pPr>
              <w:pStyle w:val="ListBullet"/>
              <w:rPr>
                <w:lang w:val="en-NZ"/>
              </w:rPr>
            </w:pPr>
            <w:r w:rsidRPr="001A1A32">
              <w:t>using technology relevant to the job/role, which may include the use of computers and other rele</w:t>
            </w:r>
            <w:r w:rsidRPr="001A1A32">
              <w:t xml:space="preserve">vant office technology </w:t>
            </w:r>
          </w:p>
        </w:tc>
      </w:tr>
      <w:tr w:rsidTr="00332120">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1A1A32">
            <w:pPr>
              <w:pStyle w:val="BodyText"/>
              <w:rPr>
                <w:lang w:val="en-NZ"/>
              </w:rPr>
            </w:pPr>
            <w:r w:rsidRPr="001A1A32">
              <w:rPr>
                <w:rStyle w:val="SpecialBold"/>
              </w:rPr>
              <w:t>Required Knowledge</w:t>
            </w:r>
          </w:p>
        </w:tc>
      </w:tr>
      <w:tr w:rsidTr="00332120">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RPr="001A1A32" w:rsidP="001A1A32">
            <w:pPr>
              <w:pStyle w:val="ListBullet"/>
            </w:pPr>
            <w:r w:rsidRPr="001A1A32">
              <w:t xml:space="preserve">council's position on litigation </w:t>
            </w:r>
          </w:p>
          <w:p w:rsidR="00000000" w:rsidRPr="001A1A32" w:rsidP="001A1A32">
            <w:pPr>
              <w:pStyle w:val="ListBullet"/>
            </w:pPr>
            <w:r w:rsidRPr="001A1A32">
              <w:t>relevant legislation, including 'rules of evidence' and 'continuity of evidence'</w:t>
            </w:r>
          </w:p>
          <w:p w:rsidR="00000000" w:rsidRPr="001A1A32" w:rsidP="001A1A32">
            <w:pPr>
              <w:pStyle w:val="ListBullet"/>
            </w:pPr>
            <w:r w:rsidRPr="001A1A32">
              <w:t>procedures and protocols of judicial proceedings and contexts</w:t>
            </w:r>
          </w:p>
          <w:p w:rsidR="00000000" w:rsidRPr="001A1A32" w:rsidP="001A1A32">
            <w:pPr>
              <w:pStyle w:val="ListBullet"/>
            </w:pPr>
            <w:r w:rsidRPr="001A1A32">
              <w:t>briefing and documentation requirements</w:t>
            </w:r>
          </w:p>
          <w:p w:rsidR="00000000" w:rsidRPr="001A1A32" w:rsidP="001A1A32">
            <w:pPr>
              <w:pStyle w:val="ListBullet"/>
            </w:pPr>
            <w:r w:rsidRPr="001A1A32">
              <w:t>general principles regarding admissibility of evidence in courts</w:t>
            </w:r>
          </w:p>
          <w:p w:rsidR="00000000" w:rsidRPr="001A1A32" w:rsidP="001A1A32">
            <w:pPr>
              <w:pStyle w:val="ListBullet"/>
            </w:pPr>
            <w:r w:rsidRPr="001A1A32">
              <w:t>preparation of legal documentation</w:t>
            </w:r>
          </w:p>
          <w:p w:rsidR="00000000" w:rsidRPr="001A1A32" w:rsidP="001A1A32">
            <w:pPr>
              <w:pStyle w:val="ListBullet"/>
            </w:pPr>
            <w:r w:rsidRPr="001A1A32">
              <w:t>requirements for handling and managing evidential exhibits</w:t>
            </w:r>
          </w:p>
          <w:p w:rsidR="00000000" w:rsidRPr="001A1A32" w:rsidP="001A1A32">
            <w:pPr>
              <w:pStyle w:val="ListBullet"/>
            </w:pPr>
            <w:r w:rsidRPr="001A1A32">
              <w:t xml:space="preserve">storage requirements for information that is susceptible </w:t>
            </w:r>
            <w:r w:rsidRPr="001A1A32">
              <w:t>to spoiling or damage (physical samples, film and computer tapes)</w:t>
            </w:r>
          </w:p>
        </w:tc>
      </w:tr>
    </w:tbl>
    <w:p w:rsidR="00000000" w:rsidRPr="001A1A32" w:rsidP="001A1A32">
      <w:pPr>
        <w:pStyle w:val="BodyText"/>
      </w:pPr>
    </w:p>
    <w:p w:rsidR="00000000" w:rsidRPr="001A1A32" w:rsidP="001A1A32">
      <w:pPr>
        <w:pStyle w:val="AllowPageBreak"/>
      </w:pPr>
    </w:p>
    <w:p w:rsidR="00000000" w:rsidRPr="001A1A32" w:rsidP="001A1A32">
      <w:pPr>
        <w:pStyle w:val="Heading1"/>
      </w:pPr>
      <w:bookmarkStart w:id="10" w:name="O_442130"/>
      <w:bookmarkEnd w:id="10"/>
      <w:r w:rsidRPr="001A1A32">
        <w:t>Evidence Guide</w:t>
      </w:r>
    </w:p>
    <w:tbl>
      <w:tblPr>
        <w:tblW w:w="0" w:type="auto"/>
        <w:tblLayout w:type="fixed"/>
        <w:tblCellMar>
          <w:left w:w="62" w:type="dxa"/>
          <w:right w:w="62" w:type="dxa"/>
        </w:tblCellMar>
        <w:tblLook w:val="0000"/>
      </w:tblPr>
      <w:tblGrid>
        <w:gridCol w:w="2700"/>
        <w:gridCol w:w="6228"/>
      </w:tblGrid>
      <w:tr w:rsidTr="0033212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1A1A32">
            <w:pPr>
              <w:pStyle w:val="BodyText"/>
              <w:rPr>
                <w:lang w:val="en-NZ"/>
              </w:rPr>
            </w:pPr>
            <w:r w:rsidRPr="001A1A32">
              <w:rPr>
                <w:rStyle w:val="SpecialBold"/>
              </w:rPr>
              <w:t>Overview of assessment requirements</w:t>
            </w:r>
          </w:p>
        </w:tc>
        <w:tc>
          <w:tcPr>
            <w:tcW w:w="6228" w:type="dxa"/>
            <w:tcBorders>
              <w:top w:val="nil"/>
              <w:left w:val="nil"/>
              <w:bottom w:val="nil"/>
              <w:right w:val="nil"/>
            </w:tcBorders>
            <w:tcMar>
              <w:top w:w="0" w:type="dxa"/>
              <w:left w:w="62" w:type="dxa"/>
              <w:bottom w:w="0" w:type="dxa"/>
              <w:right w:w="62" w:type="dxa"/>
            </w:tcMar>
          </w:tcPr>
          <w:p w:rsidR="00000000" w:rsidP="001A1A32">
            <w:pPr>
              <w:pStyle w:val="BodyText"/>
              <w:rPr>
                <w:lang w:val="en-NZ"/>
              </w:rPr>
            </w:pPr>
            <w:r w:rsidRPr="001A1A32">
              <w:t xml:space="preserve">A person who demonstrates competency in this unit will be able to perform the outcomes described in the elements to the </w:t>
            </w:r>
            <w:r w:rsidRPr="001A1A32">
              <w:t>required performance level detailed in the performance criteria. The unit's skill and knowledge requirements must also be demonstrated. For example, knowledge of the legislative framework and safe work practices that underpin the performance of the unit ar</w:t>
            </w:r>
            <w:r w:rsidRPr="001A1A32">
              <w:t xml:space="preserve">e also required to be demonstrated. </w:t>
            </w:r>
          </w:p>
        </w:tc>
      </w:tr>
      <w:tr w:rsidTr="0033212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1A1A32">
            <w:pPr>
              <w:pStyle w:val="BodyText"/>
              <w:rPr>
                <w:lang w:val="en-NZ"/>
              </w:rPr>
            </w:pPr>
            <w:r w:rsidRPr="001A1A32">
              <w:rPr>
                <w:rStyle w:val="SpecialBold"/>
              </w:rPr>
              <w:t>Critical aspects of evidence to be considered</w:t>
            </w:r>
          </w:p>
        </w:tc>
        <w:tc>
          <w:tcPr>
            <w:tcW w:w="6228" w:type="dxa"/>
            <w:tcBorders>
              <w:top w:val="nil"/>
              <w:left w:val="nil"/>
              <w:bottom w:val="nil"/>
              <w:right w:val="nil"/>
            </w:tcBorders>
            <w:tcMar>
              <w:top w:w="0" w:type="dxa"/>
              <w:left w:w="62" w:type="dxa"/>
              <w:bottom w:w="0" w:type="dxa"/>
              <w:right w:w="62" w:type="dxa"/>
            </w:tcMar>
          </w:tcPr>
          <w:p w:rsidR="00000000" w:rsidRPr="001A1A32" w:rsidP="001A1A32">
            <w:pPr>
              <w:pStyle w:val="BodyText"/>
            </w:pPr>
            <w:r w:rsidRPr="001A1A32">
              <w:t>The demonstrated ability to:</w:t>
            </w:r>
          </w:p>
          <w:p w:rsidR="00000000" w:rsidRPr="001A1A32" w:rsidP="001A1A32">
            <w:pPr>
              <w:pStyle w:val="ListBullet"/>
            </w:pPr>
            <w:r w:rsidRPr="001A1A32">
              <w:t>understand and comply with protocols and procedures required for attendance in a judicial or quasi-judicial environment</w:t>
            </w:r>
          </w:p>
          <w:p w:rsidR="00000000" w:rsidRPr="001A1A32" w:rsidP="001A1A32">
            <w:pPr>
              <w:pStyle w:val="ListBullet"/>
            </w:pPr>
            <w:r w:rsidRPr="001A1A32">
              <w:t>present evidence in a clear and concise manner and, as required, provide specialist opinion within own level of qualification and expertise</w:t>
            </w:r>
          </w:p>
          <w:p w:rsidR="00000000" w:rsidRPr="001A1A32" w:rsidP="001A1A32">
            <w:pPr>
              <w:pStyle w:val="ListBullet"/>
            </w:pPr>
            <w:r w:rsidRPr="001A1A32">
              <w:t>follow up outcomes of proceedings, review implications and determine appropriate action to be implemented</w:t>
            </w:r>
          </w:p>
          <w:p w:rsidR="00000000" w:rsidP="001A1A32">
            <w:pPr>
              <w:pStyle w:val="ListBullet"/>
              <w:rPr>
                <w:lang w:val="en-NZ"/>
              </w:rPr>
            </w:pPr>
            <w:r w:rsidRPr="001A1A32">
              <w:t>prepare an</w:t>
            </w:r>
            <w:r w:rsidRPr="001A1A32">
              <w:t>d complete documentation and maintain records and systems.</w:t>
            </w:r>
          </w:p>
        </w:tc>
      </w:tr>
      <w:tr w:rsidTr="0033212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1A1A32">
            <w:pPr>
              <w:pStyle w:val="BodyText"/>
              <w:rPr>
                <w:lang w:val="en-NZ"/>
              </w:rPr>
            </w:pPr>
            <w:r w:rsidRPr="001A1A32">
              <w:rPr>
                <w:rStyle w:val="SpecialBold"/>
              </w:rPr>
              <w:t>Context of assessment</w:t>
            </w:r>
          </w:p>
        </w:tc>
        <w:tc>
          <w:tcPr>
            <w:tcW w:w="6228" w:type="dxa"/>
            <w:tcBorders>
              <w:top w:val="nil"/>
              <w:left w:val="nil"/>
              <w:bottom w:val="nil"/>
              <w:right w:val="nil"/>
            </w:tcBorders>
            <w:tcMar>
              <w:top w:w="0" w:type="dxa"/>
              <w:left w:w="62" w:type="dxa"/>
              <w:bottom w:w="0" w:type="dxa"/>
              <w:right w:w="62" w:type="dxa"/>
            </w:tcMar>
          </w:tcPr>
          <w:p w:rsidR="00000000" w:rsidRPr="001A1A32" w:rsidP="001A1A32">
            <w:pPr>
              <w:pStyle w:val="ListBullet"/>
            </w:pPr>
            <w:r w:rsidRPr="001A1A32">
              <w:t>on the job or in a simulated work environment</w:t>
            </w:r>
          </w:p>
          <w:p w:rsidR="00000000" w:rsidRPr="001A1A32" w:rsidP="001A1A32">
            <w:pPr>
              <w:pStyle w:val="ListBullet"/>
            </w:pPr>
            <w:r w:rsidRPr="001A1A32">
              <w:t>written or oral test</w:t>
            </w:r>
          </w:p>
          <w:p w:rsidR="00000000" w:rsidP="001A1A32">
            <w:pPr>
              <w:pStyle w:val="ListBullet"/>
              <w:rPr>
                <w:lang w:val="en-NZ"/>
              </w:rPr>
            </w:pPr>
            <w:r w:rsidRPr="001A1A32">
              <w:t>role-play</w:t>
            </w:r>
          </w:p>
        </w:tc>
      </w:tr>
      <w:tr w:rsidTr="0033212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1A1A32">
            <w:pPr>
              <w:pStyle w:val="BodyText"/>
              <w:rPr>
                <w:lang w:val="en-NZ"/>
              </w:rPr>
            </w:pPr>
            <w:r w:rsidRPr="001A1A32">
              <w:rPr>
                <w:rStyle w:val="SpecialBold"/>
              </w:rPr>
              <w:t>Method of assessment</w:t>
            </w:r>
          </w:p>
        </w:tc>
        <w:tc>
          <w:tcPr>
            <w:tcW w:w="6228" w:type="dxa"/>
            <w:tcBorders>
              <w:top w:val="nil"/>
              <w:left w:val="nil"/>
              <w:bottom w:val="nil"/>
              <w:right w:val="nil"/>
            </w:tcBorders>
            <w:tcMar>
              <w:top w:w="0" w:type="dxa"/>
              <w:left w:w="62" w:type="dxa"/>
              <w:bottom w:w="0" w:type="dxa"/>
              <w:right w:w="62" w:type="dxa"/>
            </w:tcMar>
          </w:tcPr>
          <w:p w:rsidR="00000000" w:rsidRPr="001A1A32" w:rsidP="001A1A32">
            <w:pPr>
              <w:pStyle w:val="BodyText"/>
            </w:pPr>
            <w:r w:rsidRPr="001A1A32">
              <w:t xml:space="preserve">The following assessment methods are suggested: </w:t>
            </w:r>
          </w:p>
          <w:p w:rsidR="00000000" w:rsidRPr="001A1A32" w:rsidP="001A1A32">
            <w:pPr>
              <w:pStyle w:val="ListBullet"/>
            </w:pPr>
            <w:r w:rsidRPr="001A1A32">
              <w:t>observation of the learn</w:t>
            </w:r>
            <w:r w:rsidRPr="001A1A32">
              <w:t xml:space="preserve">er performing a range of workplace tasks over sufficient time to demonstrate handling of a range of contingencies </w:t>
            </w:r>
          </w:p>
          <w:p w:rsidR="00000000" w:rsidRPr="001A1A32" w:rsidP="001A1A32">
            <w:pPr>
              <w:pStyle w:val="ListBullet"/>
            </w:pPr>
            <w:r w:rsidRPr="001A1A32">
              <w:t xml:space="preserve">written and oral questioning to assess knowledge and understanding </w:t>
            </w:r>
          </w:p>
          <w:p w:rsidR="00000000" w:rsidRPr="001A1A32" w:rsidP="001A1A32">
            <w:pPr>
              <w:pStyle w:val="ListBullet"/>
            </w:pPr>
            <w:r w:rsidRPr="001A1A32">
              <w:t xml:space="preserve">completion of workplace documentation </w:t>
            </w:r>
          </w:p>
          <w:p w:rsidR="00000000" w:rsidRPr="001A1A32" w:rsidP="001A1A32">
            <w:pPr>
              <w:pStyle w:val="ListBullet"/>
            </w:pPr>
            <w:r w:rsidRPr="001A1A32">
              <w:t>third-party reports fr</w:t>
            </w:r>
            <w:r w:rsidRPr="001A1A32">
              <w:t xml:space="preserve">om experienced practitioners </w:t>
            </w:r>
          </w:p>
          <w:p w:rsidR="00000000" w:rsidP="001A1A32">
            <w:pPr>
              <w:pStyle w:val="ListBullet"/>
              <w:rPr>
                <w:lang w:val="en-NZ"/>
              </w:rPr>
            </w:pPr>
            <w:r w:rsidRPr="001A1A32">
              <w:t xml:space="preserve">completion of self-paced learning materials, including personal reflection and feedback from trainer, coach or supervisor </w:t>
            </w:r>
          </w:p>
        </w:tc>
      </w:tr>
      <w:tr w:rsidTr="0033212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1A1A32">
            <w:pPr>
              <w:pStyle w:val="BodyText"/>
              <w:rPr>
                <w:lang w:val="en-NZ"/>
              </w:rPr>
            </w:pPr>
            <w:r w:rsidRPr="001A1A32">
              <w:rPr>
                <w:rStyle w:val="SpecialBold"/>
              </w:rPr>
              <w:t>Evidence required for demonstration of consistent performance</w:t>
            </w:r>
          </w:p>
        </w:tc>
        <w:tc>
          <w:tcPr>
            <w:tcW w:w="6228" w:type="dxa"/>
            <w:tcBorders>
              <w:top w:val="nil"/>
              <w:left w:val="nil"/>
              <w:bottom w:val="nil"/>
              <w:right w:val="nil"/>
            </w:tcBorders>
            <w:tcMar>
              <w:top w:w="0" w:type="dxa"/>
              <w:left w:w="62" w:type="dxa"/>
              <w:bottom w:w="0" w:type="dxa"/>
              <w:right w:w="62" w:type="dxa"/>
            </w:tcMar>
          </w:tcPr>
          <w:p w:rsidR="00000000" w:rsidP="001A1A32">
            <w:pPr>
              <w:pStyle w:val="BodyText"/>
              <w:rPr>
                <w:lang w:val="en-NZ"/>
              </w:rPr>
            </w:pPr>
            <w:r w:rsidRPr="001A1A32">
              <w:t xml:space="preserve">Evidence will need to be collected over </w:t>
            </w:r>
            <w:r w:rsidRPr="001A1A32">
              <w:t xml:space="preserve">time across a range of variables. </w:t>
            </w:r>
          </w:p>
        </w:tc>
      </w:tr>
      <w:tr w:rsidTr="0033212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1A1A32">
            <w:pPr>
              <w:pStyle w:val="BodyText"/>
              <w:rPr>
                <w:lang w:val="en-NZ"/>
              </w:rPr>
            </w:pPr>
            <w:r w:rsidRPr="001A1A32">
              <w:rPr>
                <w:rStyle w:val="SpecialBold"/>
              </w:rPr>
              <w:t>Resource implications</w:t>
            </w:r>
          </w:p>
        </w:tc>
        <w:tc>
          <w:tcPr>
            <w:tcW w:w="6228" w:type="dxa"/>
            <w:tcBorders>
              <w:top w:val="nil"/>
              <w:left w:val="nil"/>
              <w:bottom w:val="nil"/>
              <w:right w:val="nil"/>
            </w:tcBorders>
            <w:tcMar>
              <w:top w:w="0" w:type="dxa"/>
              <w:left w:w="62" w:type="dxa"/>
              <w:bottom w:w="0" w:type="dxa"/>
              <w:right w:w="62" w:type="dxa"/>
            </w:tcMar>
          </w:tcPr>
          <w:p w:rsidR="00000000" w:rsidRPr="001A1A32" w:rsidP="001A1A32">
            <w:pPr>
              <w:pStyle w:val="BodyText"/>
            </w:pPr>
            <w:r w:rsidRPr="001A1A32">
              <w:t xml:space="preserve">Access to a workplace or simulated environment that provides: </w:t>
            </w:r>
          </w:p>
          <w:p w:rsidR="00000000" w:rsidRPr="001A1A32" w:rsidP="001A1A32">
            <w:pPr>
              <w:pStyle w:val="ListBullet"/>
            </w:pPr>
            <w:r w:rsidRPr="001A1A32">
              <w:t xml:space="preserve">relevant legislation </w:t>
            </w:r>
          </w:p>
          <w:p w:rsidR="00000000" w:rsidRPr="001A1A32" w:rsidP="001A1A32">
            <w:pPr>
              <w:pStyle w:val="ListBullet"/>
            </w:pPr>
            <w:r w:rsidRPr="001A1A32">
              <w:t xml:space="preserve">formal legal procedures </w:t>
            </w:r>
          </w:p>
          <w:p w:rsidR="00000000" w:rsidRPr="001A1A32" w:rsidP="001A1A32">
            <w:pPr>
              <w:pStyle w:val="ListBullet"/>
            </w:pPr>
            <w:r w:rsidRPr="001A1A32">
              <w:t>a range of evidence</w:t>
            </w:r>
          </w:p>
        </w:tc>
      </w:tr>
    </w:tbl>
    <w:p w:rsidR="00000000" w:rsidRPr="001A1A32" w:rsidP="001A1A32">
      <w:pPr>
        <w:pStyle w:val="BodyText"/>
      </w:pPr>
    </w:p>
    <w:p w:rsidR="00000000" w:rsidRPr="001A1A32" w:rsidP="001A1A32">
      <w:pPr>
        <w:pStyle w:val="AllowPageBreak"/>
      </w:pPr>
    </w:p>
    <w:p w:rsidR="00000000" w:rsidRPr="001A1A32" w:rsidP="001A1A32">
      <w:pPr>
        <w:pStyle w:val="Heading1"/>
      </w:pPr>
      <w:bookmarkStart w:id="11" w:name="O_442125"/>
      <w:bookmarkEnd w:id="11"/>
      <w:r w:rsidRPr="001A1A32">
        <w:t>Range Statement</w:t>
      </w:r>
    </w:p>
    <w:tbl>
      <w:tblPr>
        <w:tblW w:w="0" w:type="auto"/>
        <w:tblLayout w:type="fixed"/>
        <w:tblCellMar>
          <w:left w:w="62" w:type="dxa"/>
          <w:right w:w="62" w:type="dxa"/>
        </w:tblCellMar>
        <w:tblLook w:val="0000"/>
      </w:tblPr>
      <w:tblGrid>
        <w:gridCol w:w="2700"/>
        <w:gridCol w:w="6228"/>
      </w:tblGrid>
      <w:tr w:rsidTr="00332120">
        <w:tblPrEx>
          <w:tblW w:w="0" w:type="auto"/>
          <w:tblLayout w:type="fixed"/>
          <w:tblCellMar>
            <w:left w:w="62" w:type="dxa"/>
            <w:right w:w="62" w:type="dxa"/>
          </w:tblCellMar>
          <w:tblLook w:val="0000"/>
        </w:tblPrEx>
        <w:tc>
          <w:tcPr>
            <w:tcW w:w="8928" w:type="dxa"/>
            <w:gridSpan w:val="2"/>
            <w:tcBorders>
              <w:top w:val="nil"/>
              <w:left w:val="nil"/>
              <w:bottom w:val="nil"/>
              <w:right w:val="nil"/>
            </w:tcBorders>
            <w:tcMar>
              <w:top w:w="0" w:type="dxa"/>
              <w:left w:w="62" w:type="dxa"/>
              <w:bottom w:w="0" w:type="dxa"/>
              <w:right w:w="62" w:type="dxa"/>
            </w:tcMar>
          </w:tcPr>
          <w:p w:rsidR="00000000" w:rsidP="001A1A32">
            <w:pPr>
              <w:pStyle w:val="BodyText"/>
              <w:rPr>
                <w:lang w:val="en-NZ"/>
              </w:rPr>
            </w:pPr>
            <w:r w:rsidRPr="001A1A32">
              <w:t xml:space="preserve">The Range Statement relates to the Unit of Competency as a whole.  It allows for different work environments and situations that may affect performance.  </w:t>
            </w:r>
            <w:r w:rsidRPr="001A1A32">
              <w:rPr>
                <w:rStyle w:val="BoldandItalics"/>
              </w:rPr>
              <w:t>Bold italicised</w:t>
            </w:r>
            <w:r w:rsidRPr="001A1A32">
              <w:t xml:space="preserve"> wording in the Performance Criteria is detailed below.</w:t>
            </w:r>
          </w:p>
        </w:tc>
      </w:tr>
      <w:tr w:rsidTr="0033212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1A1A32">
            <w:pPr>
              <w:pStyle w:val="BodyText"/>
              <w:rPr>
                <w:lang w:val="en-NZ"/>
              </w:rPr>
            </w:pPr>
            <w:r w:rsidRPr="001A1A32">
              <w:rPr>
                <w:rStyle w:val="BoldandItalics"/>
              </w:rPr>
              <w:t>Court</w:t>
            </w:r>
            <w:r w:rsidRPr="001A1A32">
              <w:t xml:space="preserve"> may include: </w:t>
            </w:r>
          </w:p>
        </w:tc>
        <w:tc>
          <w:tcPr>
            <w:tcW w:w="6228" w:type="dxa"/>
            <w:tcBorders>
              <w:top w:val="nil"/>
              <w:left w:val="nil"/>
              <w:bottom w:val="nil"/>
              <w:right w:val="nil"/>
            </w:tcBorders>
            <w:tcMar>
              <w:top w:w="0" w:type="dxa"/>
              <w:left w:w="62" w:type="dxa"/>
              <w:bottom w:w="0" w:type="dxa"/>
              <w:right w:w="62" w:type="dxa"/>
            </w:tcMar>
          </w:tcPr>
          <w:p w:rsidR="00000000" w:rsidRPr="001A1A32" w:rsidP="001A1A32">
            <w:pPr>
              <w:pStyle w:val="ListBullet"/>
            </w:pPr>
            <w:r w:rsidRPr="001A1A32">
              <w:t>district</w:t>
            </w:r>
          </w:p>
          <w:p w:rsidR="00000000" w:rsidRPr="001A1A32" w:rsidP="001A1A32">
            <w:pPr>
              <w:pStyle w:val="ListBullet"/>
            </w:pPr>
            <w:r w:rsidRPr="001A1A32">
              <w:t>local</w:t>
            </w:r>
          </w:p>
          <w:p w:rsidR="00000000" w:rsidRPr="001A1A32" w:rsidP="001A1A32">
            <w:pPr>
              <w:pStyle w:val="ListBullet"/>
            </w:pPr>
            <w:r w:rsidRPr="001A1A32">
              <w:t>supreme</w:t>
            </w:r>
          </w:p>
          <w:p w:rsidR="00000000" w:rsidRPr="001A1A32" w:rsidP="001A1A32">
            <w:pPr>
              <w:pStyle w:val="ListBullet"/>
            </w:pPr>
            <w:r w:rsidRPr="001A1A32">
              <w:t>federal</w:t>
            </w:r>
          </w:p>
          <w:p w:rsidR="00000000" w:rsidRPr="001A1A32" w:rsidP="001A1A32">
            <w:pPr>
              <w:pStyle w:val="ListBullet"/>
            </w:pPr>
            <w:r w:rsidRPr="001A1A32">
              <w:t>tribunals</w:t>
            </w:r>
          </w:p>
          <w:p w:rsidR="00000000" w:rsidRPr="001A1A32" w:rsidP="001A1A32">
            <w:pPr>
              <w:pStyle w:val="ListBullet"/>
            </w:pPr>
            <w:r w:rsidRPr="001A1A32">
              <w:t>magistrates</w:t>
            </w:r>
          </w:p>
          <w:p w:rsidR="00000000" w:rsidP="001A1A32">
            <w:pPr>
              <w:pStyle w:val="ListBullet"/>
              <w:rPr>
                <w:lang w:val="en-NZ"/>
              </w:rPr>
            </w:pPr>
            <w:r w:rsidRPr="001A1A32">
              <w:t>criminal, coronial and civil.</w:t>
            </w:r>
          </w:p>
        </w:tc>
      </w:tr>
      <w:tr w:rsidTr="0033212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1A1A32">
            <w:pPr>
              <w:pStyle w:val="BodyText"/>
              <w:rPr>
                <w:lang w:val="en-NZ"/>
              </w:rPr>
            </w:pPr>
            <w:r w:rsidRPr="001A1A32">
              <w:rPr>
                <w:rStyle w:val="BoldandItalics"/>
              </w:rPr>
              <w:t>Arrangements, role and involvement</w:t>
            </w:r>
            <w:r w:rsidRPr="001A1A32">
              <w:t xml:space="preserve"> may include:</w:t>
            </w:r>
          </w:p>
        </w:tc>
        <w:tc>
          <w:tcPr>
            <w:tcW w:w="6228" w:type="dxa"/>
            <w:tcBorders>
              <w:top w:val="nil"/>
              <w:left w:val="nil"/>
              <w:bottom w:val="nil"/>
              <w:right w:val="nil"/>
            </w:tcBorders>
            <w:tcMar>
              <w:top w:w="0" w:type="dxa"/>
              <w:left w:w="62" w:type="dxa"/>
              <w:bottom w:w="0" w:type="dxa"/>
              <w:right w:w="62" w:type="dxa"/>
            </w:tcMar>
          </w:tcPr>
          <w:p w:rsidR="00000000" w:rsidRPr="001A1A32" w:rsidP="001A1A32">
            <w:pPr>
              <w:pStyle w:val="ListBullet"/>
            </w:pPr>
            <w:r w:rsidRPr="001A1A32">
              <w:t>confirmation of time, date and location of proceedings</w:t>
            </w:r>
          </w:p>
          <w:p w:rsidR="00000000" w:rsidP="001A1A32">
            <w:pPr>
              <w:pStyle w:val="ListBullet"/>
              <w:rPr>
                <w:lang w:val="en-NZ"/>
              </w:rPr>
            </w:pPr>
            <w:r w:rsidRPr="001A1A32">
              <w:t>confirmation of evidence required to be presented.</w:t>
            </w:r>
          </w:p>
        </w:tc>
      </w:tr>
      <w:tr w:rsidTr="0033212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1A1A32">
            <w:pPr>
              <w:pStyle w:val="BodyText"/>
              <w:rPr>
                <w:lang w:val="en-NZ"/>
              </w:rPr>
            </w:pPr>
            <w:r w:rsidRPr="001A1A32">
              <w:rPr>
                <w:rStyle w:val="BoldandItalics"/>
              </w:rPr>
              <w:t>Proceedings</w:t>
            </w:r>
            <w:r w:rsidRPr="001A1A32">
              <w:t xml:space="preserve"> may include:</w:t>
            </w:r>
          </w:p>
        </w:tc>
        <w:tc>
          <w:tcPr>
            <w:tcW w:w="6228" w:type="dxa"/>
            <w:tcBorders>
              <w:top w:val="nil"/>
              <w:left w:val="nil"/>
              <w:bottom w:val="nil"/>
              <w:right w:val="nil"/>
            </w:tcBorders>
            <w:tcMar>
              <w:top w:w="0" w:type="dxa"/>
              <w:left w:w="62" w:type="dxa"/>
              <w:bottom w:w="0" w:type="dxa"/>
              <w:right w:w="62" w:type="dxa"/>
            </w:tcMar>
          </w:tcPr>
          <w:p w:rsidR="00000000" w:rsidRPr="001A1A32" w:rsidP="001A1A32">
            <w:pPr>
              <w:pStyle w:val="ListBullet"/>
            </w:pPr>
            <w:r w:rsidRPr="001A1A32">
              <w:t xml:space="preserve">nuisance assessment </w:t>
            </w:r>
          </w:p>
          <w:p w:rsidR="00000000" w:rsidRPr="001A1A32" w:rsidP="001A1A32">
            <w:pPr>
              <w:pStyle w:val="ListBullet"/>
            </w:pPr>
            <w:r w:rsidRPr="001A1A32">
              <w:t xml:space="preserve">alleged breaches of planning and building controls </w:t>
            </w:r>
          </w:p>
          <w:p w:rsidR="00000000" w:rsidRPr="001A1A32" w:rsidP="001A1A32">
            <w:pPr>
              <w:pStyle w:val="ListBullet"/>
            </w:pPr>
            <w:r w:rsidRPr="001A1A32">
              <w:t xml:space="preserve">damages </w:t>
            </w:r>
          </w:p>
          <w:p w:rsidR="00000000" w:rsidRPr="001A1A32" w:rsidP="001A1A32">
            <w:pPr>
              <w:pStyle w:val="ListBullet"/>
            </w:pPr>
            <w:r w:rsidRPr="001A1A32">
              <w:t xml:space="preserve">summary offences </w:t>
            </w:r>
          </w:p>
          <w:p w:rsidR="00000000" w:rsidRPr="001A1A32" w:rsidP="001A1A32">
            <w:pPr>
              <w:pStyle w:val="ListBullet"/>
            </w:pPr>
            <w:r w:rsidRPr="001A1A32">
              <w:t xml:space="preserve">compulsory acquisition </w:t>
            </w:r>
          </w:p>
          <w:p w:rsidR="00000000" w:rsidRPr="001A1A32" w:rsidP="001A1A32">
            <w:pPr>
              <w:pStyle w:val="ListBullet"/>
            </w:pPr>
            <w:r w:rsidRPr="001A1A32">
              <w:t xml:space="preserve">property valuation </w:t>
            </w:r>
          </w:p>
          <w:p w:rsidR="00000000" w:rsidRPr="001A1A32" w:rsidP="001A1A32">
            <w:pPr>
              <w:pStyle w:val="ListBullet"/>
            </w:pPr>
            <w:r w:rsidRPr="001A1A32">
              <w:t xml:space="preserve">legal challenges to council control plans </w:t>
            </w:r>
          </w:p>
          <w:p w:rsidR="00000000" w:rsidRPr="001A1A32" w:rsidP="001A1A32">
            <w:pPr>
              <w:pStyle w:val="ListBullet"/>
            </w:pPr>
            <w:r w:rsidRPr="001A1A32">
              <w:t xml:space="preserve">equal employment opportunity commission </w:t>
            </w:r>
          </w:p>
          <w:p w:rsidR="00000000" w:rsidRPr="001A1A32" w:rsidP="001A1A32">
            <w:pPr>
              <w:pStyle w:val="ListBullet"/>
            </w:pPr>
            <w:r w:rsidRPr="001A1A32">
              <w:t xml:space="preserve">compulsory conferences </w:t>
            </w:r>
          </w:p>
          <w:p w:rsidR="00000000" w:rsidRPr="001A1A32" w:rsidP="001A1A32">
            <w:pPr>
              <w:pStyle w:val="ListBullet"/>
            </w:pPr>
            <w:r w:rsidRPr="001A1A32">
              <w:t xml:space="preserve">conciliation </w:t>
            </w:r>
          </w:p>
          <w:p w:rsidR="00000000" w:rsidRPr="001A1A32" w:rsidP="001A1A32">
            <w:pPr>
              <w:pStyle w:val="ListBullet"/>
            </w:pPr>
            <w:r w:rsidRPr="001A1A32">
              <w:t xml:space="preserve">arbitration of formal hearings </w:t>
            </w:r>
          </w:p>
          <w:p w:rsidR="00000000" w:rsidRPr="001A1A32" w:rsidP="001A1A32">
            <w:pPr>
              <w:pStyle w:val="ListBullet"/>
            </w:pPr>
            <w:r w:rsidRPr="001A1A32">
              <w:t xml:space="preserve">public assembly or crowd control by-laws </w:t>
            </w:r>
          </w:p>
          <w:p w:rsidR="00000000" w:rsidRPr="001A1A32" w:rsidP="001A1A32">
            <w:pPr>
              <w:pStyle w:val="ListBullet"/>
            </w:pPr>
            <w:r w:rsidRPr="001A1A32">
              <w:t xml:space="preserve">parking </w:t>
            </w:r>
          </w:p>
          <w:p w:rsidR="00000000" w:rsidRPr="001A1A32" w:rsidP="001A1A32">
            <w:pPr>
              <w:pStyle w:val="ListBullet"/>
            </w:pPr>
            <w:r w:rsidRPr="001A1A32">
              <w:t xml:space="preserve">Dog Act </w:t>
            </w:r>
          </w:p>
          <w:p w:rsidR="00000000" w:rsidRPr="001A1A32" w:rsidP="001A1A32">
            <w:pPr>
              <w:pStyle w:val="ListBullet"/>
            </w:pPr>
            <w:r w:rsidRPr="001A1A32">
              <w:t xml:space="preserve">Health Acts </w:t>
            </w:r>
          </w:p>
          <w:p w:rsidR="00000000" w:rsidRPr="001A1A32" w:rsidP="001A1A32">
            <w:pPr>
              <w:pStyle w:val="ListBullet"/>
            </w:pPr>
            <w:r w:rsidRPr="001A1A32">
              <w:t xml:space="preserve">Food Acts </w:t>
            </w:r>
          </w:p>
          <w:p w:rsidR="00000000" w:rsidRPr="001A1A32" w:rsidP="001A1A32">
            <w:pPr>
              <w:pStyle w:val="ListBullet"/>
            </w:pPr>
            <w:r w:rsidRPr="001A1A32">
              <w:t xml:space="preserve">fire prevention regulations </w:t>
            </w:r>
          </w:p>
          <w:p w:rsidR="00000000" w:rsidP="001A1A32">
            <w:pPr>
              <w:pStyle w:val="ListBullet"/>
              <w:rPr>
                <w:lang w:val="en-NZ"/>
              </w:rPr>
            </w:pPr>
            <w:r w:rsidRPr="001A1A32">
              <w:t xml:space="preserve">Environment Acts and policies. </w:t>
            </w:r>
          </w:p>
        </w:tc>
      </w:tr>
      <w:tr w:rsidTr="0033212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1A1A32">
            <w:pPr>
              <w:pStyle w:val="BodyText"/>
              <w:rPr>
                <w:lang w:val="en-NZ"/>
              </w:rPr>
            </w:pPr>
            <w:r w:rsidRPr="001A1A32">
              <w:rPr>
                <w:rStyle w:val="BoldandItalics"/>
              </w:rPr>
              <w:t>Appropriate persons</w:t>
            </w:r>
            <w:r w:rsidRPr="001A1A32">
              <w:t xml:space="preserve"> may include:</w:t>
            </w:r>
          </w:p>
        </w:tc>
        <w:tc>
          <w:tcPr>
            <w:tcW w:w="6228" w:type="dxa"/>
            <w:tcBorders>
              <w:top w:val="nil"/>
              <w:left w:val="nil"/>
              <w:bottom w:val="nil"/>
              <w:right w:val="nil"/>
            </w:tcBorders>
            <w:tcMar>
              <w:top w:w="0" w:type="dxa"/>
              <w:left w:w="62" w:type="dxa"/>
              <w:bottom w:w="0" w:type="dxa"/>
              <w:right w:w="62" w:type="dxa"/>
            </w:tcMar>
          </w:tcPr>
          <w:p w:rsidR="00000000" w:rsidRPr="001A1A32" w:rsidP="001A1A32">
            <w:pPr>
              <w:pStyle w:val="ListBullet"/>
            </w:pPr>
            <w:r w:rsidRPr="001A1A32">
              <w:t>council officers</w:t>
            </w:r>
          </w:p>
          <w:p w:rsidR="00000000" w:rsidRPr="001A1A32" w:rsidP="001A1A32">
            <w:pPr>
              <w:pStyle w:val="ListBullet"/>
            </w:pPr>
            <w:r w:rsidRPr="001A1A32">
              <w:t>councillors</w:t>
            </w:r>
          </w:p>
          <w:p w:rsidR="00000000" w:rsidRPr="001A1A32" w:rsidP="001A1A32">
            <w:pPr>
              <w:pStyle w:val="ListBullet"/>
            </w:pPr>
            <w:r w:rsidRPr="001A1A32">
              <w:t>s</w:t>
            </w:r>
            <w:r w:rsidRPr="001A1A32">
              <w:t>upervisors</w:t>
            </w:r>
          </w:p>
          <w:p w:rsidR="00000000" w:rsidRPr="001A1A32" w:rsidP="001A1A32">
            <w:pPr>
              <w:pStyle w:val="ListBullet"/>
            </w:pPr>
            <w:r w:rsidRPr="001A1A32">
              <w:t>legal representatives</w:t>
            </w:r>
          </w:p>
          <w:p w:rsidR="00000000" w:rsidP="001A1A32">
            <w:pPr>
              <w:pStyle w:val="ListBullet"/>
              <w:rPr>
                <w:lang w:val="en-NZ"/>
              </w:rPr>
            </w:pPr>
            <w:r w:rsidRPr="001A1A32">
              <w:t>clients.</w:t>
            </w:r>
          </w:p>
        </w:tc>
      </w:tr>
      <w:tr w:rsidTr="0033212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1A1A32">
            <w:pPr>
              <w:pStyle w:val="BodyText"/>
              <w:rPr>
                <w:lang w:val="en-NZ"/>
              </w:rPr>
            </w:pPr>
            <w:r w:rsidRPr="001A1A32">
              <w:rPr>
                <w:rStyle w:val="BoldandItalics"/>
              </w:rPr>
              <w:t>Documentation and exhibits</w:t>
            </w:r>
            <w:r w:rsidRPr="001A1A32">
              <w:t xml:space="preserve"> may include:</w:t>
            </w:r>
          </w:p>
        </w:tc>
        <w:tc>
          <w:tcPr>
            <w:tcW w:w="6228" w:type="dxa"/>
            <w:tcBorders>
              <w:top w:val="nil"/>
              <w:left w:val="nil"/>
              <w:bottom w:val="nil"/>
              <w:right w:val="nil"/>
            </w:tcBorders>
            <w:tcMar>
              <w:top w:w="0" w:type="dxa"/>
              <w:left w:w="62" w:type="dxa"/>
              <w:bottom w:w="0" w:type="dxa"/>
              <w:right w:w="62" w:type="dxa"/>
            </w:tcMar>
          </w:tcPr>
          <w:p w:rsidR="00000000" w:rsidRPr="001A1A32" w:rsidP="001A1A32">
            <w:pPr>
              <w:pStyle w:val="ListBullet"/>
            </w:pPr>
            <w:r w:rsidRPr="001A1A32">
              <w:t>reports</w:t>
            </w:r>
          </w:p>
          <w:p w:rsidR="00000000" w:rsidRPr="001A1A32" w:rsidP="001A1A32">
            <w:pPr>
              <w:pStyle w:val="ListBullet"/>
            </w:pPr>
            <w:r w:rsidRPr="001A1A32">
              <w:t>photographs</w:t>
            </w:r>
          </w:p>
          <w:p w:rsidR="00000000" w:rsidRPr="001A1A32" w:rsidP="001A1A32">
            <w:pPr>
              <w:pStyle w:val="ListBullet"/>
            </w:pPr>
            <w:r w:rsidRPr="001A1A32">
              <w:t>items of evidence</w:t>
            </w:r>
          </w:p>
          <w:p w:rsidR="00000000" w:rsidRPr="001A1A32" w:rsidP="001A1A32">
            <w:pPr>
              <w:pStyle w:val="ListBullet"/>
            </w:pPr>
            <w:r w:rsidRPr="001A1A32">
              <w:t>media footage</w:t>
            </w:r>
          </w:p>
          <w:p w:rsidR="00000000" w:rsidRPr="001A1A32" w:rsidP="001A1A32">
            <w:pPr>
              <w:pStyle w:val="ListBullet"/>
            </w:pPr>
            <w:r w:rsidRPr="001A1A32">
              <w:t>reports of incidents</w:t>
            </w:r>
          </w:p>
          <w:p w:rsidR="00000000" w:rsidP="001A1A32">
            <w:pPr>
              <w:pStyle w:val="ListBullet"/>
              <w:rPr>
                <w:lang w:val="en-NZ"/>
              </w:rPr>
            </w:pPr>
            <w:r w:rsidRPr="001A1A32">
              <w:t>radio and telephone records or logs.</w:t>
            </w:r>
          </w:p>
        </w:tc>
      </w:tr>
      <w:tr w:rsidTr="0033212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1A1A32">
            <w:pPr>
              <w:pStyle w:val="BodyText"/>
              <w:rPr>
                <w:lang w:val="en-NZ"/>
              </w:rPr>
            </w:pPr>
            <w:r w:rsidRPr="001A1A32">
              <w:rPr>
                <w:rStyle w:val="BoldandItalics"/>
              </w:rPr>
              <w:t>Legislative and council requirements</w:t>
            </w:r>
            <w:r w:rsidRPr="001A1A32">
              <w:t xml:space="preserve"> may include:</w:t>
            </w:r>
          </w:p>
        </w:tc>
        <w:tc>
          <w:tcPr>
            <w:tcW w:w="6228" w:type="dxa"/>
            <w:tcBorders>
              <w:top w:val="nil"/>
              <w:left w:val="nil"/>
              <w:bottom w:val="nil"/>
              <w:right w:val="nil"/>
            </w:tcBorders>
            <w:tcMar>
              <w:top w:w="0" w:type="dxa"/>
              <w:left w:w="62" w:type="dxa"/>
              <w:bottom w:w="0" w:type="dxa"/>
              <w:right w:w="62" w:type="dxa"/>
            </w:tcMar>
          </w:tcPr>
          <w:p w:rsidR="00000000" w:rsidRPr="001A1A32" w:rsidP="001A1A32">
            <w:pPr>
              <w:pStyle w:val="ListBullet"/>
            </w:pPr>
            <w:r w:rsidRPr="001A1A32">
              <w:t>relevant federal, state or territory, or local legislation:</w:t>
            </w:r>
          </w:p>
          <w:p w:rsidR="00000000" w:rsidRPr="001A1A32" w:rsidP="001A1A32">
            <w:pPr>
              <w:pStyle w:val="ListBullet2"/>
            </w:pPr>
            <w:r w:rsidRPr="001A1A32">
              <w:t>occupational health and safety</w:t>
            </w:r>
          </w:p>
          <w:p w:rsidR="00000000" w:rsidRPr="001A1A32" w:rsidP="001A1A32">
            <w:pPr>
              <w:pStyle w:val="ListBullet2"/>
            </w:pPr>
            <w:r w:rsidRPr="001A1A32">
              <w:t>environmental issues</w:t>
            </w:r>
          </w:p>
          <w:p w:rsidR="00000000" w:rsidRPr="001A1A32" w:rsidP="001A1A32">
            <w:pPr>
              <w:pStyle w:val="ListBullet2"/>
            </w:pPr>
            <w:r w:rsidRPr="001A1A32">
              <w:t>equal employment opportunity</w:t>
            </w:r>
          </w:p>
          <w:p w:rsidR="00000000" w:rsidRPr="001A1A32" w:rsidP="001A1A32">
            <w:pPr>
              <w:pStyle w:val="ListBullet2"/>
            </w:pPr>
            <w:r w:rsidRPr="001A1A32">
              <w:t>industrial relations</w:t>
            </w:r>
          </w:p>
          <w:p w:rsidR="00000000" w:rsidRPr="001A1A32" w:rsidP="001A1A32">
            <w:pPr>
              <w:pStyle w:val="ListBullet2"/>
            </w:pPr>
            <w:r w:rsidRPr="001A1A32">
              <w:t>anti-discrimination and diversity</w:t>
            </w:r>
          </w:p>
          <w:p w:rsidR="00000000" w:rsidRPr="001A1A32" w:rsidP="001A1A32">
            <w:pPr>
              <w:pStyle w:val="ListBullet"/>
            </w:pPr>
            <w:r w:rsidRPr="001A1A32">
              <w:t>licensing arrangements</w:t>
            </w:r>
          </w:p>
          <w:p w:rsidR="00000000" w:rsidRPr="001A1A32" w:rsidP="001A1A32">
            <w:pPr>
              <w:pStyle w:val="ListBullet"/>
            </w:pPr>
            <w:r w:rsidRPr="001A1A32">
              <w:t>Australian standards, quality assurance and certification requirements</w:t>
            </w:r>
          </w:p>
          <w:p w:rsidR="00000000" w:rsidRPr="001A1A32" w:rsidP="001A1A32">
            <w:pPr>
              <w:pStyle w:val="ListBullet"/>
            </w:pPr>
            <w:r w:rsidRPr="001A1A32">
              <w:t>applicable Crimes Acts and codes</w:t>
            </w:r>
          </w:p>
          <w:p w:rsidR="00000000" w:rsidRPr="001A1A32" w:rsidP="001A1A32">
            <w:pPr>
              <w:pStyle w:val="ListBullet"/>
            </w:pPr>
            <w:r w:rsidRPr="001A1A32">
              <w:t>relevant industry codes of practice</w:t>
            </w:r>
          </w:p>
          <w:p w:rsidR="00000000" w:rsidRPr="001A1A32" w:rsidP="001A1A32">
            <w:pPr>
              <w:pStyle w:val="ListBullet"/>
            </w:pPr>
            <w:r w:rsidRPr="001A1A32">
              <w:t>award and enterprise agreements</w:t>
            </w:r>
          </w:p>
          <w:p w:rsidR="00000000" w:rsidRPr="001A1A32" w:rsidP="001A1A32">
            <w:pPr>
              <w:pStyle w:val="ListBullet"/>
            </w:pPr>
            <w:r w:rsidRPr="001A1A32">
              <w:t>trade practices</w:t>
            </w:r>
          </w:p>
          <w:p w:rsidR="00000000" w:rsidRPr="001A1A32" w:rsidP="001A1A32">
            <w:pPr>
              <w:pStyle w:val="ListBullet"/>
            </w:pPr>
            <w:r w:rsidRPr="001A1A32">
              <w:t>privacy requirements</w:t>
            </w:r>
          </w:p>
          <w:p w:rsidR="00000000" w:rsidRPr="001A1A32" w:rsidP="001A1A32">
            <w:pPr>
              <w:pStyle w:val="ListBullet"/>
            </w:pPr>
            <w:r w:rsidRPr="001A1A32">
              <w:t>freedom of information and confidentiality</w:t>
            </w:r>
          </w:p>
          <w:p w:rsidR="00000000" w:rsidRPr="001A1A32" w:rsidP="001A1A32">
            <w:pPr>
              <w:pStyle w:val="ListBullet"/>
            </w:pPr>
            <w:r w:rsidRPr="001A1A32">
              <w:t>coun</w:t>
            </w:r>
            <w:r w:rsidRPr="001A1A32">
              <w:t>cil requirements may relate to:</w:t>
            </w:r>
          </w:p>
          <w:p w:rsidR="00000000" w:rsidRPr="001A1A32" w:rsidP="001A1A32">
            <w:pPr>
              <w:pStyle w:val="ListBullet"/>
            </w:pPr>
            <w:r w:rsidRPr="001A1A32">
              <w:t>policy and procedures, including personnel practices and guidelines</w:t>
            </w:r>
          </w:p>
          <w:p w:rsidR="00000000" w:rsidRPr="001A1A32" w:rsidP="001A1A32">
            <w:pPr>
              <w:pStyle w:val="ListBullet"/>
            </w:pPr>
            <w:r w:rsidRPr="001A1A32">
              <w:t>goals, objectives, plans, systems and processes</w:t>
            </w:r>
          </w:p>
          <w:p w:rsidR="00000000" w:rsidRPr="001A1A32" w:rsidP="001A1A32">
            <w:pPr>
              <w:pStyle w:val="ListBullet"/>
            </w:pPr>
            <w:r w:rsidRPr="001A1A32">
              <w:t>legislation relevant to the operation, incident or response</w:t>
            </w:r>
          </w:p>
          <w:p w:rsidR="00000000" w:rsidRPr="001A1A32" w:rsidP="001A1A32">
            <w:pPr>
              <w:pStyle w:val="ListBullet"/>
            </w:pPr>
            <w:r w:rsidRPr="001A1A32">
              <w:t>employer and employee rights and responsibilities</w:t>
            </w:r>
          </w:p>
          <w:p w:rsidR="00000000" w:rsidRPr="001A1A32" w:rsidP="001A1A32">
            <w:pPr>
              <w:pStyle w:val="ListBullet"/>
            </w:pPr>
            <w:r w:rsidRPr="001A1A32">
              <w:t>policies and procedures relating to own role, responsibility and delegation</w:t>
            </w:r>
          </w:p>
          <w:p w:rsidR="00000000" w:rsidRPr="001A1A32" w:rsidP="001A1A32">
            <w:pPr>
              <w:pStyle w:val="ListBullet"/>
            </w:pPr>
            <w:r w:rsidRPr="001A1A32">
              <w:t>quality and continuous improvement processes and standards</w:t>
            </w:r>
          </w:p>
          <w:p w:rsidR="00000000" w:rsidRPr="001A1A32" w:rsidP="001A1A32">
            <w:pPr>
              <w:pStyle w:val="ListBullet"/>
            </w:pPr>
            <w:r w:rsidRPr="001A1A32">
              <w:t>client service standards</w:t>
            </w:r>
          </w:p>
          <w:p w:rsidR="00000000" w:rsidRPr="001A1A32" w:rsidP="001A1A32">
            <w:pPr>
              <w:pStyle w:val="ListBullet"/>
            </w:pPr>
            <w:r w:rsidRPr="001A1A32">
              <w:t>defined resource parameters</w:t>
            </w:r>
          </w:p>
          <w:p w:rsidR="00000000" w:rsidRPr="001A1A32" w:rsidP="001A1A32">
            <w:pPr>
              <w:pStyle w:val="ListBullet"/>
            </w:pPr>
            <w:r w:rsidRPr="001A1A32">
              <w:t>occupational healt</w:t>
            </w:r>
            <w:r w:rsidRPr="001A1A32">
              <w:t>h and safety policies, procedures and programs</w:t>
            </w:r>
          </w:p>
          <w:p w:rsidR="00000000" w:rsidRPr="001A1A32" w:rsidP="001A1A32">
            <w:pPr>
              <w:pStyle w:val="ListBullet"/>
            </w:pPr>
            <w:r w:rsidRPr="001A1A32">
              <w:t>duty of care, code of conduct and code of ethics</w:t>
            </w:r>
          </w:p>
          <w:p w:rsidR="00000000" w:rsidRPr="001A1A32" w:rsidP="001A1A32">
            <w:pPr>
              <w:pStyle w:val="ListBullet"/>
            </w:pPr>
            <w:r w:rsidRPr="001A1A32">
              <w:t>access and equity policy, principles and practice</w:t>
            </w:r>
          </w:p>
          <w:p w:rsidR="00000000" w:rsidRPr="001A1A32" w:rsidP="001A1A32">
            <w:pPr>
              <w:pStyle w:val="ListBullet"/>
            </w:pPr>
            <w:r w:rsidRPr="001A1A32">
              <w:t>records and information systems and processes</w:t>
            </w:r>
          </w:p>
          <w:p w:rsidR="00000000" w:rsidP="001A1A32">
            <w:pPr>
              <w:pStyle w:val="ListBullet"/>
              <w:rPr>
                <w:lang w:val="en-NZ"/>
              </w:rPr>
            </w:pPr>
            <w:r w:rsidRPr="001A1A32">
              <w:t>communication channels and reporting procedures</w:t>
            </w:r>
          </w:p>
        </w:tc>
      </w:tr>
      <w:tr w:rsidTr="0033212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1A1A32">
            <w:pPr>
              <w:pStyle w:val="BodyText"/>
              <w:rPr>
                <w:lang w:val="en-NZ"/>
              </w:rPr>
            </w:pPr>
            <w:r w:rsidRPr="001A1A32">
              <w:rPr>
                <w:rStyle w:val="BoldandItalics"/>
              </w:rPr>
              <w:t>Court protocols</w:t>
            </w:r>
            <w:r w:rsidRPr="001A1A32">
              <w:t xml:space="preserve"> may include:</w:t>
            </w:r>
          </w:p>
        </w:tc>
        <w:tc>
          <w:tcPr>
            <w:tcW w:w="6228" w:type="dxa"/>
            <w:tcBorders>
              <w:top w:val="nil"/>
              <w:left w:val="nil"/>
              <w:bottom w:val="nil"/>
              <w:right w:val="nil"/>
            </w:tcBorders>
            <w:tcMar>
              <w:top w:w="0" w:type="dxa"/>
              <w:left w:w="62" w:type="dxa"/>
              <w:bottom w:w="0" w:type="dxa"/>
              <w:right w:w="62" w:type="dxa"/>
            </w:tcMar>
          </w:tcPr>
          <w:p w:rsidR="00000000" w:rsidRPr="001A1A32" w:rsidP="001A1A32">
            <w:pPr>
              <w:pStyle w:val="ListBullet"/>
            </w:pPr>
            <w:r w:rsidRPr="001A1A32">
              <w:t>punctuality</w:t>
            </w:r>
          </w:p>
          <w:p w:rsidR="00000000" w:rsidRPr="001A1A32" w:rsidP="001A1A32">
            <w:pPr>
              <w:pStyle w:val="ListBullet"/>
            </w:pPr>
            <w:r w:rsidRPr="001A1A32">
              <w:t>voice clarity and language</w:t>
            </w:r>
          </w:p>
          <w:p w:rsidR="00000000" w:rsidRPr="001A1A32" w:rsidP="001A1A32">
            <w:pPr>
              <w:pStyle w:val="ListBullet"/>
            </w:pPr>
            <w:r w:rsidRPr="001A1A32">
              <w:t>impartiality</w:t>
            </w:r>
          </w:p>
          <w:p w:rsidR="00000000" w:rsidRPr="001A1A32" w:rsidP="001A1A32">
            <w:pPr>
              <w:pStyle w:val="ListBullet"/>
            </w:pPr>
            <w:r w:rsidRPr="001A1A32">
              <w:t>forms of address</w:t>
            </w:r>
          </w:p>
          <w:p w:rsidR="00000000" w:rsidRPr="001A1A32" w:rsidP="001A1A32">
            <w:pPr>
              <w:pStyle w:val="ListBullet"/>
            </w:pPr>
            <w:r w:rsidRPr="001A1A32">
              <w:t>respect for people and offices held</w:t>
            </w:r>
          </w:p>
          <w:p w:rsidR="00000000" w:rsidRPr="001A1A32" w:rsidP="001A1A32">
            <w:pPr>
              <w:pStyle w:val="ListBullet"/>
            </w:pPr>
            <w:r w:rsidRPr="001A1A32">
              <w:t>standards of dress and physical appearance</w:t>
            </w:r>
          </w:p>
          <w:p w:rsidR="00000000" w:rsidRPr="001A1A32" w:rsidP="001A1A32">
            <w:pPr>
              <w:pStyle w:val="ListBullet"/>
            </w:pPr>
            <w:r w:rsidRPr="001A1A32">
              <w:t>readiness of self and evidence</w:t>
            </w:r>
          </w:p>
          <w:p w:rsidR="00000000" w:rsidP="001A1A32">
            <w:pPr>
              <w:pStyle w:val="ListBullet"/>
              <w:rPr>
                <w:lang w:val="en-NZ"/>
              </w:rPr>
            </w:pPr>
            <w:r w:rsidRPr="001A1A32">
              <w:t>general demeanour</w:t>
            </w:r>
          </w:p>
        </w:tc>
      </w:tr>
      <w:tr w:rsidTr="0033212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1A1A32">
            <w:pPr>
              <w:pStyle w:val="BodyText"/>
              <w:rPr>
                <w:lang w:val="en-NZ"/>
              </w:rPr>
            </w:pPr>
            <w:r w:rsidRPr="001A1A32">
              <w:rPr>
                <w:rStyle w:val="BoldandItalics"/>
              </w:rPr>
              <w:t>Rules of evidence</w:t>
            </w:r>
            <w:r w:rsidRPr="001A1A32">
              <w:t xml:space="preserve"> may include:</w:t>
            </w:r>
          </w:p>
        </w:tc>
        <w:tc>
          <w:tcPr>
            <w:tcW w:w="6228" w:type="dxa"/>
            <w:tcBorders>
              <w:top w:val="nil"/>
              <w:left w:val="nil"/>
              <w:bottom w:val="nil"/>
              <w:right w:val="nil"/>
            </w:tcBorders>
            <w:tcMar>
              <w:top w:w="0" w:type="dxa"/>
              <w:left w:w="62" w:type="dxa"/>
              <w:bottom w:w="0" w:type="dxa"/>
              <w:right w:w="62" w:type="dxa"/>
            </w:tcMar>
          </w:tcPr>
          <w:p w:rsidR="00000000" w:rsidRPr="001A1A32" w:rsidP="001A1A32">
            <w:pPr>
              <w:pStyle w:val="ListBullet"/>
            </w:pPr>
            <w:r w:rsidRPr="001A1A32">
              <w:t>admissibility</w:t>
            </w:r>
          </w:p>
          <w:p w:rsidR="00000000" w:rsidRPr="001A1A32" w:rsidP="001A1A32">
            <w:pPr>
              <w:pStyle w:val="ListBullet"/>
            </w:pPr>
            <w:r w:rsidRPr="001A1A32">
              <w:t>chain of custody of samples</w:t>
            </w:r>
          </w:p>
          <w:p w:rsidR="00000000" w:rsidP="001A1A32">
            <w:pPr>
              <w:pStyle w:val="ListBullet"/>
              <w:rPr>
                <w:lang w:val="en-NZ"/>
              </w:rPr>
            </w:pPr>
            <w:r w:rsidRPr="001A1A32">
              <w:t>contemporaneousness</w:t>
            </w:r>
          </w:p>
        </w:tc>
      </w:tr>
      <w:tr w:rsidTr="0033212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1A1A32">
            <w:pPr>
              <w:pStyle w:val="BodyText"/>
              <w:rPr>
                <w:lang w:val="en-NZ"/>
              </w:rPr>
            </w:pPr>
            <w:r w:rsidRPr="001A1A32">
              <w:rPr>
                <w:rStyle w:val="BoldandItalics"/>
              </w:rPr>
              <w:t>Evidence</w:t>
            </w:r>
            <w:r w:rsidRPr="001A1A32">
              <w:t xml:space="preserve"> may include:</w:t>
            </w:r>
          </w:p>
        </w:tc>
        <w:tc>
          <w:tcPr>
            <w:tcW w:w="6228" w:type="dxa"/>
            <w:tcBorders>
              <w:top w:val="nil"/>
              <w:left w:val="nil"/>
              <w:bottom w:val="nil"/>
              <w:right w:val="nil"/>
            </w:tcBorders>
            <w:tcMar>
              <w:top w:w="0" w:type="dxa"/>
              <w:left w:w="62" w:type="dxa"/>
              <w:bottom w:w="0" w:type="dxa"/>
              <w:right w:w="62" w:type="dxa"/>
            </w:tcMar>
          </w:tcPr>
          <w:p w:rsidR="00000000" w:rsidRPr="001A1A32" w:rsidP="001A1A32">
            <w:pPr>
              <w:pStyle w:val="ListBullet"/>
            </w:pPr>
            <w:r w:rsidRPr="001A1A32">
              <w:t>facts</w:t>
            </w:r>
          </w:p>
          <w:p w:rsidR="00000000" w:rsidRPr="001A1A32" w:rsidP="001A1A32">
            <w:pPr>
              <w:pStyle w:val="ListBullet"/>
            </w:pPr>
            <w:r w:rsidRPr="001A1A32">
              <w:t>testimony</w:t>
            </w:r>
          </w:p>
          <w:p w:rsidR="00000000" w:rsidRPr="001A1A32" w:rsidP="001A1A32">
            <w:pPr>
              <w:pStyle w:val="ListBullet"/>
            </w:pPr>
            <w:r w:rsidRPr="001A1A32">
              <w:t>documents</w:t>
            </w:r>
          </w:p>
          <w:p w:rsidR="00000000" w:rsidP="001A1A32">
            <w:pPr>
              <w:pStyle w:val="ListBullet"/>
              <w:rPr>
                <w:lang w:val="en-NZ"/>
              </w:rPr>
            </w:pPr>
            <w:r w:rsidRPr="001A1A32">
              <w:t>physical exhibits</w:t>
            </w:r>
          </w:p>
        </w:tc>
      </w:tr>
      <w:tr w:rsidTr="0033212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1A1A32">
            <w:pPr>
              <w:pStyle w:val="BodyText"/>
              <w:rPr>
                <w:lang w:val="en-NZ"/>
              </w:rPr>
            </w:pPr>
            <w:r w:rsidRPr="001A1A32">
              <w:rPr>
                <w:rStyle w:val="BoldandItalics"/>
              </w:rPr>
              <w:t>Feedback</w:t>
            </w:r>
            <w:r w:rsidRPr="001A1A32">
              <w:t xml:space="preserve"> may include:</w:t>
            </w:r>
          </w:p>
        </w:tc>
        <w:tc>
          <w:tcPr>
            <w:tcW w:w="6228" w:type="dxa"/>
            <w:tcBorders>
              <w:top w:val="nil"/>
              <w:left w:val="nil"/>
              <w:bottom w:val="nil"/>
              <w:right w:val="nil"/>
            </w:tcBorders>
            <w:tcMar>
              <w:top w:w="0" w:type="dxa"/>
              <w:left w:w="62" w:type="dxa"/>
              <w:bottom w:w="0" w:type="dxa"/>
              <w:right w:w="62" w:type="dxa"/>
            </w:tcMar>
          </w:tcPr>
          <w:p w:rsidR="00000000" w:rsidRPr="001A1A32" w:rsidP="001A1A32">
            <w:pPr>
              <w:pStyle w:val="ListBullet"/>
            </w:pPr>
            <w:r w:rsidRPr="001A1A32">
              <w:t>formal and informal performance appraisals</w:t>
            </w:r>
          </w:p>
          <w:p w:rsidR="00000000" w:rsidRPr="001A1A32" w:rsidP="001A1A32">
            <w:pPr>
              <w:pStyle w:val="ListBullet"/>
            </w:pPr>
            <w:r w:rsidRPr="001A1A32">
              <w:t>comments from supervisors, colleagues or clients</w:t>
            </w:r>
          </w:p>
          <w:p w:rsidR="00000000" w:rsidRPr="001A1A32" w:rsidP="001A1A32">
            <w:pPr>
              <w:pStyle w:val="ListBullet"/>
            </w:pPr>
            <w:r w:rsidRPr="001A1A32">
              <w:t>personal, reflective behaviour strategies</w:t>
            </w:r>
          </w:p>
          <w:p w:rsidR="00000000" w:rsidRPr="001A1A32" w:rsidP="001A1A32">
            <w:pPr>
              <w:pStyle w:val="ListBullet"/>
            </w:pPr>
            <w:r w:rsidRPr="001A1A32">
              <w:t>workplace assessment</w:t>
            </w:r>
          </w:p>
        </w:tc>
      </w:tr>
    </w:tbl>
    <w:p w:rsidR="00000000" w:rsidRPr="001A1A32" w:rsidP="001A1A32">
      <w:pPr>
        <w:pStyle w:val="BodyText"/>
      </w:pPr>
    </w:p>
    <w:p w:rsidR="00000000" w:rsidRPr="001A1A32" w:rsidP="001A1A32">
      <w:pPr>
        <w:pStyle w:val="AllowPageBreak"/>
      </w:pPr>
    </w:p>
    <w:p w:rsidR="00000000" w:rsidRPr="001A1A32" w:rsidP="001A1A32">
      <w:pPr>
        <w:pStyle w:val="Heading1"/>
      </w:pPr>
      <w:bookmarkStart w:id="12" w:name="O_442122"/>
      <w:bookmarkEnd w:id="12"/>
      <w:r w:rsidRPr="001A1A32">
        <w:t>Unit Sector(s)</w:t>
      </w:r>
    </w:p>
    <w:p w:rsidR="00000000" w:rsidRPr="001A1A32" w:rsidP="001A1A32">
      <w:pPr>
        <w:pStyle w:val="BodyText"/>
      </w:pPr>
      <w:r w:rsidRPr="001A1A32">
        <w:t>Regulatory Services</w:t>
      </w:r>
    </w:p>
    <w:p w:rsidR="00000000" w:rsidRPr="001A1A32" w:rsidP="001A1A32"/>
    <w:sectPr w:rsidSect="001A1A3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1A3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32120" w:rsidP="0033212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1A3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2120" w:rsidP="001A1A3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332120" w:rsidP="001A1A3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332120" w:rsidP="001A1A3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1A3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1A32" w:rsidRPr="00332120" w:rsidP="0033212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1A3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2120" w:rsidRPr="002D2AF8" w:rsidP="001A1A32">
    <w:pPr>
      <w:pStyle w:val="Header"/>
      <w:framePr w:wrap="around"/>
    </w:pPr>
    <w:r>
      <w:fldChar w:fldCharType="begin"/>
    </w:r>
    <w:r>
      <w:instrText xml:space="preserve"> TITLE   \* MERGEFORMAT </w:instrText>
    </w:r>
    <w:r>
      <w:fldChar w:fldCharType="separate"/>
    </w:r>
    <w:r>
      <w:t>LGAREGS402B Provide evidence in court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11/09/2012</w:t>
    </w:r>
    <w:r>
      <w:fldChar w:fldCharType="end"/>
    </w:r>
  </w:p>
  <w:p w:rsidR="00332120" w:rsidP="001A1A3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818CF5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A7A114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FC6285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A1A3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A1A32"/>
    <w:pPr>
      <w:spacing w:before="360" w:after="60"/>
      <w:outlineLvl w:val="0"/>
    </w:pPr>
    <w:rPr>
      <w:sz w:val="32"/>
    </w:rPr>
  </w:style>
  <w:style w:type="paragraph" w:styleId="Heading2">
    <w:name w:val="heading 2"/>
    <w:basedOn w:val="HeadingBase"/>
    <w:next w:val="BodyText"/>
    <w:link w:val="Heading2Char"/>
    <w:qFormat/>
    <w:rsid w:val="001A1A32"/>
    <w:pPr>
      <w:keepLines/>
      <w:spacing w:before="240" w:after="120"/>
      <w:outlineLvl w:val="1"/>
    </w:pPr>
    <w:rPr>
      <w:sz w:val="28"/>
      <w:szCs w:val="40"/>
    </w:rPr>
  </w:style>
  <w:style w:type="paragraph" w:styleId="Heading3">
    <w:name w:val="heading 3"/>
    <w:basedOn w:val="HeadingBase"/>
    <w:next w:val="BodyText"/>
    <w:link w:val="Heading3Char"/>
    <w:qFormat/>
    <w:rsid w:val="001A1A32"/>
    <w:pPr>
      <w:spacing w:before="180" w:after="120"/>
      <w:outlineLvl w:val="2"/>
    </w:pPr>
    <w:rPr>
      <w:spacing w:val="-10"/>
      <w:kern w:val="32"/>
    </w:rPr>
  </w:style>
  <w:style w:type="paragraph" w:styleId="Heading4">
    <w:name w:val="heading 4"/>
    <w:basedOn w:val="HeadingBase"/>
    <w:next w:val="BodyText"/>
    <w:link w:val="Heading4Char"/>
    <w:qFormat/>
    <w:rsid w:val="001A1A32"/>
    <w:pPr>
      <w:spacing w:before="160" w:after="120"/>
      <w:outlineLvl w:val="3"/>
    </w:pPr>
    <w:rPr>
      <w:sz w:val="22"/>
    </w:rPr>
  </w:style>
  <w:style w:type="paragraph" w:styleId="Heading5">
    <w:name w:val="heading 5"/>
    <w:basedOn w:val="HeadingBase"/>
    <w:next w:val="Normal"/>
    <w:link w:val="Heading5Char"/>
    <w:qFormat/>
    <w:rsid w:val="001A1A32"/>
    <w:pPr>
      <w:spacing w:before="80"/>
      <w:outlineLvl w:val="4"/>
    </w:pPr>
    <w:rPr>
      <w:color w:val="918585"/>
      <w:sz w:val="20"/>
    </w:rPr>
  </w:style>
  <w:style w:type="paragraph" w:styleId="Heading6">
    <w:name w:val="heading 6"/>
    <w:basedOn w:val="HeadingBase"/>
    <w:next w:val="Normal"/>
    <w:link w:val="Heading6Char"/>
    <w:qFormat/>
    <w:rsid w:val="001A1A32"/>
    <w:pPr>
      <w:spacing w:before="60"/>
      <w:outlineLvl w:val="5"/>
    </w:pPr>
    <w:rPr>
      <w:color w:val="918585"/>
      <w:sz w:val="20"/>
    </w:rPr>
  </w:style>
  <w:style w:type="paragraph" w:styleId="Heading7">
    <w:name w:val="heading 7"/>
    <w:basedOn w:val="Normal"/>
    <w:next w:val="Normal"/>
    <w:link w:val="Heading7Char"/>
    <w:qFormat/>
    <w:rsid w:val="001A1A32"/>
    <w:pPr>
      <w:ind w:left="720"/>
      <w:outlineLvl w:val="6"/>
    </w:pPr>
    <w:rPr>
      <w:i/>
    </w:rPr>
  </w:style>
  <w:style w:type="paragraph" w:styleId="Heading8">
    <w:name w:val="heading 8"/>
    <w:basedOn w:val="Normal"/>
    <w:next w:val="Normal"/>
    <w:link w:val="Heading8Char"/>
    <w:qFormat/>
    <w:rsid w:val="001A1A32"/>
    <w:pPr>
      <w:ind w:left="720"/>
      <w:outlineLvl w:val="7"/>
    </w:pPr>
    <w:rPr>
      <w:i/>
    </w:rPr>
  </w:style>
  <w:style w:type="paragraph" w:styleId="Heading9">
    <w:name w:val="heading 9"/>
    <w:basedOn w:val="Normal"/>
    <w:next w:val="Normal"/>
    <w:link w:val="Heading9Char"/>
    <w:qFormat/>
    <w:rsid w:val="001A1A32"/>
    <w:pPr>
      <w:ind w:left="720"/>
      <w:outlineLvl w:val="8"/>
    </w:pPr>
    <w:rPr>
      <w:i/>
    </w:rPr>
  </w:style>
  <w:style w:type="character" w:default="1" w:styleId="DefaultParagraphFont">
    <w:name w:val="Default Paragraph Font"/>
    <w:uiPriority w:val="1"/>
    <w:unhideWhenUsed/>
    <w:rsid w:val="001A1A3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A1A32"/>
  </w:style>
  <w:style w:type="character" w:customStyle="1" w:styleId="Heading1Char">
    <w:name w:val="Heading 1 Char"/>
    <w:basedOn w:val="DefaultParagraphFont"/>
    <w:link w:val="Heading1"/>
    <w:rsid w:val="001A1A32"/>
    <w:rPr>
      <w:rFonts w:ascii="Times New Roman" w:eastAsia="Times New Roman" w:hAnsi="Times New Roman" w:cs="Times New Roman"/>
      <w:b/>
      <w:sz w:val="32"/>
      <w:szCs w:val="20"/>
      <w:lang w:eastAsia="en-US"/>
    </w:rPr>
  </w:style>
  <w:style w:type="paragraph" w:styleId="BodyText">
    <w:name w:val="Body Text"/>
    <w:basedOn w:val="Normal"/>
    <w:link w:val="BodyTextChar"/>
    <w:rsid w:val="001A1A3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A1A32"/>
    <w:rPr>
      <w:rFonts w:ascii="Times New Roman" w:eastAsia="Times New Roman" w:hAnsi="Times New Roman" w:cs="Times New Roman"/>
      <w:sz w:val="24"/>
      <w:lang w:eastAsia="en-US"/>
    </w:rPr>
  </w:style>
  <w:style w:type="paragraph" w:styleId="Footer">
    <w:name w:val="footer"/>
    <w:basedOn w:val="Normal"/>
    <w:link w:val="FooterChar"/>
    <w:rsid w:val="001A1A3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A1A32"/>
    <w:rPr>
      <w:rFonts w:ascii="Times New Roman" w:eastAsia="Times New Roman" w:hAnsi="Times New Roman" w:cs="Times New Roman"/>
      <w:sz w:val="16"/>
      <w:lang w:eastAsia="en-US"/>
    </w:rPr>
  </w:style>
  <w:style w:type="paragraph" w:styleId="List">
    <w:name w:val="List"/>
    <w:basedOn w:val="BodyText"/>
    <w:next w:val="BodyText"/>
    <w:rsid w:val="001A1A32"/>
    <w:pPr>
      <w:tabs>
        <w:tab w:val="left" w:pos="340"/>
      </w:tabs>
      <w:spacing w:before="60" w:after="60"/>
      <w:ind w:left="340" w:hanging="340"/>
    </w:pPr>
  </w:style>
  <w:style w:type="paragraph" w:styleId="ListBullet">
    <w:name w:val="List Bullet"/>
    <w:basedOn w:val="List"/>
    <w:rsid w:val="001A1A32"/>
    <w:pPr>
      <w:numPr>
        <w:numId w:val="13"/>
      </w:numPr>
      <w:tabs>
        <w:tab w:val="clear" w:pos="340"/>
      </w:tabs>
      <w:spacing w:before="40" w:after="40"/>
    </w:pPr>
  </w:style>
  <w:style w:type="character" w:customStyle="1" w:styleId="SpecialBold">
    <w:name w:val="Special Bold"/>
    <w:basedOn w:val="DefaultParagraphFont"/>
    <w:rsid w:val="001A1A32"/>
    <w:rPr>
      <w:b/>
      <w:spacing w:val="0"/>
    </w:rPr>
  </w:style>
  <w:style w:type="paragraph" w:styleId="ListBullet2">
    <w:name w:val="List Bullet 2"/>
    <w:basedOn w:val="List2"/>
    <w:rsid w:val="001A1A32"/>
    <w:pPr>
      <w:numPr>
        <w:numId w:val="14"/>
      </w:numPr>
      <w:tabs>
        <w:tab w:val="clear" w:pos="680"/>
      </w:tabs>
    </w:pPr>
  </w:style>
  <w:style w:type="paragraph" w:customStyle="1" w:styleId="SuperHeading">
    <w:name w:val="SuperHeading"/>
    <w:basedOn w:val="Normal"/>
    <w:rsid w:val="001A1A32"/>
    <w:pPr>
      <w:spacing w:before="240" w:after="120"/>
      <w:outlineLvl w:val="0"/>
    </w:pPr>
    <w:rPr>
      <w:rFonts w:ascii="Times New Roman" w:hAnsi="Times New Roman"/>
      <w:b/>
      <w:sz w:val="28"/>
    </w:rPr>
  </w:style>
  <w:style w:type="paragraph" w:customStyle="1" w:styleId="AllowPageBreak">
    <w:name w:val="AllowPageBreak"/>
    <w:rsid w:val="001A1A3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1A1A32"/>
    <w:rPr>
      <w:b/>
      <w:i/>
      <w:u w:val="none"/>
    </w:rPr>
  </w:style>
  <w:style w:type="character" w:customStyle="1" w:styleId="Heading2Char">
    <w:name w:val="Heading 2 Char"/>
    <w:basedOn w:val="DefaultParagraphFont"/>
    <w:link w:val="Heading2"/>
    <w:rsid w:val="001A1A3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A1A3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A1A3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A1A3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A1A3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A1A3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A1A3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A1A32"/>
    <w:rPr>
      <w:rFonts w:ascii="Courier New" w:eastAsia="Times New Roman" w:hAnsi="Courier New" w:cs="Times New Roman"/>
      <w:i/>
      <w:szCs w:val="20"/>
      <w:lang w:eastAsia="en-US"/>
    </w:rPr>
  </w:style>
  <w:style w:type="paragraph" w:customStyle="1" w:styleId="HeadingBase">
    <w:name w:val="Heading Base"/>
    <w:rsid w:val="001A1A3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A1A32"/>
    <w:pPr>
      <w:tabs>
        <w:tab w:val="right" w:leader="dot" w:pos="9072"/>
      </w:tabs>
      <w:ind w:left="567"/>
    </w:pPr>
    <w:rPr>
      <w:szCs w:val="22"/>
    </w:rPr>
  </w:style>
  <w:style w:type="paragraph" w:customStyle="1" w:styleId="TOCBase">
    <w:name w:val="TOC Base"/>
    <w:rsid w:val="001A1A3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A1A32"/>
    <w:pPr>
      <w:tabs>
        <w:tab w:val="right" w:leader="dot" w:pos="9072"/>
      </w:tabs>
      <w:spacing w:before="40" w:after="40"/>
      <w:ind w:left="284"/>
    </w:pPr>
    <w:rPr>
      <w:rFonts w:ascii="Times New Roman" w:hAnsi="Times New Roman"/>
    </w:rPr>
  </w:style>
  <w:style w:type="paragraph" w:styleId="TOC1">
    <w:name w:val="toc 1"/>
    <w:basedOn w:val="TOCBase"/>
    <w:next w:val="Normal"/>
    <w:rsid w:val="001A1A3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A1A32"/>
    <w:pPr>
      <w:spacing w:before="5040"/>
      <w:jc w:val="center"/>
    </w:pPr>
    <w:rPr>
      <w:sz w:val="48"/>
      <w:szCs w:val="72"/>
      <w:lang w:val="en-US"/>
    </w:rPr>
  </w:style>
  <w:style w:type="character" w:customStyle="1" w:styleId="TitleChar">
    <w:name w:val="Title Char"/>
    <w:basedOn w:val="DefaultParagraphFont"/>
    <w:link w:val="Title"/>
    <w:rsid w:val="001A1A3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A1A32"/>
    <w:pPr>
      <w:tabs>
        <w:tab w:val="left" w:pos="3600"/>
        <w:tab w:val="left" w:pos="3958"/>
      </w:tabs>
    </w:pPr>
  </w:style>
  <w:style w:type="paragraph" w:customStyle="1" w:styleId="Note">
    <w:name w:val="Note"/>
    <w:basedOn w:val="BodyText"/>
    <w:rsid w:val="001A1A3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A1A32"/>
    <w:pPr>
      <w:framePr w:wrap="auto" w:hAnchor="text" w:y="6049"/>
    </w:pPr>
    <w:rPr>
      <w:color w:val="000000"/>
      <w:sz w:val="40"/>
    </w:rPr>
  </w:style>
  <w:style w:type="paragraph" w:customStyle="1" w:styleId="TOCTitle">
    <w:name w:val="TOCTitle"/>
    <w:basedOn w:val="Heading1"/>
    <w:rsid w:val="001A1A32"/>
    <w:pPr>
      <w:spacing w:after="240"/>
      <w:jc w:val="center"/>
      <w:outlineLvl w:val="9"/>
    </w:pPr>
    <w:rPr>
      <w:caps/>
    </w:rPr>
  </w:style>
  <w:style w:type="paragraph" w:customStyle="1" w:styleId="Version">
    <w:name w:val="Version"/>
    <w:rsid w:val="001A1A3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A1A32"/>
    <w:pPr>
      <w:keepNext w:val="0"/>
      <w:tabs>
        <w:tab w:val="right" w:pos="4176"/>
      </w:tabs>
      <w:ind w:left="198" w:hanging="198"/>
    </w:pPr>
    <w:rPr>
      <w:rFonts w:ascii="Garamond" w:hAnsi="Garamond"/>
    </w:rPr>
  </w:style>
  <w:style w:type="paragraph" w:styleId="IndexHeading">
    <w:name w:val="index heading"/>
    <w:basedOn w:val="Normal"/>
    <w:next w:val="Index1"/>
    <w:semiHidden/>
    <w:rsid w:val="001A1A32"/>
    <w:pPr>
      <w:spacing w:before="120" w:after="120"/>
    </w:pPr>
    <w:rPr>
      <w:rFonts w:ascii="Arial" w:hAnsi="Arial"/>
      <w:b/>
      <w:color w:val="918585"/>
      <w:sz w:val="24"/>
    </w:rPr>
  </w:style>
  <w:style w:type="paragraph" w:styleId="Header">
    <w:name w:val="header"/>
    <w:basedOn w:val="Normal"/>
    <w:link w:val="HeaderChar"/>
    <w:rsid w:val="001A1A3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A1A32"/>
    <w:rPr>
      <w:rFonts w:ascii="Times New Roman" w:eastAsia="Times New Roman" w:hAnsi="Times New Roman" w:cs="Times New Roman"/>
      <w:sz w:val="16"/>
      <w:szCs w:val="20"/>
      <w:lang w:val="en-GB" w:eastAsia="en-US"/>
    </w:rPr>
  </w:style>
  <w:style w:type="paragraph" w:customStyle="1" w:styleId="Chapter">
    <w:name w:val="Chapter"/>
    <w:basedOn w:val="Normal"/>
    <w:rsid w:val="001A1A32"/>
    <w:pPr>
      <w:spacing w:before="240"/>
    </w:pPr>
    <w:rPr>
      <w:rFonts w:ascii="Times New Roman" w:hAnsi="Times New Roman"/>
      <w:smallCaps/>
      <w:spacing w:val="80"/>
      <w:sz w:val="28"/>
    </w:rPr>
  </w:style>
  <w:style w:type="paragraph" w:customStyle="1" w:styleId="InChapter">
    <w:name w:val="InChapter"/>
    <w:basedOn w:val="Heading3"/>
    <w:rsid w:val="001A1A32"/>
    <w:pPr>
      <w:spacing w:after="240"/>
      <w:outlineLvl w:val="9"/>
    </w:pPr>
    <w:rPr>
      <w:noProof/>
    </w:rPr>
  </w:style>
  <w:style w:type="paragraph" w:styleId="Index2">
    <w:name w:val="index 2"/>
    <w:basedOn w:val="Normal"/>
    <w:next w:val="Normal"/>
    <w:semiHidden/>
    <w:rsid w:val="001A1A32"/>
    <w:pPr>
      <w:tabs>
        <w:tab w:val="right" w:pos="4176"/>
      </w:tabs>
      <w:ind w:left="568" w:hanging="284"/>
    </w:pPr>
    <w:rPr>
      <w:rFonts w:ascii="Garamond" w:hAnsi="Garamond"/>
    </w:rPr>
  </w:style>
  <w:style w:type="paragraph" w:customStyle="1" w:styleId="Byline">
    <w:name w:val="Byline"/>
    <w:rsid w:val="001A1A3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A1A32"/>
    <w:pPr>
      <w:tabs>
        <w:tab w:val="clear" w:pos="3600"/>
        <w:tab w:val="clear" w:pos="3958"/>
      </w:tabs>
      <w:jc w:val="right"/>
    </w:pPr>
  </w:style>
  <w:style w:type="character" w:styleId="Emphasis">
    <w:name w:val="Emphasis"/>
    <w:basedOn w:val="DefaultParagraphFont"/>
    <w:qFormat/>
    <w:rsid w:val="001A1A32"/>
    <w:rPr>
      <w:i/>
    </w:rPr>
  </w:style>
  <w:style w:type="paragraph" w:styleId="Caption">
    <w:name w:val="caption"/>
    <w:basedOn w:val="BodyText"/>
    <w:next w:val="Normal"/>
    <w:qFormat/>
    <w:rsid w:val="001A1A32"/>
    <w:pPr>
      <w:framePr w:w="2268" w:hSpace="181" w:vSpace="181" w:wrap="around" w:vAnchor="text" w:hAnchor="page" w:x="1135" w:y="285" w:anchorLock="1"/>
    </w:pPr>
    <w:rPr>
      <w:i/>
    </w:rPr>
  </w:style>
  <w:style w:type="paragraph" w:customStyle="1" w:styleId="MiniTOCTitle">
    <w:name w:val="MiniTOCTitle"/>
    <w:basedOn w:val="Heading4"/>
    <w:rsid w:val="001A1A32"/>
    <w:pPr>
      <w:spacing w:before="240"/>
      <w:outlineLvl w:val="9"/>
    </w:pPr>
    <w:rPr>
      <w:noProof/>
      <w:sz w:val="24"/>
    </w:rPr>
  </w:style>
  <w:style w:type="paragraph" w:customStyle="1" w:styleId="MiniTOCItem">
    <w:name w:val="MiniTOCItem"/>
    <w:basedOn w:val="ListBullet"/>
    <w:rsid w:val="001A1A32"/>
    <w:pPr>
      <w:numPr>
        <w:numId w:val="0"/>
      </w:numPr>
      <w:tabs>
        <w:tab w:val="right" w:leader="dot" w:pos="6521"/>
      </w:tabs>
      <w:spacing w:before="0" w:after="0"/>
    </w:pPr>
  </w:style>
  <w:style w:type="paragraph" w:customStyle="1" w:styleId="TOFTitle">
    <w:name w:val="TOFTitle"/>
    <w:basedOn w:val="TOCTitle"/>
    <w:rsid w:val="001A1A32"/>
  </w:style>
  <w:style w:type="paragraph" w:styleId="TableofFigures">
    <w:name w:val="table of figures"/>
    <w:basedOn w:val="Normal"/>
    <w:next w:val="Normal"/>
    <w:semiHidden/>
    <w:rsid w:val="001A1A32"/>
    <w:pPr>
      <w:tabs>
        <w:tab w:val="right" w:leader="dot" w:pos="9072"/>
      </w:tabs>
      <w:ind w:left="970" w:hanging="403"/>
    </w:pPr>
    <w:rPr>
      <w:rFonts w:ascii="Times New Roman" w:hAnsi="Times New Roman"/>
      <w:b/>
    </w:rPr>
  </w:style>
  <w:style w:type="paragraph" w:styleId="ListNumber">
    <w:name w:val="List Number"/>
    <w:basedOn w:val="List"/>
    <w:rsid w:val="001A1A32"/>
    <w:pPr>
      <w:numPr>
        <w:numId w:val="11"/>
      </w:numPr>
    </w:pPr>
  </w:style>
  <w:style w:type="character" w:customStyle="1" w:styleId="WingdingSymbols">
    <w:name w:val="Wingding Symbols"/>
    <w:rsid w:val="001A1A32"/>
    <w:rPr>
      <w:rFonts w:ascii="Wingdings" w:hAnsi="Wingdings"/>
    </w:rPr>
  </w:style>
  <w:style w:type="paragraph" w:customStyle="1" w:styleId="TableHeading">
    <w:name w:val="Table Heading"/>
    <w:basedOn w:val="HeadingBase"/>
    <w:rsid w:val="001A1A32"/>
    <w:pPr>
      <w:keepLines/>
      <w:pBdr>
        <w:bottom w:val="single" w:sz="6" w:space="1" w:color="918585"/>
      </w:pBdr>
      <w:spacing w:before="240"/>
    </w:pPr>
  </w:style>
  <w:style w:type="character" w:customStyle="1" w:styleId="HotSpot">
    <w:name w:val="HotSpot"/>
    <w:rsid w:val="001A1A32"/>
    <w:rPr>
      <w:color w:val="0033CC"/>
      <w:u w:val="none"/>
    </w:rPr>
  </w:style>
  <w:style w:type="paragraph" w:customStyle="1" w:styleId="BodyTextRight">
    <w:name w:val="Body Text Right"/>
    <w:basedOn w:val="BodyText"/>
    <w:rsid w:val="001A1A32"/>
    <w:pPr>
      <w:spacing w:before="0" w:after="0"/>
      <w:jc w:val="right"/>
    </w:pPr>
  </w:style>
  <w:style w:type="paragraph" w:styleId="Index3">
    <w:name w:val="index 3"/>
    <w:basedOn w:val="ListNumber2"/>
    <w:next w:val="Normal"/>
    <w:semiHidden/>
    <w:rsid w:val="001A1A32"/>
    <w:pPr>
      <w:numPr>
        <w:numId w:val="0"/>
      </w:numPr>
      <w:tabs>
        <w:tab w:val="right" w:leader="dot" w:pos="4176"/>
      </w:tabs>
    </w:pPr>
  </w:style>
  <w:style w:type="paragraph" w:styleId="ListNumber2">
    <w:name w:val="List Number 2"/>
    <w:basedOn w:val="List2"/>
    <w:rsid w:val="001A1A32"/>
    <w:pPr>
      <w:numPr>
        <w:numId w:val="10"/>
      </w:numPr>
      <w:tabs>
        <w:tab w:val="clear" w:pos="1060"/>
      </w:tabs>
    </w:pPr>
  </w:style>
  <w:style w:type="paragraph" w:customStyle="1" w:styleId="MarginNote">
    <w:name w:val="Margin Note"/>
    <w:basedOn w:val="BodyText"/>
    <w:rsid w:val="001A1A3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A1A3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A1A3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A1A32"/>
    <w:rPr>
      <w:sz w:val="32"/>
    </w:rPr>
  </w:style>
  <w:style w:type="paragraph" w:customStyle="1" w:styleId="HeadingProcedure">
    <w:name w:val="Heading Procedure"/>
    <w:basedOn w:val="HeadingBase"/>
    <w:next w:val="Normal"/>
    <w:rsid w:val="001A1A32"/>
    <w:pPr>
      <w:tabs>
        <w:tab w:val="left" w:pos="0"/>
      </w:tabs>
      <w:spacing w:before="120" w:after="60"/>
    </w:pPr>
    <w:rPr>
      <w:i/>
      <w:color w:val="918585"/>
      <w:sz w:val="22"/>
    </w:rPr>
  </w:style>
  <w:style w:type="paragraph" w:customStyle="1" w:styleId="TableBodyText">
    <w:name w:val="Table Body Text"/>
    <w:basedOn w:val="BodyText"/>
    <w:rsid w:val="001A1A32"/>
    <w:pPr>
      <w:spacing w:before="60" w:after="60"/>
    </w:pPr>
  </w:style>
  <w:style w:type="paragraph" w:styleId="ListContinue">
    <w:name w:val="List Continue"/>
    <w:basedOn w:val="List"/>
    <w:rsid w:val="001A1A32"/>
    <w:pPr>
      <w:ind w:firstLine="0"/>
    </w:pPr>
  </w:style>
  <w:style w:type="paragraph" w:customStyle="1" w:styleId="ListNote">
    <w:name w:val="List Note"/>
    <w:basedOn w:val="List"/>
    <w:rsid w:val="001A1A32"/>
    <w:pPr>
      <w:pBdr>
        <w:top w:val="single" w:sz="6" w:space="2" w:color="918585"/>
        <w:bottom w:val="single" w:sz="6" w:space="2" w:color="918585"/>
      </w:pBdr>
      <w:tabs>
        <w:tab w:val="left" w:pos="1021"/>
      </w:tabs>
      <w:ind w:firstLine="0"/>
    </w:pPr>
  </w:style>
  <w:style w:type="paragraph" w:customStyle="1" w:styleId="Warning">
    <w:name w:val="Warning"/>
    <w:basedOn w:val="BodyText"/>
    <w:rsid w:val="001A1A32"/>
    <w:pPr>
      <w:shd w:val="clear" w:color="auto" w:fill="D9D9D9"/>
      <w:tabs>
        <w:tab w:val="left" w:pos="992"/>
      </w:tabs>
      <w:ind w:left="119" w:right="119"/>
    </w:pPr>
    <w:rPr>
      <w:sz w:val="20"/>
    </w:rPr>
  </w:style>
  <w:style w:type="paragraph" w:customStyle="1" w:styleId="MarginIcons">
    <w:name w:val="Margin Icons"/>
    <w:basedOn w:val="BodyText"/>
    <w:rsid w:val="001A1A3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A1A32"/>
    <w:rPr>
      <w:rFonts w:ascii="Courier New" w:hAnsi="Courier New"/>
    </w:rPr>
  </w:style>
  <w:style w:type="paragraph" w:customStyle="1" w:styleId="NoteBullet">
    <w:name w:val="Note Bullet"/>
    <w:basedOn w:val="Note"/>
    <w:rsid w:val="001A1A32"/>
    <w:pPr>
      <w:tabs>
        <w:tab w:val="clear" w:pos="680"/>
      </w:tabs>
      <w:spacing w:before="60" w:after="60"/>
    </w:pPr>
  </w:style>
  <w:style w:type="paragraph" w:customStyle="1" w:styleId="SubHeading2">
    <w:name w:val="SubHeading2"/>
    <w:basedOn w:val="HeadingBase"/>
    <w:rsid w:val="001A1A32"/>
    <w:pPr>
      <w:spacing w:before="240" w:after="60"/>
    </w:pPr>
    <w:rPr>
      <w:sz w:val="20"/>
    </w:rPr>
  </w:style>
  <w:style w:type="paragraph" w:customStyle="1" w:styleId="SubHeading1">
    <w:name w:val="SubHeading1"/>
    <w:basedOn w:val="HeadingBase"/>
    <w:rsid w:val="001A1A32"/>
    <w:pPr>
      <w:spacing w:before="240" w:after="60"/>
    </w:pPr>
    <w:rPr>
      <w:color w:val="918585"/>
      <w:sz w:val="22"/>
    </w:rPr>
  </w:style>
  <w:style w:type="paragraph" w:customStyle="1" w:styleId="SideHeading">
    <w:name w:val="Side Heading"/>
    <w:basedOn w:val="HeadingBase"/>
    <w:rsid w:val="001A1A3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A1A32"/>
    <w:pPr>
      <w:numPr>
        <w:numId w:val="12"/>
      </w:numPr>
    </w:pPr>
  </w:style>
  <w:style w:type="paragraph" w:styleId="PlainText">
    <w:name w:val="Plain Text"/>
    <w:basedOn w:val="Normal"/>
    <w:link w:val="PlainTextChar"/>
    <w:rsid w:val="001A1A32"/>
    <w:rPr>
      <w:sz w:val="20"/>
    </w:rPr>
  </w:style>
  <w:style w:type="character" w:customStyle="1" w:styleId="PlainTextChar">
    <w:name w:val="Plain Text Char"/>
    <w:basedOn w:val="DefaultParagraphFont"/>
    <w:link w:val="PlainText"/>
    <w:rsid w:val="001A1A32"/>
    <w:rPr>
      <w:rFonts w:ascii="Courier New" w:eastAsia="Times New Roman" w:hAnsi="Courier New" w:cs="Times New Roman"/>
      <w:sz w:val="20"/>
      <w:szCs w:val="20"/>
      <w:lang w:eastAsia="en-US"/>
    </w:rPr>
  </w:style>
  <w:style w:type="character" w:customStyle="1" w:styleId="MenuOption">
    <w:name w:val="Menu Option"/>
    <w:basedOn w:val="DefaultParagraphFont"/>
    <w:rsid w:val="001A1A32"/>
    <w:rPr>
      <w:b/>
      <w:smallCaps/>
    </w:rPr>
  </w:style>
  <w:style w:type="paragraph" w:customStyle="1" w:styleId="TableListNumber">
    <w:name w:val="Table List Number"/>
    <w:basedOn w:val="ListNumber"/>
    <w:rsid w:val="001A1A32"/>
    <w:pPr>
      <w:numPr>
        <w:numId w:val="0"/>
      </w:numPr>
    </w:pPr>
  </w:style>
  <w:style w:type="paragraph" w:styleId="TOC4">
    <w:name w:val="toc 4"/>
    <w:basedOn w:val="TOCBase"/>
    <w:next w:val="Normal"/>
    <w:semiHidden/>
    <w:rsid w:val="001A1A32"/>
    <w:pPr>
      <w:tabs>
        <w:tab w:val="right" w:leader="dot" w:pos="9071"/>
      </w:tabs>
      <w:ind w:left="1701"/>
    </w:pPr>
  </w:style>
  <w:style w:type="paragraph" w:customStyle="1" w:styleId="ListAlpha">
    <w:name w:val="List Alpha"/>
    <w:basedOn w:val="List"/>
    <w:rsid w:val="001A1A32"/>
    <w:pPr>
      <w:numPr>
        <w:numId w:val="9"/>
      </w:numPr>
    </w:pPr>
  </w:style>
  <w:style w:type="paragraph" w:customStyle="1" w:styleId="ListAlpha2">
    <w:name w:val="List Alpha 2"/>
    <w:basedOn w:val="List2"/>
    <w:rsid w:val="001A1A32"/>
    <w:pPr>
      <w:numPr>
        <w:numId w:val="8"/>
      </w:numPr>
    </w:pPr>
  </w:style>
  <w:style w:type="paragraph" w:styleId="List2">
    <w:name w:val="List 2"/>
    <w:basedOn w:val="BodyText"/>
    <w:rsid w:val="001A1A32"/>
    <w:pPr>
      <w:tabs>
        <w:tab w:val="left" w:pos="680"/>
      </w:tabs>
      <w:spacing w:before="60" w:after="60"/>
      <w:ind w:left="680" w:hanging="340"/>
    </w:pPr>
  </w:style>
  <w:style w:type="paragraph" w:styleId="List3">
    <w:name w:val="List 3"/>
    <w:basedOn w:val="BodyText"/>
    <w:rsid w:val="001A1A32"/>
    <w:pPr>
      <w:tabs>
        <w:tab w:val="left" w:pos="1021"/>
      </w:tabs>
      <w:spacing w:before="60" w:after="60"/>
      <w:ind w:left="1020" w:hanging="340"/>
    </w:pPr>
  </w:style>
  <w:style w:type="paragraph" w:styleId="List4">
    <w:name w:val="List 4"/>
    <w:basedOn w:val="BodyText"/>
    <w:rsid w:val="001A1A32"/>
    <w:pPr>
      <w:tabs>
        <w:tab w:val="left" w:pos="1361"/>
      </w:tabs>
      <w:spacing w:before="60" w:after="60"/>
      <w:ind w:left="1361" w:hanging="340"/>
    </w:pPr>
  </w:style>
  <w:style w:type="paragraph" w:styleId="List5">
    <w:name w:val="List 5"/>
    <w:basedOn w:val="BodyText"/>
    <w:rsid w:val="001A1A32"/>
    <w:pPr>
      <w:tabs>
        <w:tab w:val="left" w:pos="1701"/>
      </w:tabs>
      <w:spacing w:before="60" w:after="60"/>
      <w:ind w:left="1701" w:hanging="340"/>
    </w:pPr>
  </w:style>
  <w:style w:type="paragraph" w:styleId="ListBullet3">
    <w:name w:val="List Bullet 3"/>
    <w:basedOn w:val="List3"/>
    <w:rsid w:val="001A1A32"/>
    <w:pPr>
      <w:numPr>
        <w:numId w:val="15"/>
      </w:numPr>
      <w:tabs>
        <w:tab w:val="clear" w:pos="1021"/>
      </w:tabs>
      <w:ind w:left="1037" w:hanging="357"/>
    </w:pPr>
  </w:style>
  <w:style w:type="paragraph" w:styleId="ListBullet4">
    <w:name w:val="List Bullet 4"/>
    <w:basedOn w:val="List4"/>
    <w:rsid w:val="001A1A32"/>
    <w:pPr>
      <w:numPr>
        <w:numId w:val="3"/>
      </w:numPr>
    </w:pPr>
  </w:style>
  <w:style w:type="paragraph" w:styleId="ListBullet5">
    <w:name w:val="List Bullet 5"/>
    <w:basedOn w:val="List5"/>
    <w:rsid w:val="001A1A32"/>
    <w:pPr>
      <w:numPr>
        <w:numId w:val="4"/>
      </w:numPr>
    </w:pPr>
  </w:style>
  <w:style w:type="paragraph" w:styleId="ListContinue2">
    <w:name w:val="List Continue 2"/>
    <w:basedOn w:val="List2"/>
    <w:rsid w:val="001A1A32"/>
    <w:pPr>
      <w:ind w:firstLine="0"/>
    </w:pPr>
  </w:style>
  <w:style w:type="paragraph" w:styleId="ListContinue3">
    <w:name w:val="List Continue 3"/>
    <w:basedOn w:val="List3"/>
    <w:rsid w:val="001A1A32"/>
    <w:pPr>
      <w:ind w:left="1021" w:firstLine="0"/>
    </w:pPr>
  </w:style>
  <w:style w:type="paragraph" w:styleId="ListContinue4">
    <w:name w:val="List Continue 4"/>
    <w:basedOn w:val="List4"/>
    <w:rsid w:val="001A1A32"/>
    <w:pPr>
      <w:ind w:firstLine="0"/>
    </w:pPr>
  </w:style>
  <w:style w:type="paragraph" w:styleId="ListContinue5">
    <w:name w:val="List Continue 5"/>
    <w:basedOn w:val="List5"/>
    <w:rsid w:val="001A1A32"/>
    <w:pPr>
      <w:ind w:firstLine="0"/>
    </w:pPr>
  </w:style>
  <w:style w:type="paragraph" w:styleId="ListNumber3">
    <w:name w:val="List Number 3"/>
    <w:basedOn w:val="List3"/>
    <w:rsid w:val="001A1A32"/>
    <w:pPr>
      <w:numPr>
        <w:numId w:val="5"/>
      </w:numPr>
    </w:pPr>
  </w:style>
  <w:style w:type="paragraph" w:styleId="ListNumber4">
    <w:name w:val="List Number 4"/>
    <w:basedOn w:val="List4"/>
    <w:rsid w:val="001A1A32"/>
    <w:pPr>
      <w:numPr>
        <w:numId w:val="6"/>
      </w:numPr>
    </w:pPr>
  </w:style>
  <w:style w:type="paragraph" w:styleId="ListNumber5">
    <w:name w:val="List Number 5"/>
    <w:basedOn w:val="List5"/>
    <w:rsid w:val="001A1A32"/>
    <w:pPr>
      <w:numPr>
        <w:numId w:val="7"/>
      </w:numPr>
    </w:pPr>
  </w:style>
  <w:style w:type="paragraph" w:styleId="BlockText">
    <w:name w:val="Block Text"/>
    <w:basedOn w:val="Normal"/>
    <w:rsid w:val="001A1A32"/>
    <w:pPr>
      <w:spacing w:after="120"/>
      <w:ind w:left="1440" w:right="1440"/>
    </w:pPr>
  </w:style>
  <w:style w:type="character" w:customStyle="1" w:styleId="Subscript">
    <w:name w:val="Subscript"/>
    <w:basedOn w:val="DefaultParagraphFont"/>
    <w:rsid w:val="001A1A32"/>
    <w:rPr>
      <w:sz w:val="16"/>
      <w:vertAlign w:val="subscript"/>
    </w:rPr>
  </w:style>
  <w:style w:type="character" w:customStyle="1" w:styleId="Superscript">
    <w:name w:val="Superscript"/>
    <w:basedOn w:val="DefaultParagraphFont"/>
    <w:rsid w:val="001A1A32"/>
    <w:rPr>
      <w:sz w:val="16"/>
      <w:vertAlign w:val="superscript"/>
    </w:rPr>
  </w:style>
  <w:style w:type="character" w:customStyle="1" w:styleId="Symbols">
    <w:name w:val="Symbols"/>
    <w:basedOn w:val="DefaultParagraphFont"/>
    <w:rsid w:val="001A1A32"/>
    <w:rPr>
      <w:rFonts w:ascii="Symbol" w:hAnsi="Symbol"/>
    </w:rPr>
  </w:style>
  <w:style w:type="character" w:customStyle="1" w:styleId="MenuOptions">
    <w:name w:val="Menu Options"/>
    <w:basedOn w:val="DefaultParagraphFont"/>
    <w:rsid w:val="001A1A32"/>
    <w:rPr>
      <w:rFonts w:ascii="Arial Narrow" w:hAnsi="Arial Narrow"/>
      <w:smallCaps/>
    </w:rPr>
  </w:style>
  <w:style w:type="character" w:customStyle="1" w:styleId="Buttons">
    <w:name w:val="Buttons"/>
    <w:basedOn w:val="DefaultParagraphFont"/>
    <w:rsid w:val="001A1A32"/>
    <w:rPr>
      <w:b/>
    </w:rPr>
  </w:style>
  <w:style w:type="character" w:customStyle="1" w:styleId="Underlined">
    <w:name w:val="Underlined"/>
    <w:basedOn w:val="DefaultParagraphFont"/>
    <w:rsid w:val="001A1A32"/>
    <w:rPr>
      <w:u w:val="single"/>
    </w:rPr>
  </w:style>
  <w:style w:type="paragraph" w:customStyle="1" w:styleId="TableBodyTextRight">
    <w:name w:val="Table Body Text Right"/>
    <w:basedOn w:val="TableBodyText"/>
    <w:rsid w:val="001A1A32"/>
    <w:pPr>
      <w:widowControl w:val="0"/>
      <w:autoSpaceDE w:val="0"/>
      <w:autoSpaceDN w:val="0"/>
      <w:adjustRightInd w:val="0"/>
      <w:jc w:val="right"/>
    </w:pPr>
    <w:rPr>
      <w:rFonts w:cs="Arial"/>
      <w:szCs w:val="18"/>
    </w:rPr>
  </w:style>
  <w:style w:type="paragraph" w:customStyle="1" w:styleId="CopyrightText">
    <w:name w:val="Copyright Text"/>
    <w:basedOn w:val="BodyText"/>
    <w:rsid w:val="001A1A32"/>
    <w:rPr>
      <w:sz w:val="18"/>
    </w:rPr>
  </w:style>
  <w:style w:type="paragraph" w:customStyle="1" w:styleId="BodySmallRight">
    <w:name w:val="Body Small Right"/>
    <w:basedOn w:val="BodyTextRight"/>
    <w:rsid w:val="001A1A32"/>
    <w:rPr>
      <w:sz w:val="18"/>
      <w:szCs w:val="18"/>
    </w:rPr>
  </w:style>
  <w:style w:type="paragraph" w:customStyle="1" w:styleId="MarginEdition">
    <w:name w:val="Margin Edition"/>
    <w:basedOn w:val="MarginNote"/>
    <w:rsid w:val="001A1A32"/>
    <w:pPr>
      <w:spacing w:before="0" w:after="0"/>
    </w:pPr>
    <w:rPr>
      <w:rFonts w:ascii="Times New Roman" w:hAnsi="Times New Roman"/>
      <w:color w:val="999999"/>
    </w:rPr>
  </w:style>
  <w:style w:type="paragraph" w:customStyle="1" w:styleId="Spacer">
    <w:name w:val="Spacer"/>
    <w:basedOn w:val="Normal"/>
    <w:rsid w:val="001A1A32"/>
    <w:rPr>
      <w:sz w:val="2"/>
      <w:szCs w:val="2"/>
    </w:rPr>
  </w:style>
  <w:style w:type="character" w:customStyle="1" w:styleId="Small">
    <w:name w:val="Small"/>
    <w:basedOn w:val="DefaultParagraphFont"/>
    <w:rsid w:val="001A1A32"/>
    <w:rPr>
      <w:sz w:val="16"/>
    </w:rPr>
  </w:style>
  <w:style w:type="paragraph" w:customStyle="1" w:styleId="WideTable">
    <w:name w:val="Wide Table"/>
    <w:basedOn w:val="Normal"/>
    <w:rsid w:val="001A1A32"/>
    <w:pPr>
      <w:ind w:left="-1418"/>
    </w:pPr>
    <w:rPr>
      <w:sz w:val="2"/>
      <w:szCs w:val="2"/>
    </w:rPr>
  </w:style>
  <w:style w:type="character" w:styleId="PageNumber">
    <w:name w:val="page number"/>
    <w:basedOn w:val="DefaultParagraphFont"/>
    <w:rsid w:val="001A1A32"/>
  </w:style>
  <w:style w:type="paragraph" w:styleId="Quote">
    <w:name w:val="Quote"/>
    <w:basedOn w:val="Heading1"/>
    <w:link w:val="QuoteChar"/>
    <w:qFormat/>
    <w:rsid w:val="001A1A32"/>
    <w:rPr>
      <w:b w:val="0"/>
      <w:sz w:val="72"/>
      <w:szCs w:val="72"/>
      <w:lang w:val="en-NZ"/>
    </w:rPr>
  </w:style>
  <w:style w:type="character" w:customStyle="1" w:styleId="QuoteChar">
    <w:name w:val="Quote Char"/>
    <w:basedOn w:val="DefaultParagraphFont"/>
    <w:link w:val="Quote"/>
    <w:rsid w:val="001A1A3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A1A32"/>
    <w:pPr>
      <w:pageBreakBefore/>
    </w:pPr>
  </w:style>
  <w:style w:type="paragraph" w:customStyle="1" w:styleId="Border">
    <w:name w:val="Border"/>
    <w:basedOn w:val="Normal"/>
    <w:qFormat/>
    <w:rsid w:val="001A1A3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A1A32"/>
    <w:rPr>
      <w:b/>
      <w:bCs/>
      <w:i/>
      <w:iCs/>
      <w:color w:val="auto"/>
    </w:rPr>
  </w:style>
  <w:style w:type="paragraph" w:styleId="IntenseQuote">
    <w:name w:val="Intense Quote"/>
    <w:basedOn w:val="Normal"/>
    <w:next w:val="Normal"/>
    <w:link w:val="IntenseQuoteChar"/>
    <w:uiPriority w:val="30"/>
    <w:qFormat/>
    <w:rsid w:val="001A1A3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A1A3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A1A32"/>
    <w:rPr>
      <w:smallCaps/>
      <w:color w:val="auto"/>
      <w:u w:val="single"/>
    </w:rPr>
  </w:style>
  <w:style w:type="character" w:styleId="IntenseReference">
    <w:name w:val="Intense Reference"/>
    <w:basedOn w:val="DefaultParagraphFont"/>
    <w:uiPriority w:val="32"/>
    <w:qFormat/>
    <w:rsid w:val="001A1A32"/>
    <w:rPr>
      <w:b/>
      <w:bCs/>
      <w:smallCaps/>
      <w:color w:val="auto"/>
      <w:spacing w:val="5"/>
      <w:u w:val="single"/>
    </w:rPr>
  </w:style>
  <w:style w:type="paragraph" w:customStyle="1" w:styleId="2ColumnHeading">
    <w:name w:val="2Column Heading"/>
    <w:basedOn w:val="BodyText"/>
    <w:qFormat/>
    <w:rsid w:val="001A1A32"/>
    <w:pPr>
      <w:spacing w:after="60"/>
      <w:ind w:left="-2268"/>
    </w:pPr>
    <w:rPr>
      <w:b/>
    </w:rPr>
  </w:style>
  <w:style w:type="paragraph" w:customStyle="1" w:styleId="Heading1TOC">
    <w:name w:val="Heading1 TOC"/>
    <w:basedOn w:val="Normal"/>
    <w:qFormat/>
    <w:rsid w:val="001A1A32"/>
    <w:pPr>
      <w:spacing w:before="240" w:after="120"/>
    </w:pPr>
    <w:rPr>
      <w:rFonts w:ascii="Times New Roman" w:hAnsi="Times New Roman"/>
      <w:b/>
      <w:sz w:val="32"/>
    </w:rPr>
  </w:style>
  <w:style w:type="paragraph" w:customStyle="1" w:styleId="Heading2TOC">
    <w:name w:val="Heading2 TOC"/>
    <w:basedOn w:val="Normal"/>
    <w:qFormat/>
    <w:rsid w:val="001A1A32"/>
    <w:pPr>
      <w:spacing w:before="240" w:after="60"/>
    </w:pPr>
    <w:rPr>
      <w:rFonts w:ascii="Times New Roman" w:hAnsi="Times New Roman"/>
      <w:b/>
      <w:sz w:val="28"/>
    </w:rPr>
  </w:style>
  <w:style w:type="character" w:customStyle="1" w:styleId="Underline">
    <w:name w:val="Underline"/>
    <w:basedOn w:val="DefaultParagraphFont"/>
    <w:qFormat/>
    <w:rsid w:val="001A1A32"/>
    <w:rPr>
      <w:u w:val="single"/>
    </w:rPr>
  </w:style>
  <w:style w:type="paragraph" w:styleId="BalloonText">
    <w:name w:val="Balloon Text"/>
    <w:basedOn w:val="Normal"/>
    <w:link w:val="BalloonTextChar"/>
    <w:rsid w:val="001A1A32"/>
    <w:rPr>
      <w:rFonts w:ascii="Tahoma" w:hAnsi="Tahoma" w:cs="Tahoma"/>
      <w:sz w:val="16"/>
      <w:szCs w:val="16"/>
    </w:rPr>
  </w:style>
  <w:style w:type="character" w:customStyle="1" w:styleId="BalloonTextChar">
    <w:name w:val="Balloon Text Char"/>
    <w:basedOn w:val="DefaultParagraphFont"/>
    <w:link w:val="BalloonText"/>
    <w:rsid w:val="001A1A3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A1A3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A1A3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A1A32"/>
    <w:rPr>
      <w:b/>
      <w:color w:val="660033"/>
      <w:spacing w:val="0"/>
    </w:rPr>
  </w:style>
  <w:style w:type="paragraph" w:customStyle="1" w:styleId="Nameditemlist">
    <w:name w:val="Named item list"/>
    <w:basedOn w:val="BodyText"/>
    <w:qFormat/>
    <w:rsid w:val="001A1A3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1359</Words>
  <Characters>8821</Characters>
  <Application>Microsoft Office Word</Application>
  <DocSecurity>0</DocSecurity>
  <Lines>289</Lines>
  <Paragraphs>188</Paragraphs>
  <ScaleCrop>false</ScaleCrop>
  <Company>Author-it Software Corporation Ltd.</Company>
  <LinksUpToDate>false</LinksUpToDate>
  <CharactersWithSpaces>10153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LGAREGS402B Provide evidence in court</dc:title>
  <dc:subject>Approved</dc:subject>
  <dc:creator>Government Skills Australia</dc:creator>
  <cp:keywords>Revision Number:</cp:keywords>
  <dc:description>Copyright © 1996-2007 Author-it Software Corporation Ltd., all rights reserved.</dc:description>
  <cp:lastModifiedBy>TPCMS</cp:lastModifiedBy>
  <cp:revision>3</cp:revision>
  <dcterms:created xsi:type="dcterms:W3CDTF">2012-09-10T06:47:00Z</dcterms:created>
  <dcterms:modified xsi:type="dcterms:W3CDTF">2012-09-10T06:47:00Z</dcterms:modified>
</cp:coreProperties>
</file>