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74E2A" w:rsidP="00474E2A">
      <w:pPr>
        <w:pStyle w:val="Title"/>
      </w:pPr>
      <w:r>
        <w:fldChar w:fldCharType="begin"/>
      </w:r>
      <w:r>
        <w:instrText xml:space="preserve"> TITLE   \* MERGEFORMAT </w:instrText>
      </w:r>
      <w:r>
        <w:fldChar w:fldCharType="separate"/>
      </w:r>
      <w:r>
        <w:t>LGAGOVA603B Develop a risk management strategy for council assets</w:t>
      </w:r>
      <w:r>
        <w:fldChar w:fldCharType="end"/>
      </w:r>
    </w:p>
    <w:p w:rsidR="00474E2A" w:rsidP="00474E2A">
      <w:pPr>
        <w:pStyle w:val="Version"/>
        <w:sectPr w:rsidSect="00A8719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A87197" w:rsidP="00A87197">
      <w:pPr>
        <w:pStyle w:val="SuperHeading"/>
      </w:pPr>
      <w:r w:rsidRPr="00A87197">
        <w:t>LGAGOVA603B Develop a risk management strategy for council assets</w:t>
      </w:r>
    </w:p>
    <w:p w:rsidR="00000000" w:rsidRPr="00A87197" w:rsidP="00A87197">
      <w:pPr>
        <w:pStyle w:val="SuperHeading"/>
      </w:pPr>
    </w:p>
    <w:p w:rsidR="00000000" w:rsidRPr="00A87197" w:rsidP="00A87197">
      <w:pPr>
        <w:pStyle w:val="Heading1"/>
      </w:pPr>
      <w:bookmarkStart w:id="1" w:name="O_444155"/>
      <w:bookmarkEnd w:id="1"/>
      <w:r w:rsidRPr="00A87197">
        <w:t>Modification History</w:t>
      </w:r>
    </w:p>
    <w:p w:rsidR="00000000" w:rsidRPr="00A87197" w:rsidP="00A87197">
      <w:pPr>
        <w:pStyle w:val="BodyText"/>
      </w:pPr>
      <w:r w:rsidRPr="00A87197">
        <w:t>LGAGOVA603B Release 2:</w:t>
      </w:r>
      <w:r w:rsidRPr="00A87197">
        <w:tab/>
        <w:t>Layout adjusted.</w:t>
      </w:r>
    </w:p>
    <w:p w:rsidR="00000000" w:rsidRPr="00A87197" w:rsidP="00A87197">
      <w:pPr>
        <w:pStyle w:val="BodyText"/>
      </w:pPr>
      <w:r w:rsidRPr="00A87197">
        <w:t>LGAGOVA603B Release 1:</w:t>
      </w:r>
      <w:r w:rsidRPr="00A87197">
        <w:tab/>
        <w:t>Primary release.</w:t>
      </w:r>
    </w:p>
    <w:p w:rsidR="00000000" w:rsidRPr="00A87197" w:rsidP="00A87197">
      <w:pPr>
        <w:pStyle w:val="AllowPageBreak"/>
      </w:pPr>
    </w:p>
    <w:p w:rsidR="00000000" w:rsidRPr="00A87197" w:rsidP="00A87197">
      <w:pPr>
        <w:pStyle w:val="Heading1"/>
      </w:pPr>
      <w:bookmarkStart w:id="2" w:name="O_444151"/>
      <w:bookmarkEnd w:id="2"/>
      <w:r w:rsidRPr="00A87197">
        <w:t>Unit Descriptor</w:t>
      </w:r>
    </w:p>
    <w:p w:rsidR="00000000" w:rsidRPr="00A87197" w:rsidP="00A87197">
      <w:pPr>
        <w:pStyle w:val="BodyText"/>
      </w:pPr>
      <w:r w:rsidRPr="00A87197">
        <w:t>This unit co</w:t>
      </w:r>
      <w:r w:rsidRPr="00A87197">
        <w:t xml:space="preserve">vers developing a risk management plan for council assets. It incorporates an assessment of all potential risks facing council assets and the development of strategies and plans to mitigate all risk situations through elimination, isolation or protection. </w:t>
      </w:r>
      <w:r w:rsidRPr="00A87197">
        <w:t>It is appropriate for senior managers.</w:t>
      </w:r>
    </w:p>
    <w:p w:rsidR="00000000" w:rsidRPr="00A87197" w:rsidP="00A87197">
      <w:pPr>
        <w:pStyle w:val="AllowPageBreak"/>
      </w:pPr>
    </w:p>
    <w:p w:rsidR="00000000" w:rsidRPr="00A87197" w:rsidP="00A87197">
      <w:pPr>
        <w:pStyle w:val="Heading1"/>
      </w:pPr>
      <w:bookmarkStart w:id="3" w:name="O_444164"/>
      <w:bookmarkEnd w:id="3"/>
      <w:r w:rsidRPr="00A87197">
        <w:t>Application of the Unit</w:t>
      </w:r>
    </w:p>
    <w:p w:rsidR="00000000" w:rsidRPr="00A87197" w:rsidP="00A87197">
      <w:pPr>
        <w:pStyle w:val="BodyText"/>
      </w:pPr>
      <w:r w:rsidRPr="00A87197">
        <w:t>This unit supports the attainment of skills and knowledge required for competent workplace performance in councils of all sizes. Knowledge of the legislation and regulations wi</w:t>
      </w:r>
      <w:r w:rsidRPr="00A87197">
        <w:t xml:space="preserve">thin which councils must operate is essential. The unique nature of councils, as a tier of government directed by elected members and reflecting the needs of local communities, must be appropriately reflected. </w:t>
      </w:r>
    </w:p>
    <w:p w:rsidR="00000000" w:rsidRPr="00A87197" w:rsidP="00A87197">
      <w:pPr>
        <w:pStyle w:val="AllowPageBreak"/>
      </w:pPr>
    </w:p>
    <w:p w:rsidR="00000000" w:rsidRPr="00A87197" w:rsidP="00A87197">
      <w:pPr>
        <w:pStyle w:val="Heading1"/>
      </w:pPr>
      <w:bookmarkStart w:id="4" w:name="O_444156"/>
      <w:bookmarkEnd w:id="4"/>
      <w:r w:rsidRPr="00A87197">
        <w:t>Licensing/Regulatory Informa</w:t>
      </w:r>
      <w:r w:rsidRPr="00A87197">
        <w:t>tion</w:t>
      </w:r>
    </w:p>
    <w:p w:rsidR="00000000" w:rsidRPr="00A87197" w:rsidP="00A87197">
      <w:pPr>
        <w:pStyle w:val="BodyText"/>
      </w:pPr>
      <w:r w:rsidRPr="00A87197">
        <w:t>Not applicable.</w:t>
      </w:r>
    </w:p>
    <w:p w:rsidR="00000000" w:rsidRPr="00A87197" w:rsidP="00A87197">
      <w:pPr>
        <w:pStyle w:val="AllowPageBreak"/>
      </w:pPr>
    </w:p>
    <w:p w:rsidR="00000000" w:rsidRPr="00A87197" w:rsidP="00A87197">
      <w:pPr>
        <w:pStyle w:val="Heading1"/>
      </w:pPr>
      <w:bookmarkStart w:id="5" w:name="O_444154"/>
      <w:bookmarkEnd w:id="5"/>
      <w:r w:rsidRPr="00A87197">
        <w:t>Pre-Requisites</w:t>
      </w:r>
    </w:p>
    <w:p w:rsidR="00000000" w:rsidRPr="00A87197" w:rsidP="00A87197">
      <w:pPr>
        <w:pStyle w:val="BodyText"/>
      </w:pPr>
      <w:r w:rsidRPr="00A87197">
        <w:t xml:space="preserve">Not applicable. </w:t>
      </w:r>
    </w:p>
    <w:p w:rsidR="00000000" w:rsidRPr="00A87197" w:rsidP="00A87197">
      <w:pPr>
        <w:pStyle w:val="AllowPageBreak"/>
      </w:pPr>
    </w:p>
    <w:p w:rsidR="00000000" w:rsidRPr="00A87197" w:rsidP="00A87197">
      <w:pPr>
        <w:pStyle w:val="Heading1"/>
      </w:pPr>
      <w:bookmarkStart w:id="6" w:name="O_444159"/>
      <w:bookmarkEnd w:id="6"/>
      <w:r w:rsidRPr="00A87197">
        <w:t>Employability Skills Information</w:t>
      </w:r>
    </w:p>
    <w:p w:rsidR="00000000" w:rsidRPr="00A87197" w:rsidP="00A87197">
      <w:pPr>
        <w:pStyle w:val="BodyText"/>
      </w:pPr>
      <w:r w:rsidRPr="00A87197">
        <w:t>This unit contains employability skills.</w:t>
      </w:r>
    </w:p>
    <w:p w:rsidR="00000000" w:rsidRPr="00A87197" w:rsidP="00A87197">
      <w:pPr>
        <w:pStyle w:val="AllowPageBreak"/>
      </w:pPr>
    </w:p>
    <w:p w:rsidR="00000000" w:rsidRPr="00A87197" w:rsidP="00A87197">
      <w:pPr>
        <w:pStyle w:val="Heading1"/>
      </w:pPr>
      <w:bookmarkStart w:id="7" w:name="O_444160"/>
      <w:bookmarkEnd w:id="7"/>
      <w:r w:rsidRPr="00A87197">
        <w:t>Elements and Performance Criteria Pre-Content</w:t>
      </w:r>
    </w:p>
    <w:tbl>
      <w:tblPr>
        <w:tblW w:w="0" w:type="auto"/>
        <w:tblLayout w:type="fixed"/>
        <w:tblCellMar>
          <w:left w:w="62" w:type="dxa"/>
          <w:right w:w="62" w:type="dxa"/>
        </w:tblCellMar>
        <w:tblLook w:val="0000"/>
      </w:tblPr>
      <w:tblGrid>
        <w:gridCol w:w="2700"/>
        <w:gridCol w:w="6228"/>
      </w:tblGrid>
      <w:tr w:rsidTr="00474E2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A87197">
            <w:pPr>
              <w:pStyle w:val="BodyText"/>
              <w:rPr>
                <w:lang w:val="en-NZ"/>
              </w:rPr>
            </w:pPr>
            <w:r w:rsidRPr="00A87197">
              <w:t>Elements describe the essential outcomes of a Unit of Competency</w:t>
            </w:r>
          </w:p>
        </w:tc>
        <w:tc>
          <w:tcPr>
            <w:tcW w:w="6228" w:type="dxa"/>
            <w:tcBorders>
              <w:top w:val="nil"/>
              <w:left w:val="nil"/>
              <w:bottom w:val="nil"/>
              <w:right w:val="nil"/>
            </w:tcBorders>
            <w:tcMar>
              <w:top w:w="0" w:type="dxa"/>
              <w:left w:w="62" w:type="dxa"/>
              <w:bottom w:w="0" w:type="dxa"/>
              <w:right w:w="62" w:type="dxa"/>
            </w:tcMar>
          </w:tcPr>
          <w:p w:rsidR="00000000" w:rsidRPr="00A87197" w:rsidP="00A87197">
            <w:pPr>
              <w:pStyle w:val="BodyText"/>
            </w:pPr>
            <w:r w:rsidRPr="00A87197">
              <w:t xml:space="preserve">Performance criteria describe the required performance needed to demonstrate achievement of the element.  Where </w:t>
            </w:r>
            <w:r w:rsidRPr="00A87197">
              <w:rPr>
                <w:rStyle w:val="BoldandItalics"/>
              </w:rPr>
              <w:t>bold italicised</w:t>
            </w:r>
            <w:r w:rsidRPr="00A87197">
              <w:t xml:space="preserve"> text is used, further information is detailed in the Range Stat</w:t>
            </w:r>
            <w:r w:rsidRPr="00A87197">
              <w:t>ement.  Assessment of performance is to be consistent with the Evidence Guide.</w:t>
            </w:r>
          </w:p>
        </w:tc>
      </w:tr>
    </w:tbl>
    <w:p w:rsidR="00000000" w:rsidRPr="00A87197" w:rsidP="00A87197">
      <w:pPr>
        <w:pStyle w:val="BodyText"/>
      </w:pPr>
    </w:p>
    <w:p w:rsidR="00000000" w:rsidRPr="00A87197" w:rsidP="00A87197">
      <w:pPr>
        <w:pStyle w:val="AllowPageBreak"/>
      </w:pPr>
    </w:p>
    <w:p w:rsidR="00000000" w:rsidRPr="00A87197" w:rsidP="00A87197">
      <w:pPr>
        <w:pStyle w:val="Heading1"/>
      </w:pPr>
      <w:bookmarkStart w:id="8" w:name="O_444161"/>
      <w:bookmarkEnd w:id="8"/>
      <w:r w:rsidRPr="00A87197">
        <w:t>Elements and Performance Criteria</w:t>
      </w:r>
    </w:p>
    <w:tbl>
      <w:tblPr>
        <w:tblW w:w="0" w:type="auto"/>
        <w:tblLayout w:type="fixed"/>
        <w:tblCellMar>
          <w:left w:w="62" w:type="dxa"/>
          <w:right w:w="62" w:type="dxa"/>
        </w:tblCellMar>
        <w:tblLook w:val="0000"/>
      </w:tblPr>
      <w:tblGrid>
        <w:gridCol w:w="2700"/>
        <w:gridCol w:w="6228"/>
      </w:tblGrid>
      <w:tr w:rsidTr="00474E2A">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A87197" w:rsidP="00A87197">
            <w:pPr>
              <w:pStyle w:val="BodyText"/>
            </w:pPr>
            <w:r w:rsidRPr="00A87197">
              <w:rPr>
                <w:rStyle w:val="SpecialBold"/>
              </w:rPr>
              <w:t>ELEMENT</w:t>
            </w:r>
          </w:p>
        </w:tc>
        <w:tc>
          <w:tcPr>
            <w:tcW w:w="6228" w:type="dxa"/>
            <w:tcBorders>
              <w:top w:val="nil"/>
              <w:left w:val="nil"/>
              <w:bottom w:val="nil"/>
              <w:right w:val="nil"/>
            </w:tcBorders>
            <w:tcMar>
              <w:top w:w="0" w:type="dxa"/>
              <w:left w:w="62" w:type="dxa"/>
              <w:bottom w:w="0" w:type="dxa"/>
              <w:right w:w="62" w:type="dxa"/>
            </w:tcMar>
          </w:tcPr>
          <w:p w:rsidR="00000000" w:rsidP="00A87197">
            <w:pPr>
              <w:pStyle w:val="BodyText"/>
              <w:rPr>
                <w:lang w:val="en-NZ"/>
              </w:rPr>
            </w:pPr>
            <w:r w:rsidRPr="00A87197">
              <w:rPr>
                <w:rStyle w:val="SpecialBold"/>
              </w:rPr>
              <w:t>PERFORMANCE CRITERIA</w:t>
            </w:r>
          </w:p>
        </w:tc>
      </w:tr>
      <w:tr w:rsidTr="00474E2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A87197">
            <w:pPr>
              <w:pStyle w:val="List"/>
              <w:rPr>
                <w:lang w:val="en-NZ"/>
              </w:rPr>
            </w:pPr>
            <w:r w:rsidRPr="00A87197">
              <w:t>1</w:t>
            </w:r>
            <w:r w:rsidRPr="00A87197">
              <w:tab/>
            </w:r>
            <w:r w:rsidRPr="00A87197">
              <w:rPr>
                <w:rStyle w:val="SpecialBold"/>
              </w:rPr>
              <w:t>Identify and analyse the risk of various levels of service</w:t>
            </w:r>
          </w:p>
        </w:tc>
        <w:tc>
          <w:tcPr>
            <w:tcW w:w="6228" w:type="dxa"/>
            <w:tcBorders>
              <w:top w:val="nil"/>
              <w:left w:val="nil"/>
              <w:bottom w:val="nil"/>
              <w:right w:val="nil"/>
            </w:tcBorders>
            <w:tcMar>
              <w:top w:w="0" w:type="dxa"/>
              <w:left w:w="62" w:type="dxa"/>
              <w:bottom w:w="0" w:type="dxa"/>
              <w:right w:w="62" w:type="dxa"/>
            </w:tcMar>
          </w:tcPr>
          <w:p w:rsidR="00000000" w:rsidRPr="00A87197" w:rsidP="00A87197">
            <w:pPr>
              <w:pStyle w:val="List"/>
            </w:pPr>
            <w:r w:rsidRPr="00A87197">
              <w:t>1.1</w:t>
            </w:r>
            <w:r w:rsidRPr="00A87197">
              <w:tab/>
            </w:r>
            <w:r w:rsidRPr="00A87197">
              <w:t xml:space="preserve">Council's strategic position and policy on </w:t>
            </w:r>
            <w:r w:rsidRPr="00A87197">
              <w:rPr>
                <w:rStyle w:val="BoldandItalics"/>
              </w:rPr>
              <w:t>risk management</w:t>
            </w:r>
            <w:r w:rsidRPr="00A87197">
              <w:t xml:space="preserve"> are interpreted. </w:t>
            </w:r>
          </w:p>
          <w:p w:rsidR="00000000" w:rsidRPr="00A87197" w:rsidP="00A87197">
            <w:pPr>
              <w:pStyle w:val="List"/>
            </w:pPr>
            <w:r w:rsidRPr="00A87197">
              <w:t>1.2</w:t>
            </w:r>
            <w:r w:rsidRPr="00A87197">
              <w:tab/>
            </w:r>
            <w:r w:rsidRPr="00A87197">
              <w:rPr>
                <w:rStyle w:val="BoldandItalics"/>
              </w:rPr>
              <w:t>Council assets</w:t>
            </w:r>
            <w:r w:rsidRPr="00A87197">
              <w:t xml:space="preserve"> are audited to identify risk management context and potential areas of risk. </w:t>
            </w:r>
          </w:p>
          <w:p w:rsidR="00000000" w:rsidRPr="00A87197" w:rsidP="00A87197">
            <w:pPr>
              <w:pStyle w:val="List"/>
            </w:pPr>
            <w:r w:rsidRPr="00A87197">
              <w:t>1.3</w:t>
            </w:r>
            <w:r w:rsidRPr="00A87197">
              <w:tab/>
              <w:t xml:space="preserve">Risk potential is determined by assessment of </w:t>
            </w:r>
            <w:r w:rsidRPr="00A87197">
              <w:rPr>
                <w:rStyle w:val="BoldandItalics"/>
              </w:rPr>
              <w:t>possible failure modes.</w:t>
            </w:r>
          </w:p>
          <w:p w:rsidR="00000000" w:rsidRPr="00A87197" w:rsidP="00A87197">
            <w:pPr>
              <w:pStyle w:val="List"/>
            </w:pPr>
            <w:r w:rsidRPr="00A87197">
              <w:t>1.4</w:t>
            </w:r>
            <w:r w:rsidRPr="00A87197">
              <w:tab/>
            </w:r>
            <w:r w:rsidRPr="00A87197">
              <w:rPr>
                <w:rStyle w:val="BoldandItalics"/>
              </w:rPr>
              <w:t>Cons</w:t>
            </w:r>
            <w:r w:rsidRPr="00A87197">
              <w:rPr>
                <w:rStyle w:val="BoldandItalics"/>
              </w:rPr>
              <w:t xml:space="preserve">equence of failure </w:t>
            </w:r>
            <w:r w:rsidRPr="00A87197">
              <w:t xml:space="preserve">is determined taking into account financial, technical, social and political factors. </w:t>
            </w:r>
          </w:p>
          <w:p w:rsidR="00000000" w:rsidRPr="00A87197" w:rsidP="00A87197">
            <w:pPr>
              <w:pStyle w:val="List"/>
            </w:pPr>
            <w:r w:rsidRPr="00A87197">
              <w:t>1.5</w:t>
            </w:r>
            <w:r w:rsidRPr="00A87197">
              <w:tab/>
              <w:t xml:space="preserve">Risk cost to council is quantified taking into account both major and minor failures. </w:t>
            </w:r>
          </w:p>
          <w:p w:rsidR="00000000" w:rsidP="00A87197">
            <w:pPr>
              <w:pStyle w:val="List"/>
              <w:rPr>
                <w:lang w:val="en-NZ"/>
              </w:rPr>
            </w:pPr>
            <w:r w:rsidRPr="00A87197">
              <w:t>1.6</w:t>
            </w:r>
            <w:r w:rsidRPr="00A87197">
              <w:tab/>
            </w:r>
            <w:r w:rsidRPr="00A87197">
              <w:rPr>
                <w:rStyle w:val="BoldandItalics"/>
              </w:rPr>
              <w:t xml:space="preserve">Acceptable risk level </w:t>
            </w:r>
            <w:r w:rsidRPr="00A87197">
              <w:t xml:space="preserve">is evaluated. </w:t>
            </w:r>
          </w:p>
        </w:tc>
      </w:tr>
      <w:tr w:rsidTr="00474E2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A87197">
            <w:pPr>
              <w:pStyle w:val="List"/>
              <w:rPr>
                <w:lang w:val="en-NZ"/>
              </w:rPr>
            </w:pPr>
            <w:r w:rsidRPr="00A87197">
              <w:t>2</w:t>
            </w:r>
            <w:r w:rsidRPr="00A87197">
              <w:tab/>
            </w:r>
            <w:r w:rsidRPr="00A87197">
              <w:rPr>
                <w:rStyle w:val="SpecialBold"/>
              </w:rPr>
              <w:t>Develop risk ma</w:t>
            </w:r>
            <w:r w:rsidRPr="00A87197">
              <w:rPr>
                <w:rStyle w:val="SpecialBold"/>
              </w:rPr>
              <w:t>nagement plan</w:t>
            </w:r>
          </w:p>
        </w:tc>
        <w:tc>
          <w:tcPr>
            <w:tcW w:w="6228" w:type="dxa"/>
            <w:tcBorders>
              <w:top w:val="nil"/>
              <w:left w:val="nil"/>
              <w:bottom w:val="nil"/>
              <w:right w:val="nil"/>
            </w:tcBorders>
            <w:tcMar>
              <w:top w:w="0" w:type="dxa"/>
              <w:left w:w="62" w:type="dxa"/>
              <w:bottom w:w="0" w:type="dxa"/>
              <w:right w:w="62" w:type="dxa"/>
            </w:tcMar>
          </w:tcPr>
          <w:p w:rsidR="00000000" w:rsidRPr="00A87197" w:rsidP="00A87197">
            <w:pPr>
              <w:pStyle w:val="List"/>
            </w:pPr>
            <w:r w:rsidRPr="00A87197">
              <w:t>2.1</w:t>
            </w:r>
            <w:r w:rsidRPr="00A87197">
              <w:tab/>
              <w:t xml:space="preserve">Organisational capacity to reduce or control the likelihood of incidents and consequences is analysed. </w:t>
            </w:r>
          </w:p>
          <w:p w:rsidR="00000000" w:rsidRPr="00A87197" w:rsidP="00A87197">
            <w:pPr>
              <w:pStyle w:val="List"/>
            </w:pPr>
            <w:r w:rsidRPr="00A87197">
              <w:t>2.2</w:t>
            </w:r>
            <w:r w:rsidRPr="00A87197">
              <w:tab/>
            </w:r>
            <w:r w:rsidRPr="00A87197">
              <w:rPr>
                <w:rStyle w:val="BoldandItalics"/>
              </w:rPr>
              <w:t>Risk register</w:t>
            </w:r>
            <w:r w:rsidRPr="00A87197">
              <w:t xml:space="preserve"> is developed incorporating a probability/consequence matrix. </w:t>
            </w:r>
          </w:p>
          <w:p w:rsidR="00000000" w:rsidRPr="00A87197" w:rsidP="00A87197">
            <w:pPr>
              <w:pStyle w:val="List"/>
            </w:pPr>
            <w:r w:rsidRPr="00A87197">
              <w:t>2.3</w:t>
            </w:r>
            <w:r w:rsidRPr="00A87197">
              <w:tab/>
              <w:t>Risk management policies and activities are clearl</w:t>
            </w:r>
            <w:r w:rsidRPr="00A87197">
              <w:t xml:space="preserve">y documented and communicated to all relevant personnel. </w:t>
            </w:r>
          </w:p>
          <w:p w:rsidR="00000000" w:rsidP="00A87197">
            <w:pPr>
              <w:pStyle w:val="List"/>
              <w:rPr>
                <w:lang w:val="en-NZ"/>
              </w:rPr>
            </w:pPr>
            <w:r w:rsidRPr="00A87197">
              <w:t>2.4</w:t>
            </w:r>
            <w:r w:rsidRPr="00A87197">
              <w:tab/>
              <w:t xml:space="preserve">Liaison and communication structures are established with </w:t>
            </w:r>
            <w:r w:rsidRPr="00A87197">
              <w:rPr>
                <w:rStyle w:val="BoldandItalics"/>
              </w:rPr>
              <w:t>relevant internal and external parties</w:t>
            </w:r>
            <w:r w:rsidRPr="00A87197">
              <w:t>.</w:t>
            </w:r>
          </w:p>
        </w:tc>
      </w:tr>
      <w:tr w:rsidTr="00474E2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A87197">
            <w:pPr>
              <w:pStyle w:val="List"/>
              <w:rPr>
                <w:lang w:val="en-NZ"/>
              </w:rPr>
            </w:pPr>
            <w:r w:rsidRPr="00A87197">
              <w:t>3</w:t>
            </w:r>
            <w:r w:rsidRPr="00A87197">
              <w:tab/>
            </w:r>
            <w:r w:rsidRPr="00A87197">
              <w:rPr>
                <w:rStyle w:val="SpecialBold"/>
              </w:rPr>
              <w:t>Implement risk management plan</w:t>
            </w:r>
          </w:p>
        </w:tc>
        <w:tc>
          <w:tcPr>
            <w:tcW w:w="6228" w:type="dxa"/>
            <w:tcBorders>
              <w:top w:val="nil"/>
              <w:left w:val="nil"/>
              <w:bottom w:val="nil"/>
              <w:right w:val="nil"/>
            </w:tcBorders>
            <w:tcMar>
              <w:top w:w="0" w:type="dxa"/>
              <w:left w:w="62" w:type="dxa"/>
              <w:bottom w:w="0" w:type="dxa"/>
              <w:right w:w="62" w:type="dxa"/>
            </w:tcMar>
          </w:tcPr>
          <w:p w:rsidR="00000000" w:rsidRPr="00A87197" w:rsidP="00A87197">
            <w:pPr>
              <w:pStyle w:val="List"/>
            </w:pPr>
            <w:r w:rsidRPr="00A87197">
              <w:t>3.1</w:t>
            </w:r>
            <w:r w:rsidRPr="00A87197">
              <w:tab/>
            </w:r>
            <w:r w:rsidRPr="00A87197">
              <w:rPr>
                <w:rStyle w:val="BoldandItalics"/>
              </w:rPr>
              <w:t>Risks</w:t>
            </w:r>
            <w:r w:rsidRPr="00A87197">
              <w:t xml:space="preserve"> are examined in terms of the criteria in the risk ma</w:t>
            </w:r>
            <w:r w:rsidRPr="00A87197">
              <w:t xml:space="preserve">nagement plan. </w:t>
            </w:r>
          </w:p>
          <w:p w:rsidR="00000000" w:rsidRPr="00A87197" w:rsidP="00A87197">
            <w:pPr>
              <w:pStyle w:val="List"/>
            </w:pPr>
            <w:r w:rsidRPr="00A87197">
              <w:t>3.2</w:t>
            </w:r>
            <w:r w:rsidRPr="00A87197">
              <w:tab/>
              <w:t xml:space="preserve">Risks classified as acceptable are placed on a monitor/review watch list. </w:t>
            </w:r>
          </w:p>
          <w:p w:rsidR="00000000" w:rsidRPr="00A87197" w:rsidP="00A87197">
            <w:pPr>
              <w:pStyle w:val="List"/>
            </w:pPr>
            <w:r w:rsidRPr="00A87197">
              <w:t>3.3</w:t>
            </w:r>
            <w:r w:rsidRPr="00A87197">
              <w:tab/>
              <w:t xml:space="preserve">Risks that are unacceptable are eliminated wherever practicable. </w:t>
            </w:r>
          </w:p>
          <w:p w:rsidR="00000000" w:rsidRPr="00A87197" w:rsidP="00A87197">
            <w:pPr>
              <w:pStyle w:val="List"/>
            </w:pPr>
            <w:r w:rsidRPr="00A87197">
              <w:t>3.4</w:t>
            </w:r>
            <w:r w:rsidRPr="00A87197">
              <w:tab/>
            </w:r>
            <w:r w:rsidRPr="00A87197">
              <w:t xml:space="preserve">Risks that cannot be eliminated are minimised in accordance with the risk management plan. </w:t>
            </w:r>
          </w:p>
          <w:p w:rsidR="00000000" w:rsidP="00A87197">
            <w:pPr>
              <w:pStyle w:val="List"/>
              <w:rPr>
                <w:lang w:val="en-NZ"/>
              </w:rPr>
            </w:pPr>
            <w:r w:rsidRPr="00A87197">
              <w:t>3.5</w:t>
            </w:r>
            <w:r w:rsidRPr="00A87197">
              <w:tab/>
              <w:t xml:space="preserve">Strategies for risk minimisation are documented. </w:t>
            </w:r>
          </w:p>
        </w:tc>
      </w:tr>
      <w:tr w:rsidTr="00474E2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A87197">
            <w:pPr>
              <w:pStyle w:val="List"/>
              <w:rPr>
                <w:lang w:val="en-NZ"/>
              </w:rPr>
            </w:pPr>
            <w:r w:rsidRPr="00A87197">
              <w:t>4</w:t>
            </w:r>
            <w:r w:rsidRPr="00A87197">
              <w:tab/>
            </w:r>
            <w:r w:rsidRPr="00A87197">
              <w:rPr>
                <w:rStyle w:val="SpecialBold"/>
              </w:rPr>
              <w:t>Monitor risk management plan</w:t>
            </w:r>
          </w:p>
        </w:tc>
        <w:tc>
          <w:tcPr>
            <w:tcW w:w="6228" w:type="dxa"/>
            <w:tcBorders>
              <w:top w:val="nil"/>
              <w:left w:val="nil"/>
              <w:bottom w:val="nil"/>
              <w:right w:val="nil"/>
            </w:tcBorders>
            <w:tcMar>
              <w:top w:w="0" w:type="dxa"/>
              <w:left w:w="62" w:type="dxa"/>
              <w:bottom w:w="0" w:type="dxa"/>
              <w:right w:w="62" w:type="dxa"/>
            </w:tcMar>
          </w:tcPr>
          <w:p w:rsidR="00000000" w:rsidRPr="00A87197" w:rsidP="00A87197">
            <w:pPr>
              <w:pStyle w:val="List"/>
            </w:pPr>
            <w:r w:rsidRPr="00A87197">
              <w:t>4.1</w:t>
            </w:r>
            <w:r w:rsidRPr="00A87197">
              <w:tab/>
              <w:t>Procedures are implemented to review risk management activities regularly.</w:t>
            </w:r>
            <w:r w:rsidRPr="00A87197">
              <w:t xml:space="preserve"> </w:t>
            </w:r>
          </w:p>
          <w:p w:rsidR="00000000" w:rsidRPr="00A87197" w:rsidP="00A87197">
            <w:pPr>
              <w:pStyle w:val="List"/>
            </w:pPr>
            <w:r w:rsidRPr="00A87197">
              <w:t>4.2</w:t>
            </w:r>
            <w:r w:rsidRPr="00A87197">
              <w:tab/>
              <w:t xml:space="preserve">Activities that do not achieve their objectives and performance outcomes are examined to determine cause. </w:t>
            </w:r>
          </w:p>
          <w:p w:rsidR="00000000" w:rsidRPr="00A87197" w:rsidP="00A87197">
            <w:pPr>
              <w:pStyle w:val="List"/>
            </w:pPr>
            <w:r w:rsidRPr="00A87197">
              <w:t>4.3</w:t>
            </w:r>
            <w:r w:rsidRPr="00A87197">
              <w:tab/>
              <w:t>Incidents that occur that indicate a</w:t>
            </w:r>
            <w:r w:rsidRPr="00A87197">
              <w:rPr>
                <w:rStyle w:val="BoldandItalics"/>
              </w:rPr>
              <w:t xml:space="preserve"> near miss</w:t>
            </w:r>
            <w:r w:rsidRPr="00A87197">
              <w:t xml:space="preserve"> are analysed and the risk management plan is reviewed. </w:t>
            </w:r>
          </w:p>
        </w:tc>
      </w:tr>
    </w:tbl>
    <w:p w:rsidR="00000000" w:rsidRPr="00A87197" w:rsidP="00A87197">
      <w:pPr>
        <w:pStyle w:val="BodyText"/>
      </w:pPr>
    </w:p>
    <w:p w:rsidR="00000000" w:rsidRPr="00A87197" w:rsidP="00A87197">
      <w:pPr>
        <w:pStyle w:val="AllowPageBreak"/>
      </w:pPr>
    </w:p>
    <w:p w:rsidR="00000000" w:rsidRPr="00A87197" w:rsidP="00A87197">
      <w:pPr>
        <w:pStyle w:val="Heading1"/>
      </w:pPr>
      <w:bookmarkStart w:id="9" w:name="O_444152"/>
      <w:bookmarkEnd w:id="9"/>
      <w:r w:rsidRPr="00A87197">
        <w:t>Required Skills a</w:t>
      </w:r>
      <w:r w:rsidRPr="00A87197">
        <w:t>nd Knowledge</w:t>
      </w:r>
    </w:p>
    <w:tbl>
      <w:tblPr>
        <w:tblW w:w="0" w:type="auto"/>
        <w:tblLayout w:type="fixed"/>
        <w:tblCellMar>
          <w:left w:w="62" w:type="dxa"/>
          <w:right w:w="62" w:type="dxa"/>
        </w:tblCellMar>
        <w:tblLook w:val="0000"/>
      </w:tblPr>
      <w:tblGrid>
        <w:gridCol w:w="8928"/>
      </w:tblGrid>
      <w:tr w:rsidTr="00474E2A">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P="00A87197">
            <w:pPr>
              <w:pStyle w:val="BodyText"/>
              <w:rPr>
                <w:lang w:val="en-NZ"/>
              </w:rPr>
            </w:pPr>
            <w:r w:rsidRPr="00A87197">
              <w:t>This describes the essential skills and knowledge and their level, required for this unit</w:t>
            </w:r>
          </w:p>
        </w:tc>
      </w:tr>
      <w:tr w:rsidTr="00474E2A">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P="00A87197">
            <w:pPr>
              <w:pStyle w:val="BodyText"/>
              <w:rPr>
                <w:lang w:val="en-NZ"/>
              </w:rPr>
            </w:pPr>
            <w:r w:rsidRPr="00A87197">
              <w:rPr>
                <w:rStyle w:val="SpecialBold"/>
              </w:rPr>
              <w:t>Required Skills</w:t>
            </w:r>
          </w:p>
        </w:tc>
      </w:tr>
      <w:tr w:rsidTr="00474E2A">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RPr="00A87197" w:rsidP="00A87197">
            <w:pPr>
              <w:pStyle w:val="ListBullet"/>
            </w:pPr>
            <w:r w:rsidRPr="00A87197">
              <w:t xml:space="preserve">analytical </w:t>
            </w:r>
          </w:p>
          <w:p w:rsidR="00000000" w:rsidRPr="00A87197" w:rsidP="00A87197">
            <w:pPr>
              <w:pStyle w:val="ListBullet"/>
            </w:pPr>
            <w:r w:rsidRPr="00A87197">
              <w:t xml:space="preserve">evaluation </w:t>
            </w:r>
          </w:p>
          <w:p w:rsidR="00000000" w:rsidRPr="00A87197" w:rsidP="00A87197">
            <w:pPr>
              <w:pStyle w:val="ListBullet"/>
            </w:pPr>
            <w:r w:rsidRPr="00A87197">
              <w:t xml:space="preserve">decision making </w:t>
            </w:r>
          </w:p>
          <w:p w:rsidR="00000000" w:rsidRPr="00A87197" w:rsidP="00A87197">
            <w:pPr>
              <w:pStyle w:val="ListBullet"/>
            </w:pPr>
            <w:r w:rsidRPr="00A87197">
              <w:t xml:space="preserve">problem solving </w:t>
            </w:r>
          </w:p>
          <w:p w:rsidR="00000000" w:rsidRPr="00A87197" w:rsidP="00A87197">
            <w:pPr>
              <w:pStyle w:val="ListBullet"/>
            </w:pPr>
            <w:r w:rsidRPr="00A87197">
              <w:t xml:space="preserve">communication </w:t>
            </w:r>
          </w:p>
          <w:p w:rsidR="00000000" w:rsidP="00A87197">
            <w:pPr>
              <w:pStyle w:val="ListBullet"/>
              <w:rPr>
                <w:lang w:val="en-NZ"/>
              </w:rPr>
            </w:pPr>
            <w:r w:rsidRPr="00A87197">
              <w:t xml:space="preserve">consultation </w:t>
            </w:r>
          </w:p>
        </w:tc>
      </w:tr>
      <w:tr w:rsidTr="00474E2A">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P="00A87197">
            <w:pPr>
              <w:pStyle w:val="BodyText"/>
              <w:rPr>
                <w:lang w:val="en-NZ"/>
              </w:rPr>
            </w:pPr>
            <w:r w:rsidRPr="00A87197">
              <w:rPr>
                <w:rStyle w:val="SpecialBold"/>
              </w:rPr>
              <w:t>Required Knowledge</w:t>
            </w:r>
          </w:p>
        </w:tc>
      </w:tr>
      <w:tr w:rsidTr="00474E2A">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RPr="00A87197" w:rsidP="00A87197">
            <w:pPr>
              <w:pStyle w:val="ListBullet"/>
            </w:pPr>
            <w:r w:rsidRPr="00A87197">
              <w:t xml:space="preserve">insurance options to offset risks </w:t>
            </w:r>
          </w:p>
          <w:p w:rsidR="00000000" w:rsidRPr="00A87197" w:rsidP="00A87197">
            <w:pPr>
              <w:pStyle w:val="ListBullet"/>
            </w:pPr>
            <w:r w:rsidRPr="00A87197">
              <w:t xml:space="preserve">public liability </w:t>
            </w:r>
          </w:p>
          <w:p w:rsidR="00000000" w:rsidRPr="00A87197" w:rsidP="00A87197">
            <w:pPr>
              <w:pStyle w:val="ListBullet"/>
            </w:pPr>
            <w:r w:rsidRPr="00A87197">
              <w:t xml:space="preserve">occupational health and safety regulations </w:t>
            </w:r>
          </w:p>
          <w:p w:rsidR="00000000" w:rsidRPr="00A87197" w:rsidP="00A87197">
            <w:pPr>
              <w:pStyle w:val="ListBullet"/>
            </w:pPr>
            <w:r w:rsidRPr="00A87197">
              <w:t xml:space="preserve">local government political system </w:t>
            </w:r>
          </w:p>
          <w:p w:rsidR="00000000" w:rsidRPr="00A87197" w:rsidP="00A87197">
            <w:pPr>
              <w:pStyle w:val="ListBullet"/>
            </w:pPr>
            <w:r w:rsidRPr="00A87197">
              <w:t xml:space="preserve">possible social consequences </w:t>
            </w:r>
          </w:p>
          <w:p w:rsidR="00000000" w:rsidRPr="00A87197" w:rsidP="00A87197">
            <w:pPr>
              <w:pStyle w:val="ListBullet"/>
            </w:pPr>
            <w:r w:rsidRPr="00A87197">
              <w:t xml:space="preserve">environmental legislation and regulations </w:t>
            </w:r>
          </w:p>
          <w:p w:rsidR="00000000" w:rsidRPr="00A87197" w:rsidP="00A87197">
            <w:pPr>
              <w:pStyle w:val="ListBullet"/>
            </w:pPr>
            <w:r w:rsidRPr="00A87197">
              <w:t xml:space="preserve">quality management </w:t>
            </w:r>
          </w:p>
          <w:p w:rsidR="00000000" w:rsidRPr="00A87197" w:rsidP="00A87197">
            <w:pPr>
              <w:pStyle w:val="ListBullet"/>
            </w:pPr>
            <w:r w:rsidRPr="00A87197">
              <w:t xml:space="preserve">custodial responsibility </w:t>
            </w:r>
          </w:p>
          <w:p w:rsidR="00000000" w:rsidRPr="00A87197" w:rsidP="00A87197">
            <w:pPr>
              <w:pStyle w:val="ListBullet"/>
            </w:pPr>
            <w:r w:rsidRPr="00A87197">
              <w:t xml:space="preserve">legal liabilities </w:t>
            </w:r>
          </w:p>
          <w:p w:rsidR="00000000" w:rsidRPr="00A87197" w:rsidP="00A87197">
            <w:pPr>
              <w:pStyle w:val="ListBullet"/>
            </w:pPr>
            <w:r w:rsidRPr="00A87197">
              <w:t xml:space="preserve">risk management processes and techniques </w:t>
            </w:r>
          </w:p>
          <w:p w:rsidR="00000000" w:rsidRPr="00A87197" w:rsidP="00A87197">
            <w:pPr>
              <w:pStyle w:val="ListBullet"/>
            </w:pPr>
            <w:r w:rsidRPr="00A87197">
              <w:t xml:space="preserve">calculation of current risk cost </w:t>
            </w:r>
          </w:p>
          <w:p w:rsidR="00000000" w:rsidRPr="00A87197" w:rsidP="00A87197">
            <w:pPr>
              <w:pStyle w:val="ListBullet"/>
            </w:pPr>
            <w:r w:rsidRPr="00A87197">
              <w:t xml:space="preserve">relevant computer software applications </w:t>
            </w:r>
          </w:p>
          <w:p w:rsidR="00000000" w:rsidRPr="00A87197" w:rsidP="00A87197">
            <w:pPr>
              <w:pStyle w:val="ListBullet"/>
            </w:pPr>
            <w:r w:rsidRPr="00A87197">
              <w:t xml:space="preserve">strategic, tactical and operational plans of council </w:t>
            </w:r>
          </w:p>
          <w:p w:rsidR="00000000" w:rsidRPr="00A87197" w:rsidP="00A87197">
            <w:pPr>
              <w:pStyle w:val="ListBullet"/>
            </w:pPr>
            <w:r w:rsidRPr="00A87197">
              <w:t xml:space="preserve">disaster, emergency and evacuation plans </w:t>
            </w:r>
          </w:p>
          <w:p w:rsidR="00000000" w:rsidRPr="00A87197" w:rsidP="00A87197">
            <w:pPr>
              <w:pStyle w:val="ListBullet"/>
            </w:pPr>
            <w:r w:rsidRPr="00A87197">
              <w:t xml:space="preserve">organisational capacity </w:t>
            </w:r>
            <w:r w:rsidRPr="00A87197">
              <w:t>to deal with incidents or events</w:t>
            </w:r>
          </w:p>
        </w:tc>
      </w:tr>
    </w:tbl>
    <w:p w:rsidR="00000000" w:rsidRPr="00A87197" w:rsidP="00A87197">
      <w:pPr>
        <w:pStyle w:val="BodyText"/>
      </w:pPr>
    </w:p>
    <w:p w:rsidR="00000000" w:rsidRPr="00A87197" w:rsidP="00A87197">
      <w:pPr>
        <w:pStyle w:val="AllowPageBreak"/>
      </w:pPr>
    </w:p>
    <w:p w:rsidR="00000000" w:rsidRPr="00A87197" w:rsidP="00A87197">
      <w:pPr>
        <w:pStyle w:val="Heading1"/>
      </w:pPr>
      <w:bookmarkStart w:id="10" w:name="O_444158"/>
      <w:bookmarkEnd w:id="10"/>
      <w:r w:rsidRPr="00A87197">
        <w:t>Evidence Guide</w:t>
      </w:r>
    </w:p>
    <w:tbl>
      <w:tblPr>
        <w:tblW w:w="0" w:type="auto"/>
        <w:tblLayout w:type="fixed"/>
        <w:tblCellMar>
          <w:left w:w="62" w:type="dxa"/>
          <w:right w:w="62" w:type="dxa"/>
        </w:tblCellMar>
        <w:tblLook w:val="0000"/>
      </w:tblPr>
      <w:tblGrid>
        <w:gridCol w:w="2700"/>
        <w:gridCol w:w="6228"/>
      </w:tblGrid>
      <w:tr w:rsidTr="00474E2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A87197">
            <w:pPr>
              <w:pStyle w:val="BodyText"/>
              <w:rPr>
                <w:lang w:val="en-NZ"/>
              </w:rPr>
            </w:pPr>
            <w:r w:rsidRPr="00A87197">
              <w:rPr>
                <w:rStyle w:val="SpecialBold"/>
              </w:rPr>
              <w:t>Overview of assessment requirements</w:t>
            </w:r>
          </w:p>
        </w:tc>
        <w:tc>
          <w:tcPr>
            <w:tcW w:w="6228" w:type="dxa"/>
            <w:tcBorders>
              <w:top w:val="nil"/>
              <w:left w:val="nil"/>
              <w:bottom w:val="nil"/>
              <w:right w:val="nil"/>
            </w:tcBorders>
            <w:tcMar>
              <w:top w:w="0" w:type="dxa"/>
              <w:left w:w="62" w:type="dxa"/>
              <w:bottom w:w="0" w:type="dxa"/>
              <w:right w:w="62" w:type="dxa"/>
            </w:tcMar>
          </w:tcPr>
          <w:p w:rsidR="00000000" w:rsidP="00A87197">
            <w:pPr>
              <w:pStyle w:val="BodyText"/>
              <w:rPr>
                <w:lang w:val="en-NZ"/>
              </w:rPr>
            </w:pPr>
            <w:r w:rsidRPr="00A87197">
              <w:t xml:space="preserve">A person who demonstrates competency in this unit will be able to perform the outcomes described in the Elements to the required performance </w:t>
            </w:r>
            <w:r w:rsidRPr="00A87197">
              <w:t>level detailed in the Performance Criteria. The knowledge and skill requirements described in the Range Statement must also be demonstrated. For example, knowledge of the legislative framework and safe work practices that underpin the performance of the un</w:t>
            </w:r>
            <w:r w:rsidRPr="00A87197">
              <w:t xml:space="preserve">it are also required to be demonstrated. </w:t>
            </w:r>
          </w:p>
        </w:tc>
      </w:tr>
      <w:tr w:rsidTr="00474E2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A87197">
            <w:pPr>
              <w:pStyle w:val="BodyText"/>
              <w:rPr>
                <w:lang w:val="en-NZ"/>
              </w:rPr>
            </w:pPr>
            <w:r w:rsidRPr="00A87197">
              <w:rPr>
                <w:rStyle w:val="SpecialBold"/>
              </w:rPr>
              <w:t>Critical aspects of evidence to be considered</w:t>
            </w:r>
          </w:p>
        </w:tc>
        <w:tc>
          <w:tcPr>
            <w:tcW w:w="6228" w:type="dxa"/>
            <w:tcBorders>
              <w:top w:val="nil"/>
              <w:left w:val="nil"/>
              <w:bottom w:val="nil"/>
              <w:right w:val="nil"/>
            </w:tcBorders>
            <w:tcMar>
              <w:top w:w="0" w:type="dxa"/>
              <w:left w:w="62" w:type="dxa"/>
              <w:bottom w:w="0" w:type="dxa"/>
              <w:right w:w="62" w:type="dxa"/>
            </w:tcMar>
          </w:tcPr>
          <w:p w:rsidR="00000000" w:rsidRPr="00A87197" w:rsidP="00A87197">
            <w:pPr>
              <w:pStyle w:val="BodyText"/>
            </w:pPr>
            <w:r w:rsidRPr="00A87197">
              <w:t xml:space="preserve">The demonstrated ability to: </w:t>
            </w:r>
          </w:p>
          <w:p w:rsidR="00000000" w:rsidRPr="00A87197" w:rsidP="00A87197">
            <w:pPr>
              <w:pStyle w:val="ListBullet"/>
            </w:pPr>
            <w:r w:rsidRPr="00A87197">
              <w:t xml:space="preserve">examine all factors systematically in identifying risk and determining the consequence of failure </w:t>
            </w:r>
          </w:p>
          <w:p w:rsidR="00000000" w:rsidRPr="00A87197" w:rsidP="00A87197">
            <w:pPr>
              <w:pStyle w:val="ListBullet"/>
            </w:pPr>
            <w:r w:rsidRPr="00A87197">
              <w:t>develop a risk management plan to eli</w:t>
            </w:r>
            <w:r w:rsidRPr="00A87197">
              <w:t xml:space="preserve">minate, isolate and protect people and assets in the event of a potential negative event occurring </w:t>
            </w:r>
          </w:p>
          <w:p w:rsidR="00000000" w:rsidP="00A87197">
            <w:pPr>
              <w:pStyle w:val="ListBullet"/>
              <w:rPr>
                <w:lang w:val="en-NZ"/>
              </w:rPr>
            </w:pPr>
            <w:r w:rsidRPr="00A87197">
              <w:t xml:space="preserve">monitor risk reduction activities and the implementation of failure management plans </w:t>
            </w:r>
          </w:p>
        </w:tc>
      </w:tr>
      <w:tr w:rsidTr="00474E2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A87197">
            <w:pPr>
              <w:pStyle w:val="BodyText"/>
              <w:rPr>
                <w:lang w:val="en-NZ"/>
              </w:rPr>
            </w:pPr>
            <w:r w:rsidRPr="00A87197">
              <w:rPr>
                <w:rStyle w:val="SpecialBold"/>
              </w:rPr>
              <w:t>Context of assessment</w:t>
            </w:r>
          </w:p>
        </w:tc>
        <w:tc>
          <w:tcPr>
            <w:tcW w:w="6228" w:type="dxa"/>
            <w:tcBorders>
              <w:top w:val="nil"/>
              <w:left w:val="nil"/>
              <w:bottom w:val="nil"/>
              <w:right w:val="nil"/>
            </w:tcBorders>
            <w:tcMar>
              <w:top w:w="0" w:type="dxa"/>
              <w:left w:w="62" w:type="dxa"/>
              <w:bottom w:w="0" w:type="dxa"/>
              <w:right w:w="62" w:type="dxa"/>
            </w:tcMar>
          </w:tcPr>
          <w:p w:rsidR="00000000" w:rsidRPr="00A87197" w:rsidP="00A87197">
            <w:pPr>
              <w:pStyle w:val="BodyText"/>
            </w:pPr>
            <w:r w:rsidRPr="00A87197">
              <w:t>Competency is demonstrated by performance of al</w:t>
            </w:r>
            <w:r w:rsidRPr="00A87197">
              <w:t xml:space="preserve">l stated criteria, with particular attention to the critical aspects and the knowledge and skills elaborated in the Evidence Guide, and within the scope of the Range Statement. </w:t>
            </w:r>
          </w:p>
          <w:p w:rsidR="00000000" w:rsidRPr="00A87197" w:rsidP="00A87197">
            <w:pPr>
              <w:pStyle w:val="BodyText"/>
            </w:pPr>
            <w:r w:rsidRPr="00A87197">
              <w:t>Assessment must take account of the endorsed Assessment Guidelines in the Loca</w:t>
            </w:r>
            <w:r w:rsidRPr="00A87197">
              <w:t xml:space="preserve">l Government Training Package. </w:t>
            </w:r>
          </w:p>
          <w:p w:rsidR="00000000" w:rsidRPr="00A87197" w:rsidP="00A87197">
            <w:pPr>
              <w:pStyle w:val="BodyText"/>
            </w:pPr>
            <w:r w:rsidRPr="00A87197">
              <w:t xml:space="preserve">Assessment of performance requirements in this unit should be undertaken in an actual workplace or simulated environment. </w:t>
            </w:r>
          </w:p>
          <w:p w:rsidR="00000000" w:rsidP="00A87197">
            <w:pPr>
              <w:pStyle w:val="BodyText"/>
              <w:rPr>
                <w:lang w:val="en-NZ"/>
              </w:rPr>
            </w:pPr>
            <w:r w:rsidRPr="00A87197">
              <w:t>Assessment should reinforce the integration of the key competencies for the particular AQF level. Ref</w:t>
            </w:r>
            <w:r w:rsidRPr="00A87197">
              <w:t xml:space="preserve">er to the key competency levels at the end of this unit. </w:t>
            </w:r>
          </w:p>
        </w:tc>
      </w:tr>
      <w:tr w:rsidTr="00474E2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A87197">
            <w:pPr>
              <w:pStyle w:val="BodyText"/>
              <w:rPr>
                <w:lang w:val="en-NZ"/>
              </w:rPr>
            </w:pPr>
            <w:r w:rsidRPr="00A87197">
              <w:rPr>
                <w:rStyle w:val="SpecialBold"/>
              </w:rPr>
              <w:t>Relationship to other units</w:t>
            </w:r>
            <w:r w:rsidRPr="00A87197">
              <w:t>(</w:t>
            </w:r>
            <w:r w:rsidRPr="00A87197">
              <w:rPr>
                <w:rStyle w:val="SpecialBold"/>
              </w:rPr>
              <w:t>prerequisite or co-requisite units</w:t>
            </w:r>
            <w:r w:rsidRPr="00A87197">
              <w:t>)</w:t>
            </w:r>
          </w:p>
        </w:tc>
        <w:tc>
          <w:tcPr>
            <w:tcW w:w="6228" w:type="dxa"/>
            <w:tcBorders>
              <w:top w:val="nil"/>
              <w:left w:val="nil"/>
              <w:bottom w:val="nil"/>
              <w:right w:val="nil"/>
            </w:tcBorders>
            <w:tcMar>
              <w:top w:w="0" w:type="dxa"/>
              <w:left w:w="62" w:type="dxa"/>
              <w:bottom w:w="0" w:type="dxa"/>
              <w:right w:w="62" w:type="dxa"/>
            </w:tcMar>
          </w:tcPr>
          <w:p w:rsidR="00000000" w:rsidP="00A87197">
            <w:pPr>
              <w:pStyle w:val="BodyText"/>
              <w:rPr>
                <w:lang w:val="en-NZ"/>
              </w:rPr>
            </w:pPr>
            <w:r w:rsidRPr="00A87197">
              <w:t xml:space="preserve">To enable holistic assessment this unit may be assessed with other units that form part of the job role. </w:t>
            </w:r>
          </w:p>
        </w:tc>
      </w:tr>
      <w:tr w:rsidTr="00474E2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A87197">
            <w:pPr>
              <w:pStyle w:val="BodyText"/>
              <w:rPr>
                <w:lang w:val="en-NZ"/>
              </w:rPr>
            </w:pPr>
            <w:r w:rsidRPr="00A87197">
              <w:rPr>
                <w:rStyle w:val="SpecialBold"/>
              </w:rPr>
              <w:t>Method of assessment</w:t>
            </w:r>
          </w:p>
        </w:tc>
        <w:tc>
          <w:tcPr>
            <w:tcW w:w="6228" w:type="dxa"/>
            <w:tcBorders>
              <w:top w:val="nil"/>
              <w:left w:val="nil"/>
              <w:bottom w:val="nil"/>
              <w:right w:val="nil"/>
            </w:tcBorders>
            <w:tcMar>
              <w:top w:w="0" w:type="dxa"/>
              <w:left w:w="62" w:type="dxa"/>
              <w:bottom w:w="0" w:type="dxa"/>
              <w:right w:w="62" w:type="dxa"/>
            </w:tcMar>
          </w:tcPr>
          <w:p w:rsidR="00000000" w:rsidRPr="00A87197" w:rsidP="00A87197">
            <w:pPr>
              <w:pStyle w:val="BodyText"/>
            </w:pPr>
            <w:r w:rsidRPr="00A87197">
              <w:t xml:space="preserve">The following assessment methods are suggested: </w:t>
            </w:r>
          </w:p>
          <w:p w:rsidR="00000000" w:rsidRPr="00A87197" w:rsidP="00A87197">
            <w:pPr>
              <w:pStyle w:val="ListBullet"/>
            </w:pPr>
            <w:r w:rsidRPr="00A87197">
              <w:t xml:space="preserve">observation of the learner performing a range of workplace tasks over sufficient time to demonstrate handling of a range of contingencies </w:t>
            </w:r>
          </w:p>
          <w:p w:rsidR="00000000" w:rsidRPr="00A87197" w:rsidP="00A87197">
            <w:pPr>
              <w:pStyle w:val="ListBullet"/>
            </w:pPr>
            <w:r w:rsidRPr="00A87197">
              <w:t>written and/or oral questioning to assess knowledge and understandi</w:t>
            </w:r>
            <w:r w:rsidRPr="00A87197">
              <w:t xml:space="preserve">ng </w:t>
            </w:r>
          </w:p>
          <w:p w:rsidR="00000000" w:rsidRPr="00A87197" w:rsidP="00A87197">
            <w:pPr>
              <w:pStyle w:val="ListBullet"/>
            </w:pPr>
            <w:r w:rsidRPr="00A87197">
              <w:t xml:space="preserve">completion of workplace documentation </w:t>
            </w:r>
          </w:p>
          <w:p w:rsidR="00000000" w:rsidRPr="00A87197" w:rsidP="00A87197">
            <w:pPr>
              <w:pStyle w:val="ListBullet"/>
            </w:pPr>
            <w:r w:rsidRPr="00A87197">
              <w:t xml:space="preserve">third-party reports from experienced practitioners </w:t>
            </w:r>
          </w:p>
          <w:p w:rsidR="00000000" w:rsidP="00A87197">
            <w:pPr>
              <w:pStyle w:val="ListBullet"/>
              <w:rPr>
                <w:lang w:val="en-NZ"/>
              </w:rPr>
            </w:pPr>
            <w:r w:rsidRPr="00A87197">
              <w:t>completion of self-paced learning materials including personal reflection and feedback from trainer, coach or supervisor</w:t>
            </w:r>
          </w:p>
        </w:tc>
      </w:tr>
      <w:tr w:rsidTr="00474E2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A87197">
            <w:pPr>
              <w:pStyle w:val="BodyText"/>
              <w:rPr>
                <w:lang w:val="en-NZ"/>
              </w:rPr>
            </w:pPr>
            <w:r w:rsidRPr="00A87197">
              <w:rPr>
                <w:rStyle w:val="SpecialBold"/>
              </w:rPr>
              <w:t xml:space="preserve">Evidence required for demonstration of </w:t>
            </w:r>
            <w:r w:rsidRPr="00A87197">
              <w:rPr>
                <w:rStyle w:val="SpecialBold"/>
              </w:rPr>
              <w:t>consistent performance</w:t>
            </w:r>
          </w:p>
        </w:tc>
        <w:tc>
          <w:tcPr>
            <w:tcW w:w="6228" w:type="dxa"/>
            <w:tcBorders>
              <w:top w:val="nil"/>
              <w:left w:val="nil"/>
              <w:bottom w:val="nil"/>
              <w:right w:val="nil"/>
            </w:tcBorders>
            <w:tcMar>
              <w:top w:w="0" w:type="dxa"/>
              <w:left w:w="62" w:type="dxa"/>
              <w:bottom w:w="0" w:type="dxa"/>
              <w:right w:w="62" w:type="dxa"/>
            </w:tcMar>
          </w:tcPr>
          <w:p w:rsidR="00000000" w:rsidP="00A87197">
            <w:pPr>
              <w:pStyle w:val="BodyText"/>
              <w:rPr>
                <w:lang w:val="en-NZ"/>
              </w:rPr>
            </w:pPr>
            <w:r w:rsidRPr="00A87197">
              <w:t xml:space="preserve">Evidence should be collected over a set period of time that is sufficient to include dealings with an appropriate range and variety of situations. </w:t>
            </w:r>
          </w:p>
        </w:tc>
      </w:tr>
      <w:tr w:rsidTr="00474E2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A87197">
            <w:pPr>
              <w:pStyle w:val="BodyText"/>
              <w:rPr>
                <w:lang w:val="en-NZ"/>
              </w:rPr>
            </w:pPr>
            <w:r w:rsidRPr="00A87197">
              <w:rPr>
                <w:rStyle w:val="SpecialBold"/>
              </w:rPr>
              <w:t>Resource implications</w:t>
            </w:r>
          </w:p>
        </w:tc>
        <w:tc>
          <w:tcPr>
            <w:tcW w:w="6228" w:type="dxa"/>
            <w:tcBorders>
              <w:top w:val="nil"/>
              <w:left w:val="nil"/>
              <w:bottom w:val="nil"/>
              <w:right w:val="nil"/>
            </w:tcBorders>
            <w:tcMar>
              <w:top w:w="0" w:type="dxa"/>
              <w:left w:w="62" w:type="dxa"/>
              <w:bottom w:w="0" w:type="dxa"/>
              <w:right w:w="62" w:type="dxa"/>
            </w:tcMar>
          </w:tcPr>
          <w:p w:rsidR="00000000" w:rsidRPr="00A87197" w:rsidP="00A87197">
            <w:pPr>
              <w:pStyle w:val="BodyText"/>
            </w:pPr>
            <w:r w:rsidRPr="00A87197">
              <w:t xml:space="preserve">The learner and trainer should have access to appropriate documentation and resources normally used in the workplace. </w:t>
            </w:r>
          </w:p>
        </w:tc>
      </w:tr>
    </w:tbl>
    <w:p w:rsidR="00000000" w:rsidRPr="00A87197" w:rsidP="00A87197">
      <w:pPr>
        <w:pStyle w:val="BodyText"/>
      </w:pPr>
    </w:p>
    <w:p w:rsidR="00000000" w:rsidRPr="00A87197" w:rsidP="00A87197">
      <w:pPr>
        <w:pStyle w:val="AllowPageBreak"/>
      </w:pPr>
    </w:p>
    <w:p w:rsidR="00000000" w:rsidRPr="00A87197" w:rsidP="00A87197">
      <w:pPr>
        <w:pStyle w:val="Heading1"/>
      </w:pPr>
      <w:bookmarkStart w:id="11" w:name="O_444153"/>
      <w:bookmarkEnd w:id="11"/>
      <w:r w:rsidRPr="00A87197">
        <w:t>Range Statement</w:t>
      </w:r>
    </w:p>
    <w:tbl>
      <w:tblPr>
        <w:tblW w:w="0" w:type="auto"/>
        <w:tblLayout w:type="fixed"/>
        <w:tblCellMar>
          <w:left w:w="62" w:type="dxa"/>
          <w:right w:w="62" w:type="dxa"/>
        </w:tblCellMar>
        <w:tblLook w:val="0000"/>
      </w:tblPr>
      <w:tblGrid>
        <w:gridCol w:w="2700"/>
        <w:gridCol w:w="6228"/>
      </w:tblGrid>
      <w:tr w:rsidTr="00474E2A">
        <w:tblPrEx>
          <w:tblW w:w="0" w:type="auto"/>
          <w:tblLayout w:type="fixed"/>
          <w:tblCellMar>
            <w:left w:w="62" w:type="dxa"/>
            <w:right w:w="62" w:type="dxa"/>
          </w:tblCellMar>
          <w:tblLook w:val="0000"/>
        </w:tblPrEx>
        <w:tc>
          <w:tcPr>
            <w:tcW w:w="8928" w:type="dxa"/>
            <w:gridSpan w:val="2"/>
            <w:tcBorders>
              <w:top w:val="nil"/>
              <w:left w:val="nil"/>
              <w:bottom w:val="nil"/>
              <w:right w:val="nil"/>
            </w:tcBorders>
            <w:tcMar>
              <w:top w:w="0" w:type="dxa"/>
              <w:left w:w="62" w:type="dxa"/>
              <w:bottom w:w="0" w:type="dxa"/>
              <w:right w:w="62" w:type="dxa"/>
            </w:tcMar>
          </w:tcPr>
          <w:p w:rsidR="00000000" w:rsidP="00A87197">
            <w:pPr>
              <w:pStyle w:val="BodyText"/>
              <w:rPr>
                <w:lang w:val="en-NZ"/>
              </w:rPr>
            </w:pPr>
            <w:r w:rsidRPr="00A87197">
              <w:t>The Range Statement relates to the Unit of Competency as a whole.  It allows for different work enviro</w:t>
            </w:r>
            <w:r w:rsidRPr="00A87197">
              <w:t xml:space="preserve">nments and situations that may affect performance.  </w:t>
            </w:r>
            <w:r w:rsidRPr="00A87197">
              <w:rPr>
                <w:rStyle w:val="BoldandItalics"/>
              </w:rPr>
              <w:t>Bold italicised</w:t>
            </w:r>
            <w:r w:rsidRPr="00A87197">
              <w:t xml:space="preserve"> wording in the Performance Criteria is detailed below.</w:t>
            </w:r>
          </w:p>
        </w:tc>
      </w:tr>
      <w:tr w:rsidTr="00474E2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A87197">
            <w:pPr>
              <w:pStyle w:val="BodyText"/>
              <w:rPr>
                <w:lang w:val="en-NZ"/>
              </w:rPr>
            </w:pPr>
            <w:r w:rsidRPr="00A87197">
              <w:rPr>
                <w:rStyle w:val="BoldandItalics"/>
              </w:rPr>
              <w:t xml:space="preserve">Risk management </w:t>
            </w:r>
            <w:r w:rsidRPr="00A87197">
              <w:t xml:space="preserve">means: </w:t>
            </w:r>
          </w:p>
        </w:tc>
        <w:tc>
          <w:tcPr>
            <w:tcW w:w="6228" w:type="dxa"/>
            <w:tcBorders>
              <w:top w:val="nil"/>
              <w:left w:val="nil"/>
              <w:bottom w:val="nil"/>
              <w:right w:val="nil"/>
            </w:tcBorders>
            <w:tcMar>
              <w:top w:w="0" w:type="dxa"/>
              <w:left w:w="62" w:type="dxa"/>
              <w:bottom w:w="0" w:type="dxa"/>
              <w:right w:w="62" w:type="dxa"/>
            </w:tcMar>
          </w:tcPr>
          <w:p w:rsidR="00000000" w:rsidP="00A87197">
            <w:pPr>
              <w:pStyle w:val="ListBullet"/>
              <w:rPr>
                <w:lang w:val="en-NZ"/>
              </w:rPr>
            </w:pPr>
            <w:r w:rsidRPr="00A87197">
              <w:t>the process of identifying potential negative events and developing plans to minimise the likelihood of th</w:t>
            </w:r>
            <w:r w:rsidRPr="00A87197">
              <w:t xml:space="preserve">e negative event occurring and/or minimise the consequences should it occur </w:t>
            </w:r>
          </w:p>
        </w:tc>
      </w:tr>
      <w:tr w:rsidTr="00474E2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A87197">
            <w:pPr>
              <w:pStyle w:val="BodyText"/>
              <w:rPr>
                <w:lang w:val="en-NZ"/>
              </w:rPr>
            </w:pPr>
            <w:r w:rsidRPr="00A87197">
              <w:rPr>
                <w:rStyle w:val="BoldandItalics"/>
              </w:rPr>
              <w:t>Council assets</w:t>
            </w:r>
            <w:r w:rsidRPr="00A87197">
              <w:t xml:space="preserve"> may include: </w:t>
            </w:r>
          </w:p>
        </w:tc>
        <w:tc>
          <w:tcPr>
            <w:tcW w:w="6228" w:type="dxa"/>
            <w:tcBorders>
              <w:top w:val="nil"/>
              <w:left w:val="nil"/>
              <w:bottom w:val="nil"/>
              <w:right w:val="nil"/>
            </w:tcBorders>
            <w:tcMar>
              <w:top w:w="0" w:type="dxa"/>
              <w:left w:w="62" w:type="dxa"/>
              <w:bottom w:w="0" w:type="dxa"/>
              <w:right w:w="62" w:type="dxa"/>
            </w:tcMar>
          </w:tcPr>
          <w:p w:rsidR="00000000" w:rsidRPr="00A87197" w:rsidP="00A87197">
            <w:pPr>
              <w:pStyle w:val="ListBullet"/>
            </w:pPr>
            <w:r w:rsidRPr="00A87197">
              <w:t xml:space="preserve">all non-current structures or items of plant or equipment that provide service potential or future economic benefit </w:t>
            </w:r>
          </w:p>
          <w:p w:rsidR="00000000" w:rsidRPr="00A87197" w:rsidP="00A87197">
            <w:pPr>
              <w:pStyle w:val="ListBullet"/>
            </w:pPr>
            <w:r w:rsidRPr="00A87197">
              <w:t xml:space="preserve">roads </w:t>
            </w:r>
          </w:p>
          <w:p w:rsidR="00000000" w:rsidRPr="00A87197" w:rsidP="00A87197">
            <w:pPr>
              <w:pStyle w:val="ListBullet"/>
            </w:pPr>
            <w:r w:rsidRPr="00A87197">
              <w:t xml:space="preserve">bridges </w:t>
            </w:r>
          </w:p>
          <w:p w:rsidR="00000000" w:rsidRPr="00A87197" w:rsidP="00A87197">
            <w:pPr>
              <w:pStyle w:val="ListBullet"/>
            </w:pPr>
            <w:r w:rsidRPr="00A87197">
              <w:t xml:space="preserve">water supply systems </w:t>
            </w:r>
          </w:p>
          <w:p w:rsidR="00000000" w:rsidRPr="00A87197" w:rsidP="00A87197">
            <w:pPr>
              <w:pStyle w:val="ListBullet"/>
            </w:pPr>
            <w:r w:rsidRPr="00A87197">
              <w:t xml:space="preserve">parks and gardens </w:t>
            </w:r>
          </w:p>
          <w:p w:rsidR="00000000" w:rsidRPr="00A87197" w:rsidP="00A87197">
            <w:pPr>
              <w:pStyle w:val="ListBullet"/>
            </w:pPr>
            <w:r w:rsidRPr="00A87197">
              <w:t xml:space="preserve">drainage systems </w:t>
            </w:r>
          </w:p>
          <w:p w:rsidR="00000000" w:rsidRPr="00A87197" w:rsidP="00A87197">
            <w:pPr>
              <w:pStyle w:val="ListBullet"/>
            </w:pPr>
            <w:r w:rsidRPr="00A87197">
              <w:t xml:space="preserve">sewerage systems </w:t>
            </w:r>
          </w:p>
          <w:p w:rsidR="00000000" w:rsidRPr="00A87197" w:rsidP="00A87197">
            <w:pPr>
              <w:pStyle w:val="ListBullet"/>
            </w:pPr>
            <w:r w:rsidRPr="00A87197">
              <w:t xml:space="preserve">buildings </w:t>
            </w:r>
          </w:p>
          <w:p w:rsidR="00000000" w:rsidP="00A87197">
            <w:pPr>
              <w:pStyle w:val="ListBullet"/>
              <w:rPr>
                <w:lang w:val="en-NZ"/>
              </w:rPr>
            </w:pPr>
            <w:r w:rsidRPr="00A87197">
              <w:t xml:space="preserve">plant and equipment </w:t>
            </w:r>
          </w:p>
        </w:tc>
      </w:tr>
      <w:tr w:rsidTr="00474E2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A87197">
            <w:pPr>
              <w:pStyle w:val="BodyText"/>
              <w:rPr>
                <w:lang w:val="en-NZ"/>
              </w:rPr>
            </w:pPr>
            <w:r w:rsidRPr="00A87197">
              <w:rPr>
                <w:rStyle w:val="BoldandItalics"/>
              </w:rPr>
              <w:t>Possible failure modes</w:t>
            </w:r>
            <w:r w:rsidRPr="00A87197">
              <w:t xml:space="preserve"> may include: </w:t>
            </w:r>
          </w:p>
        </w:tc>
        <w:tc>
          <w:tcPr>
            <w:tcW w:w="6228" w:type="dxa"/>
            <w:tcBorders>
              <w:top w:val="nil"/>
              <w:left w:val="nil"/>
              <w:bottom w:val="nil"/>
              <w:right w:val="nil"/>
            </w:tcBorders>
            <w:tcMar>
              <w:top w:w="0" w:type="dxa"/>
              <w:left w:w="62" w:type="dxa"/>
              <w:bottom w:w="0" w:type="dxa"/>
              <w:right w:w="62" w:type="dxa"/>
            </w:tcMar>
          </w:tcPr>
          <w:p w:rsidR="00000000" w:rsidRPr="00A87197" w:rsidP="00A87197">
            <w:pPr>
              <w:pStyle w:val="ListBullet"/>
            </w:pPr>
            <w:r w:rsidRPr="00A87197">
              <w:t xml:space="preserve">lack of capacity </w:t>
            </w:r>
          </w:p>
          <w:p w:rsidR="00000000" w:rsidRPr="00A87197" w:rsidP="00A87197">
            <w:pPr>
              <w:pStyle w:val="ListBullet"/>
            </w:pPr>
            <w:r w:rsidRPr="00A87197">
              <w:t xml:space="preserve">inefficiency </w:t>
            </w:r>
          </w:p>
          <w:p w:rsidR="00000000" w:rsidRPr="00A87197" w:rsidP="00A87197">
            <w:pPr>
              <w:pStyle w:val="ListBullet"/>
            </w:pPr>
            <w:r w:rsidRPr="00A87197">
              <w:t xml:space="preserve">obsolescence </w:t>
            </w:r>
          </w:p>
          <w:p w:rsidR="00000000" w:rsidRPr="00A87197" w:rsidP="00A87197">
            <w:pPr>
              <w:pStyle w:val="ListBullet"/>
            </w:pPr>
            <w:r w:rsidRPr="00A87197">
              <w:t xml:space="preserve">level of service falling below acceptable levels </w:t>
            </w:r>
          </w:p>
          <w:p w:rsidR="00000000" w:rsidRPr="00A87197" w:rsidP="00A87197">
            <w:pPr>
              <w:pStyle w:val="ListBullet"/>
            </w:pPr>
            <w:r w:rsidRPr="00A87197">
              <w:t xml:space="preserve">structural integrity (mortal failure) </w:t>
            </w:r>
          </w:p>
          <w:p w:rsidR="00000000" w:rsidRPr="00A87197" w:rsidP="00A87197">
            <w:pPr>
              <w:pStyle w:val="ListBullet"/>
            </w:pPr>
            <w:r w:rsidRPr="00A87197">
              <w:t xml:space="preserve">redundancy (lack of utilisation) </w:t>
            </w:r>
          </w:p>
          <w:p w:rsidR="00000000" w:rsidP="00A87197">
            <w:pPr>
              <w:pStyle w:val="ListBullet"/>
              <w:rPr>
                <w:lang w:val="en-NZ"/>
              </w:rPr>
            </w:pPr>
            <w:r w:rsidRPr="00A87197">
              <w:t xml:space="preserve">operator errors </w:t>
            </w:r>
          </w:p>
        </w:tc>
      </w:tr>
      <w:tr w:rsidTr="00474E2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A87197">
            <w:pPr>
              <w:pStyle w:val="BodyText"/>
              <w:rPr>
                <w:lang w:val="en-NZ"/>
              </w:rPr>
            </w:pPr>
            <w:r w:rsidRPr="00A87197">
              <w:rPr>
                <w:rStyle w:val="BoldandItalics"/>
              </w:rPr>
              <w:t>Consequence of failure</w:t>
            </w:r>
            <w:r w:rsidRPr="00A87197">
              <w:t xml:space="preserve"> may include: </w:t>
            </w:r>
          </w:p>
        </w:tc>
        <w:tc>
          <w:tcPr>
            <w:tcW w:w="6228" w:type="dxa"/>
            <w:tcBorders>
              <w:top w:val="nil"/>
              <w:left w:val="nil"/>
              <w:bottom w:val="nil"/>
              <w:right w:val="nil"/>
            </w:tcBorders>
            <w:tcMar>
              <w:top w:w="0" w:type="dxa"/>
              <w:left w:w="62" w:type="dxa"/>
              <w:bottom w:w="0" w:type="dxa"/>
              <w:right w:w="62" w:type="dxa"/>
            </w:tcMar>
          </w:tcPr>
          <w:p w:rsidR="00000000" w:rsidRPr="00A87197" w:rsidP="00A87197">
            <w:pPr>
              <w:pStyle w:val="ListBullet"/>
            </w:pPr>
            <w:r w:rsidRPr="00A87197">
              <w:t xml:space="preserve">loss of life </w:t>
            </w:r>
          </w:p>
          <w:p w:rsidR="00000000" w:rsidRPr="00A87197" w:rsidP="00A87197">
            <w:pPr>
              <w:pStyle w:val="ListBullet"/>
            </w:pPr>
            <w:r w:rsidRPr="00A87197">
              <w:t xml:space="preserve">public and staff safety and risk (WorkCover and public liability) </w:t>
            </w:r>
          </w:p>
          <w:p w:rsidR="00000000" w:rsidRPr="00A87197" w:rsidP="00A87197">
            <w:pPr>
              <w:pStyle w:val="ListBullet"/>
            </w:pPr>
            <w:r w:rsidRPr="00A87197">
              <w:t xml:space="preserve">damage to private property </w:t>
            </w:r>
          </w:p>
          <w:p w:rsidR="00000000" w:rsidRPr="00A87197" w:rsidP="00A87197">
            <w:pPr>
              <w:pStyle w:val="ListBullet"/>
            </w:pPr>
            <w:r w:rsidRPr="00A87197">
              <w:t>effect on business</w:t>
            </w:r>
            <w:r w:rsidRPr="00A87197">
              <w:t xml:space="preserve"> </w:t>
            </w:r>
          </w:p>
          <w:p w:rsidR="00000000" w:rsidRPr="00A87197" w:rsidP="00A87197">
            <w:pPr>
              <w:pStyle w:val="ListBullet"/>
            </w:pPr>
            <w:r w:rsidRPr="00A87197">
              <w:t xml:space="preserve">effect on essential services </w:t>
            </w:r>
          </w:p>
          <w:p w:rsidR="00000000" w:rsidRPr="00A87197" w:rsidP="00A87197">
            <w:pPr>
              <w:pStyle w:val="ListBullet"/>
            </w:pPr>
            <w:r w:rsidRPr="00A87197">
              <w:t xml:space="preserve">damage to other utilities' property </w:t>
            </w:r>
          </w:p>
          <w:p w:rsidR="00000000" w:rsidRPr="00A87197" w:rsidP="00A87197">
            <w:pPr>
              <w:pStyle w:val="ListBullet"/>
            </w:pPr>
            <w:r w:rsidRPr="00A87197">
              <w:t xml:space="preserve">political sensitivity to the organisation (statutory obligations) </w:t>
            </w:r>
          </w:p>
          <w:p w:rsidR="00000000" w:rsidRPr="00A87197" w:rsidP="00A87197">
            <w:pPr>
              <w:pStyle w:val="ListBullet"/>
            </w:pPr>
            <w:r w:rsidRPr="00A87197">
              <w:t xml:space="preserve">disruption to traffic </w:t>
            </w:r>
          </w:p>
          <w:p w:rsidR="00000000" w:rsidRPr="00A87197" w:rsidP="00A87197">
            <w:pPr>
              <w:pStyle w:val="ListBullet"/>
            </w:pPr>
            <w:r w:rsidRPr="00A87197">
              <w:t xml:space="preserve">disruption to public transport </w:t>
            </w:r>
          </w:p>
          <w:p w:rsidR="00000000" w:rsidRPr="00A87197" w:rsidP="00A87197">
            <w:pPr>
              <w:pStyle w:val="ListBullet"/>
            </w:pPr>
            <w:r w:rsidRPr="00A87197">
              <w:t xml:space="preserve">inconvenience to the community </w:t>
            </w:r>
          </w:p>
          <w:p w:rsidR="00000000" w:rsidRPr="00A87197" w:rsidP="00A87197">
            <w:pPr>
              <w:pStyle w:val="ListBullet"/>
            </w:pPr>
            <w:r w:rsidRPr="00A87197">
              <w:t xml:space="preserve">high repair costs </w:t>
            </w:r>
          </w:p>
          <w:p w:rsidR="00000000" w:rsidRPr="00A87197" w:rsidP="00A87197">
            <w:pPr>
              <w:pStyle w:val="ListBullet"/>
            </w:pPr>
            <w:r w:rsidRPr="00A87197">
              <w:t xml:space="preserve">availability of repair materials </w:t>
            </w:r>
          </w:p>
          <w:p w:rsidR="00000000" w:rsidRPr="00A87197" w:rsidP="00A87197">
            <w:pPr>
              <w:pStyle w:val="ListBullet"/>
            </w:pPr>
            <w:r w:rsidRPr="00A87197">
              <w:t xml:space="preserve">cost of providing the service while the asset is not functioning </w:t>
            </w:r>
          </w:p>
          <w:p w:rsidR="00000000" w:rsidRPr="00A87197" w:rsidP="00A87197">
            <w:pPr>
              <w:pStyle w:val="ListBullet"/>
            </w:pPr>
            <w:r w:rsidRPr="00A87197">
              <w:t xml:space="preserve">number of people who will be affected by the failure </w:t>
            </w:r>
          </w:p>
          <w:p w:rsidR="00000000" w:rsidRPr="00A87197" w:rsidP="00A87197">
            <w:pPr>
              <w:pStyle w:val="ListBullet"/>
            </w:pPr>
            <w:r w:rsidRPr="00A87197">
              <w:t xml:space="preserve">loss through replacement instead of rehabilitation in case of total failure </w:t>
            </w:r>
          </w:p>
          <w:p w:rsidR="00000000" w:rsidRPr="00A87197" w:rsidP="00A87197">
            <w:pPr>
              <w:pStyle w:val="ListBullet"/>
            </w:pPr>
            <w:r w:rsidRPr="00A87197">
              <w:t>damage to the environment</w:t>
            </w:r>
            <w:r w:rsidRPr="00A87197">
              <w:t xml:space="preserve"> </w:t>
            </w:r>
          </w:p>
          <w:p w:rsidR="00000000" w:rsidRPr="00A87197" w:rsidP="00A87197">
            <w:pPr>
              <w:pStyle w:val="ListBullet"/>
            </w:pPr>
            <w:r w:rsidRPr="00A87197">
              <w:t xml:space="preserve">actual cost of the repair </w:t>
            </w:r>
          </w:p>
          <w:p w:rsidR="00000000" w:rsidRPr="00A87197" w:rsidP="00A87197">
            <w:pPr>
              <w:pStyle w:val="ListBullet"/>
            </w:pPr>
            <w:r w:rsidRPr="00A87197">
              <w:t xml:space="preserve">multiplier effects on the community (effects on elderly, children and risk groups) </w:t>
            </w:r>
          </w:p>
          <w:p w:rsidR="00000000" w:rsidP="00A87197">
            <w:pPr>
              <w:pStyle w:val="ListBullet"/>
              <w:rPr>
                <w:lang w:val="en-NZ"/>
              </w:rPr>
            </w:pPr>
            <w:r w:rsidRPr="00A87197">
              <w:t xml:space="preserve">public image/public relations loss </w:t>
            </w:r>
          </w:p>
        </w:tc>
      </w:tr>
      <w:tr w:rsidTr="00474E2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A87197">
            <w:pPr>
              <w:pStyle w:val="BodyText"/>
              <w:rPr>
                <w:lang w:val="en-NZ"/>
              </w:rPr>
            </w:pPr>
            <w:r w:rsidRPr="00A87197">
              <w:rPr>
                <w:rStyle w:val="BoldandItalics"/>
              </w:rPr>
              <w:t>Acceptable level of risk</w:t>
            </w:r>
            <w:r w:rsidRPr="00A87197">
              <w:t xml:space="preserve"> may be influenced by: </w:t>
            </w:r>
          </w:p>
        </w:tc>
        <w:tc>
          <w:tcPr>
            <w:tcW w:w="6228" w:type="dxa"/>
            <w:tcBorders>
              <w:top w:val="nil"/>
              <w:left w:val="nil"/>
              <w:bottom w:val="nil"/>
              <w:right w:val="nil"/>
            </w:tcBorders>
            <w:tcMar>
              <w:top w:w="0" w:type="dxa"/>
              <w:left w:w="62" w:type="dxa"/>
              <w:bottom w:w="0" w:type="dxa"/>
              <w:right w:w="62" w:type="dxa"/>
            </w:tcMar>
          </w:tcPr>
          <w:p w:rsidR="00000000" w:rsidRPr="00A87197" w:rsidP="00A87197">
            <w:pPr>
              <w:pStyle w:val="ListBullet"/>
            </w:pPr>
            <w:r w:rsidRPr="00A87197">
              <w:t xml:space="preserve">profile of service </w:t>
            </w:r>
          </w:p>
          <w:p w:rsidR="00000000" w:rsidRPr="00A87197" w:rsidP="00A87197">
            <w:pPr>
              <w:pStyle w:val="ListBullet"/>
            </w:pPr>
            <w:r w:rsidRPr="00A87197">
              <w:t xml:space="preserve">political impact </w:t>
            </w:r>
          </w:p>
          <w:p w:rsidR="00000000" w:rsidRPr="00A87197" w:rsidP="00A87197">
            <w:pPr>
              <w:pStyle w:val="ListBullet"/>
            </w:pPr>
            <w:r w:rsidRPr="00A87197">
              <w:t xml:space="preserve">social impact </w:t>
            </w:r>
          </w:p>
          <w:p w:rsidR="00000000" w:rsidP="00A87197">
            <w:pPr>
              <w:pStyle w:val="ListBullet"/>
              <w:rPr>
                <w:lang w:val="en-NZ"/>
              </w:rPr>
            </w:pPr>
            <w:r w:rsidRPr="00A87197">
              <w:t xml:space="preserve">financial impact     </w:t>
            </w:r>
          </w:p>
        </w:tc>
      </w:tr>
      <w:tr w:rsidTr="00474E2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A87197">
            <w:pPr>
              <w:pStyle w:val="BodyText"/>
              <w:rPr>
                <w:lang w:val="en-NZ"/>
              </w:rPr>
            </w:pPr>
            <w:r w:rsidRPr="00A87197">
              <w:rPr>
                <w:rStyle w:val="BoldandItalics"/>
              </w:rPr>
              <w:t>Risk register</w:t>
            </w:r>
            <w:r w:rsidRPr="00A87197">
              <w:t xml:space="preserve"> refers to: </w:t>
            </w:r>
          </w:p>
        </w:tc>
        <w:tc>
          <w:tcPr>
            <w:tcW w:w="6228" w:type="dxa"/>
            <w:tcBorders>
              <w:top w:val="nil"/>
              <w:left w:val="nil"/>
              <w:bottom w:val="nil"/>
              <w:right w:val="nil"/>
            </w:tcBorders>
            <w:tcMar>
              <w:top w:w="0" w:type="dxa"/>
              <w:left w:w="62" w:type="dxa"/>
              <w:bottom w:w="0" w:type="dxa"/>
              <w:right w:w="62" w:type="dxa"/>
            </w:tcMar>
          </w:tcPr>
          <w:p w:rsidR="00000000" w:rsidP="00A87197">
            <w:pPr>
              <w:pStyle w:val="ListBullet"/>
              <w:rPr>
                <w:lang w:val="en-NZ"/>
              </w:rPr>
            </w:pPr>
            <w:r w:rsidRPr="00A87197">
              <w:t xml:space="preserve">a register of all identified risks and documentation of the strategies and plans in place to deal with any incident or event that occurs </w:t>
            </w:r>
          </w:p>
        </w:tc>
      </w:tr>
      <w:tr w:rsidTr="00474E2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A87197">
            <w:pPr>
              <w:pStyle w:val="BodyText"/>
              <w:rPr>
                <w:lang w:val="en-NZ"/>
              </w:rPr>
            </w:pPr>
            <w:r w:rsidRPr="00A87197">
              <w:rPr>
                <w:rStyle w:val="BoldandItalics"/>
              </w:rPr>
              <w:t>Risk management activities</w:t>
            </w:r>
            <w:r w:rsidRPr="00A87197">
              <w:t xml:space="preserve"> may include: </w:t>
            </w:r>
          </w:p>
        </w:tc>
        <w:tc>
          <w:tcPr>
            <w:tcW w:w="6228" w:type="dxa"/>
            <w:tcBorders>
              <w:top w:val="nil"/>
              <w:left w:val="nil"/>
              <w:bottom w:val="nil"/>
              <w:right w:val="nil"/>
            </w:tcBorders>
            <w:tcMar>
              <w:top w:w="0" w:type="dxa"/>
              <w:left w:w="62" w:type="dxa"/>
              <w:bottom w:w="0" w:type="dxa"/>
              <w:right w:w="62" w:type="dxa"/>
            </w:tcMar>
          </w:tcPr>
          <w:p w:rsidR="00000000" w:rsidRPr="00A87197" w:rsidP="00A87197">
            <w:pPr>
              <w:pStyle w:val="ListBullet"/>
            </w:pPr>
            <w:r w:rsidRPr="00A87197">
              <w:t>operate asset differently</w:t>
            </w:r>
            <w:r w:rsidRPr="00A87197">
              <w:t xml:space="preserve"> </w:t>
            </w:r>
          </w:p>
          <w:p w:rsidR="00000000" w:rsidRPr="00A87197" w:rsidP="00A87197">
            <w:pPr>
              <w:pStyle w:val="ListBullet"/>
            </w:pPr>
            <w:r w:rsidRPr="00A87197">
              <w:t xml:space="preserve">maintain asset differently </w:t>
            </w:r>
          </w:p>
          <w:p w:rsidR="00000000" w:rsidRPr="00A87197" w:rsidP="00A87197">
            <w:pPr>
              <w:pStyle w:val="ListBullet"/>
            </w:pPr>
            <w:r w:rsidRPr="00A87197">
              <w:t xml:space="preserve">operator training </w:t>
            </w:r>
          </w:p>
          <w:p w:rsidR="00000000" w:rsidP="00A87197">
            <w:pPr>
              <w:pStyle w:val="ListBullet"/>
              <w:rPr>
                <w:lang w:val="en-NZ"/>
              </w:rPr>
            </w:pPr>
            <w:r w:rsidRPr="00A87197">
              <w:t>demand management</w:t>
            </w:r>
          </w:p>
        </w:tc>
      </w:tr>
      <w:tr w:rsidTr="00474E2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A87197">
            <w:pPr>
              <w:pStyle w:val="BodyText"/>
              <w:rPr>
                <w:lang w:val="en-NZ"/>
              </w:rPr>
            </w:pPr>
            <w:r w:rsidRPr="00A87197">
              <w:rPr>
                <w:rStyle w:val="BoldandItalics"/>
              </w:rPr>
              <w:t>Relevant internal and external parties</w:t>
            </w:r>
            <w:r w:rsidRPr="00A87197">
              <w:t xml:space="preserve"> may include: </w:t>
            </w:r>
          </w:p>
        </w:tc>
        <w:tc>
          <w:tcPr>
            <w:tcW w:w="6228" w:type="dxa"/>
            <w:tcBorders>
              <w:top w:val="nil"/>
              <w:left w:val="nil"/>
              <w:bottom w:val="nil"/>
              <w:right w:val="nil"/>
            </w:tcBorders>
            <w:tcMar>
              <w:top w:w="0" w:type="dxa"/>
              <w:left w:w="62" w:type="dxa"/>
              <w:bottom w:w="0" w:type="dxa"/>
              <w:right w:w="62" w:type="dxa"/>
            </w:tcMar>
          </w:tcPr>
          <w:p w:rsidR="00000000" w:rsidRPr="00A87197" w:rsidP="00A87197">
            <w:pPr>
              <w:pStyle w:val="ListBullet"/>
            </w:pPr>
            <w:r w:rsidRPr="00A87197">
              <w:t xml:space="preserve">insurers </w:t>
            </w:r>
          </w:p>
          <w:p w:rsidR="00000000" w:rsidRPr="00A87197" w:rsidP="00A87197">
            <w:pPr>
              <w:pStyle w:val="ListBullet"/>
            </w:pPr>
            <w:r w:rsidRPr="00A87197">
              <w:t xml:space="preserve">management </w:t>
            </w:r>
          </w:p>
          <w:p w:rsidR="00000000" w:rsidRPr="00A87197" w:rsidP="00A87197">
            <w:pPr>
              <w:pStyle w:val="ListBullet"/>
            </w:pPr>
            <w:r w:rsidRPr="00A87197">
              <w:t xml:space="preserve">service purchasers </w:t>
            </w:r>
          </w:p>
          <w:p w:rsidR="00000000" w:rsidP="00A87197">
            <w:pPr>
              <w:pStyle w:val="ListBullet"/>
              <w:rPr>
                <w:lang w:val="en-NZ"/>
              </w:rPr>
            </w:pPr>
            <w:r w:rsidRPr="00A87197">
              <w:t xml:space="preserve">service providers </w:t>
            </w:r>
          </w:p>
        </w:tc>
      </w:tr>
      <w:tr w:rsidTr="00474E2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A87197">
            <w:pPr>
              <w:pStyle w:val="BodyText"/>
              <w:rPr>
                <w:lang w:val="en-NZ"/>
              </w:rPr>
            </w:pPr>
            <w:r w:rsidRPr="00A87197">
              <w:rPr>
                <w:rStyle w:val="BoldandItalics"/>
              </w:rPr>
              <w:t>Risks</w:t>
            </w:r>
            <w:r w:rsidRPr="00A87197">
              <w:t xml:space="preserve"> may include: </w:t>
            </w:r>
          </w:p>
        </w:tc>
        <w:tc>
          <w:tcPr>
            <w:tcW w:w="6228" w:type="dxa"/>
            <w:tcBorders>
              <w:top w:val="nil"/>
              <w:left w:val="nil"/>
              <w:bottom w:val="nil"/>
              <w:right w:val="nil"/>
            </w:tcBorders>
            <w:tcMar>
              <w:top w:w="0" w:type="dxa"/>
              <w:left w:w="62" w:type="dxa"/>
              <w:bottom w:w="0" w:type="dxa"/>
              <w:right w:w="62" w:type="dxa"/>
            </w:tcMar>
          </w:tcPr>
          <w:p w:rsidR="00000000" w:rsidRPr="00A87197" w:rsidP="00A87197">
            <w:pPr>
              <w:pStyle w:val="ListBullet"/>
            </w:pPr>
            <w:r w:rsidRPr="00A87197">
              <w:t xml:space="preserve">occupational health and safety </w:t>
            </w:r>
          </w:p>
          <w:p w:rsidR="00000000" w:rsidRPr="00A87197" w:rsidP="00A87197">
            <w:pPr>
              <w:pStyle w:val="ListBullet"/>
            </w:pPr>
            <w:r w:rsidRPr="00A87197">
              <w:t xml:space="preserve">environmental </w:t>
            </w:r>
          </w:p>
          <w:p w:rsidR="00000000" w:rsidRPr="00A87197" w:rsidP="00A87197">
            <w:pPr>
              <w:pStyle w:val="ListBullet"/>
            </w:pPr>
            <w:r w:rsidRPr="00A87197">
              <w:t xml:space="preserve">service failure </w:t>
            </w:r>
          </w:p>
          <w:p w:rsidR="00000000" w:rsidRPr="00A87197" w:rsidP="00A87197">
            <w:pPr>
              <w:pStyle w:val="ListBullet"/>
            </w:pPr>
            <w:r w:rsidRPr="00A87197">
              <w:t xml:space="preserve">financial or economic loss </w:t>
            </w:r>
          </w:p>
          <w:p w:rsidR="00000000" w:rsidRPr="00A87197" w:rsidP="00A87197">
            <w:pPr>
              <w:pStyle w:val="ListBullet"/>
            </w:pPr>
            <w:r w:rsidRPr="00A87197">
              <w:t xml:space="preserve">failure or damage to property and equipment </w:t>
            </w:r>
          </w:p>
          <w:p w:rsidR="00000000" w:rsidRPr="00A87197" w:rsidP="00A87197">
            <w:pPr>
              <w:pStyle w:val="ListBullet"/>
            </w:pPr>
            <w:r w:rsidRPr="00A87197">
              <w:t xml:space="preserve">industrial disputation </w:t>
            </w:r>
          </w:p>
          <w:p w:rsidR="00000000" w:rsidRPr="00A87197" w:rsidP="00A87197">
            <w:pPr>
              <w:pStyle w:val="ListBullet"/>
            </w:pPr>
            <w:r w:rsidRPr="00A87197">
              <w:t xml:space="preserve">professional incompetence </w:t>
            </w:r>
          </w:p>
          <w:p w:rsidR="00000000" w:rsidRPr="00A87197" w:rsidP="00A87197">
            <w:pPr>
              <w:pStyle w:val="ListBullet"/>
            </w:pPr>
            <w:r w:rsidRPr="00A87197">
              <w:t xml:space="preserve">natural disasters </w:t>
            </w:r>
          </w:p>
          <w:p w:rsidR="00000000" w:rsidRPr="00A87197" w:rsidP="00A87197">
            <w:pPr>
              <w:pStyle w:val="ListBullet"/>
            </w:pPr>
            <w:r w:rsidRPr="00A87197">
              <w:t xml:space="preserve">security failure </w:t>
            </w:r>
          </w:p>
          <w:p w:rsidR="00000000" w:rsidRPr="00A87197" w:rsidP="00A87197">
            <w:pPr>
              <w:pStyle w:val="ListBullet"/>
            </w:pPr>
            <w:r w:rsidRPr="00A87197">
              <w:t xml:space="preserve">system failures </w:t>
            </w:r>
          </w:p>
          <w:p w:rsidR="00000000" w:rsidP="00A87197">
            <w:pPr>
              <w:pStyle w:val="ListBullet"/>
              <w:rPr>
                <w:lang w:val="en-NZ"/>
              </w:rPr>
            </w:pPr>
            <w:r w:rsidRPr="00A87197">
              <w:t xml:space="preserve">political events </w:t>
            </w:r>
          </w:p>
        </w:tc>
      </w:tr>
      <w:tr w:rsidTr="00474E2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A87197">
            <w:pPr>
              <w:pStyle w:val="BodyText"/>
              <w:rPr>
                <w:lang w:val="en-NZ"/>
              </w:rPr>
            </w:pPr>
            <w:r w:rsidRPr="00A87197">
              <w:rPr>
                <w:rStyle w:val="BoldandItalics"/>
              </w:rPr>
              <w:t>Near miss</w:t>
            </w:r>
            <w:r w:rsidRPr="00A87197">
              <w:t xml:space="preserve"> may include: </w:t>
            </w:r>
          </w:p>
        </w:tc>
        <w:tc>
          <w:tcPr>
            <w:tcW w:w="6228" w:type="dxa"/>
            <w:tcBorders>
              <w:top w:val="nil"/>
              <w:left w:val="nil"/>
              <w:bottom w:val="nil"/>
              <w:right w:val="nil"/>
            </w:tcBorders>
            <w:tcMar>
              <w:top w:w="0" w:type="dxa"/>
              <w:left w:w="62" w:type="dxa"/>
              <w:bottom w:w="0" w:type="dxa"/>
              <w:right w:w="62" w:type="dxa"/>
            </w:tcMar>
          </w:tcPr>
          <w:p w:rsidR="00000000" w:rsidRPr="00A87197" w:rsidP="00A87197">
            <w:pPr>
              <w:pStyle w:val="ListBullet"/>
            </w:pPr>
            <w:r w:rsidRPr="00A87197">
              <w:t>an event or incident which, in other circumstances, may have resulted in an injury to a person, damage to property or some other negative impact on the council or community</w:t>
            </w:r>
          </w:p>
        </w:tc>
      </w:tr>
    </w:tbl>
    <w:p w:rsidR="00000000" w:rsidRPr="00A87197" w:rsidP="00A87197">
      <w:pPr>
        <w:pStyle w:val="BodyText"/>
      </w:pPr>
    </w:p>
    <w:p w:rsidR="00000000" w:rsidRPr="00A87197" w:rsidP="00A87197">
      <w:pPr>
        <w:pStyle w:val="AllowPageBreak"/>
      </w:pPr>
    </w:p>
    <w:p w:rsidR="00000000" w:rsidRPr="00A87197" w:rsidP="00A87197">
      <w:pPr>
        <w:pStyle w:val="Heading1"/>
      </w:pPr>
      <w:bookmarkStart w:id="12" w:name="O_444150"/>
      <w:bookmarkEnd w:id="12"/>
      <w:r w:rsidRPr="00A87197">
        <w:t>Unit Sector(s)</w:t>
      </w:r>
    </w:p>
    <w:p w:rsidR="00000000" w:rsidRPr="00A87197" w:rsidP="00A87197">
      <w:pPr>
        <w:pStyle w:val="BodyText"/>
      </w:pPr>
      <w:r w:rsidRPr="00A87197">
        <w:t>Administration Units</w:t>
      </w:r>
    </w:p>
    <w:p w:rsidR="00000000" w:rsidRPr="00A87197" w:rsidP="00A87197"/>
    <w:sectPr w:rsidSect="00A8719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719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74E2A" w:rsidP="00474E2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719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4E2A" w:rsidP="00A8719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474E2A" w:rsidP="00A8719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474E2A" w:rsidP="00A8719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719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7197" w:rsidRPr="00474E2A" w:rsidP="00474E2A">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719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4E2A" w:rsidRPr="002D2AF8" w:rsidP="00A87197">
    <w:pPr>
      <w:pStyle w:val="Header"/>
      <w:framePr w:wrap="around"/>
    </w:pPr>
    <w:r>
      <w:fldChar w:fldCharType="begin"/>
    </w:r>
    <w:r>
      <w:instrText xml:space="preserve"> TITLE   \* MERGEFORMAT </w:instrText>
    </w:r>
    <w:r>
      <w:fldChar w:fldCharType="separate"/>
    </w:r>
    <w:r>
      <w:t>LGAGOVA603B Develop a risk management strategy for council assets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11/09/2012</w:t>
    </w:r>
    <w:r>
      <w:fldChar w:fldCharType="end"/>
    </w:r>
  </w:p>
  <w:p w:rsidR="00474E2A" w:rsidP="00A8719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00E702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7D41B3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8719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87197"/>
    <w:pPr>
      <w:spacing w:before="360" w:after="60"/>
      <w:outlineLvl w:val="0"/>
    </w:pPr>
    <w:rPr>
      <w:sz w:val="32"/>
    </w:rPr>
  </w:style>
  <w:style w:type="paragraph" w:styleId="Heading2">
    <w:name w:val="heading 2"/>
    <w:basedOn w:val="HeadingBase"/>
    <w:next w:val="BodyText"/>
    <w:link w:val="Heading2Char"/>
    <w:qFormat/>
    <w:rsid w:val="00A87197"/>
    <w:pPr>
      <w:keepLines/>
      <w:spacing w:before="240" w:after="120"/>
      <w:outlineLvl w:val="1"/>
    </w:pPr>
    <w:rPr>
      <w:sz w:val="28"/>
      <w:szCs w:val="40"/>
    </w:rPr>
  </w:style>
  <w:style w:type="paragraph" w:styleId="Heading3">
    <w:name w:val="heading 3"/>
    <w:basedOn w:val="HeadingBase"/>
    <w:next w:val="BodyText"/>
    <w:link w:val="Heading3Char"/>
    <w:qFormat/>
    <w:rsid w:val="00A87197"/>
    <w:pPr>
      <w:spacing w:before="180" w:after="120"/>
      <w:outlineLvl w:val="2"/>
    </w:pPr>
    <w:rPr>
      <w:spacing w:val="-10"/>
      <w:kern w:val="32"/>
    </w:rPr>
  </w:style>
  <w:style w:type="paragraph" w:styleId="Heading4">
    <w:name w:val="heading 4"/>
    <w:basedOn w:val="HeadingBase"/>
    <w:next w:val="BodyText"/>
    <w:link w:val="Heading4Char"/>
    <w:qFormat/>
    <w:rsid w:val="00A87197"/>
    <w:pPr>
      <w:spacing w:before="160" w:after="120"/>
      <w:outlineLvl w:val="3"/>
    </w:pPr>
    <w:rPr>
      <w:sz w:val="22"/>
    </w:rPr>
  </w:style>
  <w:style w:type="paragraph" w:styleId="Heading5">
    <w:name w:val="heading 5"/>
    <w:basedOn w:val="HeadingBase"/>
    <w:next w:val="Normal"/>
    <w:link w:val="Heading5Char"/>
    <w:qFormat/>
    <w:rsid w:val="00A87197"/>
    <w:pPr>
      <w:spacing w:before="80"/>
      <w:outlineLvl w:val="4"/>
    </w:pPr>
    <w:rPr>
      <w:color w:val="918585"/>
      <w:sz w:val="20"/>
    </w:rPr>
  </w:style>
  <w:style w:type="paragraph" w:styleId="Heading6">
    <w:name w:val="heading 6"/>
    <w:basedOn w:val="HeadingBase"/>
    <w:next w:val="Normal"/>
    <w:link w:val="Heading6Char"/>
    <w:qFormat/>
    <w:rsid w:val="00A87197"/>
    <w:pPr>
      <w:spacing w:before="60"/>
      <w:outlineLvl w:val="5"/>
    </w:pPr>
    <w:rPr>
      <w:color w:val="918585"/>
      <w:sz w:val="20"/>
    </w:rPr>
  </w:style>
  <w:style w:type="paragraph" w:styleId="Heading7">
    <w:name w:val="heading 7"/>
    <w:basedOn w:val="Normal"/>
    <w:next w:val="Normal"/>
    <w:link w:val="Heading7Char"/>
    <w:qFormat/>
    <w:rsid w:val="00A87197"/>
    <w:pPr>
      <w:ind w:left="720"/>
      <w:outlineLvl w:val="6"/>
    </w:pPr>
    <w:rPr>
      <w:i/>
    </w:rPr>
  </w:style>
  <w:style w:type="paragraph" w:styleId="Heading8">
    <w:name w:val="heading 8"/>
    <w:basedOn w:val="Normal"/>
    <w:next w:val="Normal"/>
    <w:link w:val="Heading8Char"/>
    <w:qFormat/>
    <w:rsid w:val="00A87197"/>
    <w:pPr>
      <w:ind w:left="720"/>
      <w:outlineLvl w:val="7"/>
    </w:pPr>
    <w:rPr>
      <w:i/>
    </w:rPr>
  </w:style>
  <w:style w:type="paragraph" w:styleId="Heading9">
    <w:name w:val="heading 9"/>
    <w:basedOn w:val="Normal"/>
    <w:next w:val="Normal"/>
    <w:link w:val="Heading9Char"/>
    <w:qFormat/>
    <w:rsid w:val="00A87197"/>
    <w:pPr>
      <w:ind w:left="720"/>
      <w:outlineLvl w:val="8"/>
    </w:pPr>
    <w:rPr>
      <w:i/>
    </w:rPr>
  </w:style>
  <w:style w:type="character" w:default="1" w:styleId="DefaultParagraphFont">
    <w:name w:val="Default Paragraph Font"/>
    <w:uiPriority w:val="1"/>
    <w:unhideWhenUsed/>
    <w:rsid w:val="00A8719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87197"/>
  </w:style>
  <w:style w:type="character" w:customStyle="1" w:styleId="Heading1Char">
    <w:name w:val="Heading 1 Char"/>
    <w:basedOn w:val="DefaultParagraphFont"/>
    <w:link w:val="Heading1"/>
    <w:rsid w:val="00A87197"/>
    <w:rPr>
      <w:rFonts w:ascii="Times New Roman" w:eastAsia="Times New Roman" w:hAnsi="Times New Roman" w:cs="Times New Roman"/>
      <w:b/>
      <w:sz w:val="32"/>
      <w:szCs w:val="20"/>
      <w:lang w:eastAsia="en-US"/>
    </w:rPr>
  </w:style>
  <w:style w:type="paragraph" w:styleId="BodyText">
    <w:name w:val="Body Text"/>
    <w:basedOn w:val="Normal"/>
    <w:link w:val="BodyTextChar"/>
    <w:rsid w:val="00A8719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87197"/>
    <w:rPr>
      <w:rFonts w:ascii="Times New Roman" w:eastAsia="Times New Roman" w:hAnsi="Times New Roman" w:cs="Times New Roman"/>
      <w:sz w:val="24"/>
      <w:lang w:eastAsia="en-US"/>
    </w:rPr>
  </w:style>
  <w:style w:type="paragraph" w:styleId="Footer">
    <w:name w:val="footer"/>
    <w:basedOn w:val="Normal"/>
    <w:link w:val="FooterChar"/>
    <w:rsid w:val="00A8719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87197"/>
    <w:rPr>
      <w:rFonts w:ascii="Times New Roman" w:eastAsia="Times New Roman" w:hAnsi="Times New Roman" w:cs="Times New Roman"/>
      <w:sz w:val="16"/>
      <w:lang w:eastAsia="en-US"/>
    </w:rPr>
  </w:style>
  <w:style w:type="paragraph" w:styleId="List">
    <w:name w:val="List"/>
    <w:basedOn w:val="BodyText"/>
    <w:next w:val="BodyText"/>
    <w:rsid w:val="00A87197"/>
    <w:pPr>
      <w:tabs>
        <w:tab w:val="left" w:pos="340"/>
      </w:tabs>
      <w:spacing w:before="60" w:after="60"/>
      <w:ind w:left="340" w:hanging="340"/>
    </w:pPr>
  </w:style>
  <w:style w:type="paragraph" w:styleId="ListBullet">
    <w:name w:val="List Bullet"/>
    <w:basedOn w:val="List"/>
    <w:rsid w:val="00A87197"/>
    <w:pPr>
      <w:numPr>
        <w:numId w:val="12"/>
      </w:numPr>
      <w:tabs>
        <w:tab w:val="clear" w:pos="340"/>
      </w:tabs>
      <w:spacing w:before="40" w:after="40"/>
    </w:pPr>
  </w:style>
  <w:style w:type="character" w:customStyle="1" w:styleId="SpecialBold">
    <w:name w:val="Special Bold"/>
    <w:basedOn w:val="DefaultParagraphFont"/>
    <w:rsid w:val="00A87197"/>
    <w:rPr>
      <w:b/>
      <w:spacing w:val="0"/>
    </w:rPr>
  </w:style>
  <w:style w:type="paragraph" w:customStyle="1" w:styleId="SuperHeading">
    <w:name w:val="SuperHeading"/>
    <w:basedOn w:val="Normal"/>
    <w:rsid w:val="00A87197"/>
    <w:pPr>
      <w:spacing w:before="240" w:after="120"/>
      <w:outlineLvl w:val="0"/>
    </w:pPr>
    <w:rPr>
      <w:rFonts w:ascii="Times New Roman" w:hAnsi="Times New Roman"/>
      <w:b/>
      <w:sz w:val="28"/>
    </w:rPr>
  </w:style>
  <w:style w:type="paragraph" w:customStyle="1" w:styleId="AllowPageBreak">
    <w:name w:val="AllowPageBreak"/>
    <w:rsid w:val="00A8719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A87197"/>
    <w:rPr>
      <w:b/>
      <w:i/>
      <w:u w:val="none"/>
    </w:rPr>
  </w:style>
  <w:style w:type="character" w:customStyle="1" w:styleId="Heading2Char">
    <w:name w:val="Heading 2 Char"/>
    <w:basedOn w:val="DefaultParagraphFont"/>
    <w:link w:val="Heading2"/>
    <w:rsid w:val="00A8719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8719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8719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8719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8719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8719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8719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87197"/>
    <w:rPr>
      <w:rFonts w:ascii="Courier New" w:eastAsia="Times New Roman" w:hAnsi="Courier New" w:cs="Times New Roman"/>
      <w:i/>
      <w:szCs w:val="20"/>
      <w:lang w:eastAsia="en-US"/>
    </w:rPr>
  </w:style>
  <w:style w:type="paragraph" w:customStyle="1" w:styleId="HeadingBase">
    <w:name w:val="Heading Base"/>
    <w:rsid w:val="00A8719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87197"/>
    <w:pPr>
      <w:tabs>
        <w:tab w:val="right" w:leader="dot" w:pos="9072"/>
      </w:tabs>
      <w:ind w:left="567"/>
    </w:pPr>
    <w:rPr>
      <w:szCs w:val="22"/>
    </w:rPr>
  </w:style>
  <w:style w:type="paragraph" w:customStyle="1" w:styleId="TOCBase">
    <w:name w:val="TOC Base"/>
    <w:rsid w:val="00A8719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87197"/>
    <w:pPr>
      <w:tabs>
        <w:tab w:val="right" w:leader="dot" w:pos="9072"/>
      </w:tabs>
      <w:spacing w:before="40" w:after="40"/>
      <w:ind w:left="284"/>
    </w:pPr>
    <w:rPr>
      <w:rFonts w:ascii="Times New Roman" w:hAnsi="Times New Roman"/>
    </w:rPr>
  </w:style>
  <w:style w:type="paragraph" w:styleId="TOC1">
    <w:name w:val="toc 1"/>
    <w:basedOn w:val="TOCBase"/>
    <w:next w:val="Normal"/>
    <w:rsid w:val="00A8719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87197"/>
    <w:pPr>
      <w:spacing w:before="5040"/>
      <w:jc w:val="center"/>
    </w:pPr>
    <w:rPr>
      <w:sz w:val="48"/>
      <w:szCs w:val="72"/>
      <w:lang w:val="en-US"/>
    </w:rPr>
  </w:style>
  <w:style w:type="character" w:customStyle="1" w:styleId="TitleChar">
    <w:name w:val="Title Char"/>
    <w:basedOn w:val="DefaultParagraphFont"/>
    <w:link w:val="Title"/>
    <w:rsid w:val="00A8719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87197"/>
    <w:pPr>
      <w:tabs>
        <w:tab w:val="left" w:pos="3600"/>
        <w:tab w:val="left" w:pos="3958"/>
      </w:tabs>
    </w:pPr>
  </w:style>
  <w:style w:type="paragraph" w:customStyle="1" w:styleId="Note">
    <w:name w:val="Note"/>
    <w:basedOn w:val="BodyText"/>
    <w:rsid w:val="00A8719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87197"/>
    <w:pPr>
      <w:framePr w:wrap="auto" w:hAnchor="text" w:y="6049"/>
    </w:pPr>
    <w:rPr>
      <w:color w:val="000000"/>
      <w:sz w:val="40"/>
    </w:rPr>
  </w:style>
  <w:style w:type="paragraph" w:customStyle="1" w:styleId="TOCTitle">
    <w:name w:val="TOCTitle"/>
    <w:basedOn w:val="Heading1"/>
    <w:rsid w:val="00A87197"/>
    <w:pPr>
      <w:spacing w:after="240"/>
      <w:jc w:val="center"/>
      <w:outlineLvl w:val="9"/>
    </w:pPr>
    <w:rPr>
      <w:caps/>
    </w:rPr>
  </w:style>
  <w:style w:type="paragraph" w:customStyle="1" w:styleId="Version">
    <w:name w:val="Version"/>
    <w:rsid w:val="00A8719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87197"/>
    <w:pPr>
      <w:numPr>
        <w:numId w:val="13"/>
      </w:numPr>
      <w:tabs>
        <w:tab w:val="clear" w:pos="680"/>
      </w:tabs>
    </w:pPr>
  </w:style>
  <w:style w:type="paragraph" w:styleId="Index1">
    <w:name w:val="index 1"/>
    <w:basedOn w:val="Normal"/>
    <w:next w:val="Normal"/>
    <w:semiHidden/>
    <w:rsid w:val="00A87197"/>
    <w:pPr>
      <w:keepNext w:val="0"/>
      <w:tabs>
        <w:tab w:val="right" w:pos="4176"/>
      </w:tabs>
      <w:ind w:left="198" w:hanging="198"/>
    </w:pPr>
    <w:rPr>
      <w:rFonts w:ascii="Garamond" w:hAnsi="Garamond"/>
    </w:rPr>
  </w:style>
  <w:style w:type="paragraph" w:styleId="IndexHeading">
    <w:name w:val="index heading"/>
    <w:basedOn w:val="Normal"/>
    <w:next w:val="Index1"/>
    <w:semiHidden/>
    <w:rsid w:val="00A87197"/>
    <w:pPr>
      <w:spacing w:before="120" w:after="120"/>
    </w:pPr>
    <w:rPr>
      <w:rFonts w:ascii="Arial" w:hAnsi="Arial"/>
      <w:b/>
      <w:color w:val="918585"/>
      <w:sz w:val="24"/>
    </w:rPr>
  </w:style>
  <w:style w:type="paragraph" w:styleId="Header">
    <w:name w:val="header"/>
    <w:basedOn w:val="Normal"/>
    <w:link w:val="HeaderChar"/>
    <w:rsid w:val="00A8719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87197"/>
    <w:rPr>
      <w:rFonts w:ascii="Times New Roman" w:eastAsia="Times New Roman" w:hAnsi="Times New Roman" w:cs="Times New Roman"/>
      <w:sz w:val="16"/>
      <w:szCs w:val="20"/>
      <w:lang w:val="en-GB" w:eastAsia="en-US"/>
    </w:rPr>
  </w:style>
  <w:style w:type="paragraph" w:customStyle="1" w:styleId="Chapter">
    <w:name w:val="Chapter"/>
    <w:basedOn w:val="Normal"/>
    <w:rsid w:val="00A87197"/>
    <w:pPr>
      <w:spacing w:before="240"/>
    </w:pPr>
    <w:rPr>
      <w:rFonts w:ascii="Times New Roman" w:hAnsi="Times New Roman"/>
      <w:smallCaps/>
      <w:spacing w:val="80"/>
      <w:sz w:val="28"/>
    </w:rPr>
  </w:style>
  <w:style w:type="paragraph" w:customStyle="1" w:styleId="InChapter">
    <w:name w:val="InChapter"/>
    <w:basedOn w:val="Heading3"/>
    <w:rsid w:val="00A87197"/>
    <w:pPr>
      <w:spacing w:after="240"/>
      <w:outlineLvl w:val="9"/>
    </w:pPr>
    <w:rPr>
      <w:noProof/>
    </w:rPr>
  </w:style>
  <w:style w:type="paragraph" w:styleId="Index2">
    <w:name w:val="index 2"/>
    <w:basedOn w:val="Normal"/>
    <w:next w:val="Normal"/>
    <w:semiHidden/>
    <w:rsid w:val="00A87197"/>
    <w:pPr>
      <w:tabs>
        <w:tab w:val="right" w:pos="4176"/>
      </w:tabs>
      <w:ind w:left="568" w:hanging="284"/>
    </w:pPr>
    <w:rPr>
      <w:rFonts w:ascii="Garamond" w:hAnsi="Garamond"/>
    </w:rPr>
  </w:style>
  <w:style w:type="paragraph" w:customStyle="1" w:styleId="Byline">
    <w:name w:val="Byline"/>
    <w:rsid w:val="00A8719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87197"/>
    <w:pPr>
      <w:tabs>
        <w:tab w:val="clear" w:pos="3600"/>
        <w:tab w:val="clear" w:pos="3958"/>
      </w:tabs>
      <w:jc w:val="right"/>
    </w:pPr>
  </w:style>
  <w:style w:type="character" w:styleId="Emphasis">
    <w:name w:val="Emphasis"/>
    <w:basedOn w:val="DefaultParagraphFont"/>
    <w:qFormat/>
    <w:rsid w:val="00A87197"/>
    <w:rPr>
      <w:i/>
    </w:rPr>
  </w:style>
  <w:style w:type="paragraph" w:styleId="Caption">
    <w:name w:val="caption"/>
    <w:basedOn w:val="BodyText"/>
    <w:next w:val="Normal"/>
    <w:qFormat/>
    <w:rsid w:val="00A87197"/>
    <w:pPr>
      <w:framePr w:w="2268" w:hSpace="181" w:vSpace="181" w:wrap="around" w:vAnchor="text" w:hAnchor="page" w:x="1135" w:y="285" w:anchorLock="1"/>
    </w:pPr>
    <w:rPr>
      <w:i/>
    </w:rPr>
  </w:style>
  <w:style w:type="paragraph" w:customStyle="1" w:styleId="MiniTOCTitle">
    <w:name w:val="MiniTOCTitle"/>
    <w:basedOn w:val="Heading4"/>
    <w:rsid w:val="00A87197"/>
    <w:pPr>
      <w:spacing w:before="240"/>
      <w:outlineLvl w:val="9"/>
    </w:pPr>
    <w:rPr>
      <w:noProof/>
      <w:sz w:val="24"/>
    </w:rPr>
  </w:style>
  <w:style w:type="paragraph" w:customStyle="1" w:styleId="MiniTOCItem">
    <w:name w:val="MiniTOCItem"/>
    <w:basedOn w:val="ListBullet"/>
    <w:rsid w:val="00A87197"/>
    <w:pPr>
      <w:numPr>
        <w:numId w:val="0"/>
      </w:numPr>
      <w:tabs>
        <w:tab w:val="right" w:leader="dot" w:pos="6521"/>
      </w:tabs>
      <w:spacing w:before="0" w:after="0"/>
    </w:pPr>
  </w:style>
  <w:style w:type="paragraph" w:customStyle="1" w:styleId="TOFTitle">
    <w:name w:val="TOFTitle"/>
    <w:basedOn w:val="TOCTitle"/>
    <w:rsid w:val="00A87197"/>
  </w:style>
  <w:style w:type="paragraph" w:styleId="TableofFigures">
    <w:name w:val="table of figures"/>
    <w:basedOn w:val="Normal"/>
    <w:next w:val="Normal"/>
    <w:semiHidden/>
    <w:rsid w:val="00A87197"/>
    <w:pPr>
      <w:tabs>
        <w:tab w:val="right" w:leader="dot" w:pos="9072"/>
      </w:tabs>
      <w:ind w:left="970" w:hanging="403"/>
    </w:pPr>
    <w:rPr>
      <w:rFonts w:ascii="Times New Roman" w:hAnsi="Times New Roman"/>
      <w:b/>
    </w:rPr>
  </w:style>
  <w:style w:type="paragraph" w:styleId="ListNumber">
    <w:name w:val="List Number"/>
    <w:basedOn w:val="List"/>
    <w:rsid w:val="00A87197"/>
    <w:pPr>
      <w:numPr>
        <w:numId w:val="10"/>
      </w:numPr>
    </w:pPr>
  </w:style>
  <w:style w:type="character" w:customStyle="1" w:styleId="WingdingSymbols">
    <w:name w:val="Wingding Symbols"/>
    <w:rsid w:val="00A87197"/>
    <w:rPr>
      <w:rFonts w:ascii="Wingdings" w:hAnsi="Wingdings"/>
    </w:rPr>
  </w:style>
  <w:style w:type="paragraph" w:customStyle="1" w:styleId="TableHeading">
    <w:name w:val="Table Heading"/>
    <w:basedOn w:val="HeadingBase"/>
    <w:rsid w:val="00A87197"/>
    <w:pPr>
      <w:keepLines/>
      <w:pBdr>
        <w:bottom w:val="single" w:sz="6" w:space="1" w:color="918585"/>
      </w:pBdr>
      <w:spacing w:before="240"/>
    </w:pPr>
  </w:style>
  <w:style w:type="character" w:customStyle="1" w:styleId="HotSpot">
    <w:name w:val="HotSpot"/>
    <w:rsid w:val="00A87197"/>
    <w:rPr>
      <w:color w:val="0033CC"/>
      <w:u w:val="none"/>
    </w:rPr>
  </w:style>
  <w:style w:type="paragraph" w:customStyle="1" w:styleId="BodyTextRight">
    <w:name w:val="Body Text Right"/>
    <w:basedOn w:val="BodyText"/>
    <w:rsid w:val="00A87197"/>
    <w:pPr>
      <w:spacing w:before="0" w:after="0"/>
      <w:jc w:val="right"/>
    </w:pPr>
  </w:style>
  <w:style w:type="paragraph" w:styleId="Index3">
    <w:name w:val="index 3"/>
    <w:basedOn w:val="ListNumber2"/>
    <w:next w:val="Normal"/>
    <w:semiHidden/>
    <w:rsid w:val="00A87197"/>
    <w:pPr>
      <w:numPr>
        <w:numId w:val="0"/>
      </w:numPr>
      <w:tabs>
        <w:tab w:val="right" w:leader="dot" w:pos="4176"/>
      </w:tabs>
    </w:pPr>
  </w:style>
  <w:style w:type="paragraph" w:styleId="ListNumber2">
    <w:name w:val="List Number 2"/>
    <w:basedOn w:val="List2"/>
    <w:rsid w:val="00A87197"/>
    <w:pPr>
      <w:numPr>
        <w:numId w:val="9"/>
      </w:numPr>
      <w:tabs>
        <w:tab w:val="clear" w:pos="1060"/>
      </w:tabs>
    </w:pPr>
  </w:style>
  <w:style w:type="paragraph" w:customStyle="1" w:styleId="MarginNote">
    <w:name w:val="Margin Note"/>
    <w:basedOn w:val="BodyText"/>
    <w:rsid w:val="00A8719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8719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8719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87197"/>
    <w:rPr>
      <w:sz w:val="32"/>
    </w:rPr>
  </w:style>
  <w:style w:type="paragraph" w:customStyle="1" w:styleId="HeadingProcedure">
    <w:name w:val="Heading Procedure"/>
    <w:basedOn w:val="HeadingBase"/>
    <w:next w:val="Normal"/>
    <w:rsid w:val="00A87197"/>
    <w:pPr>
      <w:tabs>
        <w:tab w:val="left" w:pos="0"/>
      </w:tabs>
      <w:spacing w:before="120" w:after="60"/>
    </w:pPr>
    <w:rPr>
      <w:i/>
      <w:color w:val="918585"/>
      <w:sz w:val="22"/>
    </w:rPr>
  </w:style>
  <w:style w:type="paragraph" w:customStyle="1" w:styleId="TableBodyText">
    <w:name w:val="Table Body Text"/>
    <w:basedOn w:val="BodyText"/>
    <w:rsid w:val="00A87197"/>
    <w:pPr>
      <w:spacing w:before="60" w:after="60"/>
    </w:pPr>
  </w:style>
  <w:style w:type="paragraph" w:styleId="ListContinue">
    <w:name w:val="List Continue"/>
    <w:basedOn w:val="List"/>
    <w:rsid w:val="00A87197"/>
    <w:pPr>
      <w:ind w:firstLine="0"/>
    </w:pPr>
  </w:style>
  <w:style w:type="paragraph" w:customStyle="1" w:styleId="ListNote">
    <w:name w:val="List Note"/>
    <w:basedOn w:val="List"/>
    <w:rsid w:val="00A87197"/>
    <w:pPr>
      <w:pBdr>
        <w:top w:val="single" w:sz="6" w:space="2" w:color="918585"/>
        <w:bottom w:val="single" w:sz="6" w:space="2" w:color="918585"/>
      </w:pBdr>
      <w:tabs>
        <w:tab w:val="left" w:pos="1021"/>
      </w:tabs>
      <w:ind w:firstLine="0"/>
    </w:pPr>
  </w:style>
  <w:style w:type="paragraph" w:customStyle="1" w:styleId="Warning">
    <w:name w:val="Warning"/>
    <w:basedOn w:val="BodyText"/>
    <w:rsid w:val="00A87197"/>
    <w:pPr>
      <w:shd w:val="clear" w:color="auto" w:fill="D9D9D9"/>
      <w:tabs>
        <w:tab w:val="left" w:pos="992"/>
      </w:tabs>
      <w:ind w:left="119" w:right="119"/>
    </w:pPr>
    <w:rPr>
      <w:sz w:val="20"/>
    </w:rPr>
  </w:style>
  <w:style w:type="paragraph" w:customStyle="1" w:styleId="MarginIcons">
    <w:name w:val="Margin Icons"/>
    <w:basedOn w:val="BodyText"/>
    <w:rsid w:val="00A8719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87197"/>
    <w:rPr>
      <w:rFonts w:ascii="Courier New" w:hAnsi="Courier New"/>
    </w:rPr>
  </w:style>
  <w:style w:type="paragraph" w:customStyle="1" w:styleId="NoteBullet">
    <w:name w:val="Note Bullet"/>
    <w:basedOn w:val="Note"/>
    <w:rsid w:val="00A87197"/>
    <w:pPr>
      <w:tabs>
        <w:tab w:val="clear" w:pos="680"/>
      </w:tabs>
      <w:spacing w:before="60" w:after="60"/>
    </w:pPr>
  </w:style>
  <w:style w:type="paragraph" w:customStyle="1" w:styleId="SubHeading2">
    <w:name w:val="SubHeading2"/>
    <w:basedOn w:val="HeadingBase"/>
    <w:rsid w:val="00A87197"/>
    <w:pPr>
      <w:spacing w:before="240" w:after="60"/>
    </w:pPr>
    <w:rPr>
      <w:sz w:val="20"/>
    </w:rPr>
  </w:style>
  <w:style w:type="paragraph" w:customStyle="1" w:styleId="SubHeading1">
    <w:name w:val="SubHeading1"/>
    <w:basedOn w:val="HeadingBase"/>
    <w:rsid w:val="00A87197"/>
    <w:pPr>
      <w:spacing w:before="240" w:after="60"/>
    </w:pPr>
    <w:rPr>
      <w:color w:val="918585"/>
      <w:sz w:val="22"/>
    </w:rPr>
  </w:style>
  <w:style w:type="paragraph" w:customStyle="1" w:styleId="SideHeading">
    <w:name w:val="Side Heading"/>
    <w:basedOn w:val="HeadingBase"/>
    <w:rsid w:val="00A8719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87197"/>
    <w:pPr>
      <w:tabs>
        <w:tab w:val="num" w:pos="360"/>
      </w:tabs>
    </w:pPr>
  </w:style>
  <w:style w:type="paragraph" w:styleId="PlainText">
    <w:name w:val="Plain Text"/>
    <w:basedOn w:val="Normal"/>
    <w:link w:val="PlainTextChar"/>
    <w:rsid w:val="00A87197"/>
    <w:rPr>
      <w:sz w:val="20"/>
    </w:rPr>
  </w:style>
  <w:style w:type="character" w:customStyle="1" w:styleId="PlainTextChar">
    <w:name w:val="Plain Text Char"/>
    <w:basedOn w:val="DefaultParagraphFont"/>
    <w:link w:val="PlainText"/>
    <w:rsid w:val="00A87197"/>
    <w:rPr>
      <w:rFonts w:ascii="Courier New" w:eastAsia="Times New Roman" w:hAnsi="Courier New" w:cs="Times New Roman"/>
      <w:sz w:val="20"/>
      <w:szCs w:val="20"/>
      <w:lang w:eastAsia="en-US"/>
    </w:rPr>
  </w:style>
  <w:style w:type="character" w:customStyle="1" w:styleId="MenuOption">
    <w:name w:val="Menu Option"/>
    <w:basedOn w:val="DefaultParagraphFont"/>
    <w:rsid w:val="00A87197"/>
    <w:rPr>
      <w:b/>
      <w:smallCaps/>
    </w:rPr>
  </w:style>
  <w:style w:type="paragraph" w:customStyle="1" w:styleId="TableListNumber">
    <w:name w:val="Table List Number"/>
    <w:basedOn w:val="ListNumber"/>
    <w:rsid w:val="00A87197"/>
    <w:pPr>
      <w:numPr>
        <w:numId w:val="0"/>
      </w:numPr>
    </w:pPr>
  </w:style>
  <w:style w:type="paragraph" w:styleId="TOC4">
    <w:name w:val="toc 4"/>
    <w:basedOn w:val="TOCBase"/>
    <w:next w:val="Normal"/>
    <w:semiHidden/>
    <w:rsid w:val="00A87197"/>
    <w:pPr>
      <w:tabs>
        <w:tab w:val="right" w:leader="dot" w:pos="9071"/>
      </w:tabs>
      <w:ind w:left="1701"/>
    </w:pPr>
  </w:style>
  <w:style w:type="paragraph" w:customStyle="1" w:styleId="ListAlpha">
    <w:name w:val="List Alpha"/>
    <w:basedOn w:val="List"/>
    <w:rsid w:val="00A87197"/>
    <w:pPr>
      <w:numPr>
        <w:numId w:val="8"/>
      </w:numPr>
    </w:pPr>
  </w:style>
  <w:style w:type="paragraph" w:customStyle="1" w:styleId="ListAlpha2">
    <w:name w:val="List Alpha 2"/>
    <w:basedOn w:val="List2"/>
    <w:rsid w:val="00A87197"/>
    <w:pPr>
      <w:numPr>
        <w:numId w:val="7"/>
      </w:numPr>
    </w:pPr>
  </w:style>
  <w:style w:type="paragraph" w:styleId="List2">
    <w:name w:val="List 2"/>
    <w:basedOn w:val="BodyText"/>
    <w:rsid w:val="00A87197"/>
    <w:pPr>
      <w:tabs>
        <w:tab w:val="left" w:pos="680"/>
      </w:tabs>
      <w:spacing w:before="60" w:after="60"/>
      <w:ind w:left="680" w:hanging="340"/>
    </w:pPr>
  </w:style>
  <w:style w:type="paragraph" w:styleId="List3">
    <w:name w:val="List 3"/>
    <w:basedOn w:val="BodyText"/>
    <w:rsid w:val="00A87197"/>
    <w:pPr>
      <w:tabs>
        <w:tab w:val="left" w:pos="1021"/>
      </w:tabs>
      <w:spacing w:before="60" w:after="60"/>
      <w:ind w:left="1020" w:hanging="340"/>
    </w:pPr>
  </w:style>
  <w:style w:type="paragraph" w:styleId="List4">
    <w:name w:val="List 4"/>
    <w:basedOn w:val="BodyText"/>
    <w:rsid w:val="00A87197"/>
    <w:pPr>
      <w:tabs>
        <w:tab w:val="left" w:pos="1361"/>
      </w:tabs>
      <w:spacing w:before="60" w:after="60"/>
      <w:ind w:left="1361" w:hanging="340"/>
    </w:pPr>
  </w:style>
  <w:style w:type="paragraph" w:styleId="List5">
    <w:name w:val="List 5"/>
    <w:basedOn w:val="BodyText"/>
    <w:rsid w:val="00A87197"/>
    <w:pPr>
      <w:tabs>
        <w:tab w:val="left" w:pos="1701"/>
      </w:tabs>
      <w:spacing w:before="60" w:after="60"/>
      <w:ind w:left="1701" w:hanging="340"/>
    </w:pPr>
  </w:style>
  <w:style w:type="paragraph" w:styleId="ListBullet3">
    <w:name w:val="List Bullet 3"/>
    <w:basedOn w:val="List3"/>
    <w:rsid w:val="00A87197"/>
    <w:pPr>
      <w:numPr>
        <w:numId w:val="14"/>
      </w:numPr>
      <w:tabs>
        <w:tab w:val="clear" w:pos="1021"/>
      </w:tabs>
      <w:ind w:left="1037" w:hanging="357"/>
    </w:pPr>
  </w:style>
  <w:style w:type="paragraph" w:styleId="ListBullet4">
    <w:name w:val="List Bullet 4"/>
    <w:basedOn w:val="List4"/>
    <w:rsid w:val="00A87197"/>
    <w:pPr>
      <w:numPr>
        <w:numId w:val="2"/>
      </w:numPr>
    </w:pPr>
  </w:style>
  <w:style w:type="paragraph" w:styleId="ListBullet5">
    <w:name w:val="List Bullet 5"/>
    <w:basedOn w:val="List5"/>
    <w:rsid w:val="00A87197"/>
    <w:pPr>
      <w:numPr>
        <w:numId w:val="3"/>
      </w:numPr>
    </w:pPr>
  </w:style>
  <w:style w:type="paragraph" w:styleId="ListContinue2">
    <w:name w:val="List Continue 2"/>
    <w:basedOn w:val="List2"/>
    <w:rsid w:val="00A87197"/>
    <w:pPr>
      <w:ind w:firstLine="0"/>
    </w:pPr>
  </w:style>
  <w:style w:type="paragraph" w:styleId="ListContinue3">
    <w:name w:val="List Continue 3"/>
    <w:basedOn w:val="List3"/>
    <w:rsid w:val="00A87197"/>
    <w:pPr>
      <w:ind w:left="1021" w:firstLine="0"/>
    </w:pPr>
  </w:style>
  <w:style w:type="paragraph" w:styleId="ListContinue4">
    <w:name w:val="List Continue 4"/>
    <w:basedOn w:val="List4"/>
    <w:rsid w:val="00A87197"/>
    <w:pPr>
      <w:ind w:firstLine="0"/>
    </w:pPr>
  </w:style>
  <w:style w:type="paragraph" w:styleId="ListContinue5">
    <w:name w:val="List Continue 5"/>
    <w:basedOn w:val="List5"/>
    <w:rsid w:val="00A87197"/>
    <w:pPr>
      <w:ind w:firstLine="0"/>
    </w:pPr>
  </w:style>
  <w:style w:type="paragraph" w:styleId="ListNumber3">
    <w:name w:val="List Number 3"/>
    <w:basedOn w:val="List3"/>
    <w:rsid w:val="00A87197"/>
    <w:pPr>
      <w:numPr>
        <w:numId w:val="4"/>
      </w:numPr>
    </w:pPr>
  </w:style>
  <w:style w:type="paragraph" w:styleId="ListNumber4">
    <w:name w:val="List Number 4"/>
    <w:basedOn w:val="List4"/>
    <w:rsid w:val="00A87197"/>
    <w:pPr>
      <w:numPr>
        <w:numId w:val="5"/>
      </w:numPr>
    </w:pPr>
  </w:style>
  <w:style w:type="paragraph" w:styleId="ListNumber5">
    <w:name w:val="List Number 5"/>
    <w:basedOn w:val="List5"/>
    <w:rsid w:val="00A87197"/>
    <w:pPr>
      <w:numPr>
        <w:numId w:val="6"/>
      </w:numPr>
    </w:pPr>
  </w:style>
  <w:style w:type="paragraph" w:styleId="BlockText">
    <w:name w:val="Block Text"/>
    <w:basedOn w:val="Normal"/>
    <w:rsid w:val="00A87197"/>
    <w:pPr>
      <w:spacing w:after="120"/>
      <w:ind w:left="1440" w:right="1440"/>
    </w:pPr>
  </w:style>
  <w:style w:type="character" w:customStyle="1" w:styleId="Subscript">
    <w:name w:val="Subscript"/>
    <w:basedOn w:val="DefaultParagraphFont"/>
    <w:rsid w:val="00A87197"/>
    <w:rPr>
      <w:sz w:val="16"/>
      <w:vertAlign w:val="subscript"/>
    </w:rPr>
  </w:style>
  <w:style w:type="character" w:customStyle="1" w:styleId="Superscript">
    <w:name w:val="Superscript"/>
    <w:basedOn w:val="DefaultParagraphFont"/>
    <w:rsid w:val="00A87197"/>
    <w:rPr>
      <w:sz w:val="16"/>
      <w:vertAlign w:val="superscript"/>
    </w:rPr>
  </w:style>
  <w:style w:type="character" w:customStyle="1" w:styleId="Symbols">
    <w:name w:val="Symbols"/>
    <w:basedOn w:val="DefaultParagraphFont"/>
    <w:rsid w:val="00A87197"/>
    <w:rPr>
      <w:rFonts w:ascii="Symbol" w:hAnsi="Symbol"/>
    </w:rPr>
  </w:style>
  <w:style w:type="character" w:customStyle="1" w:styleId="MenuOptions">
    <w:name w:val="Menu Options"/>
    <w:basedOn w:val="DefaultParagraphFont"/>
    <w:rsid w:val="00A87197"/>
    <w:rPr>
      <w:rFonts w:ascii="Arial Narrow" w:hAnsi="Arial Narrow"/>
      <w:smallCaps/>
    </w:rPr>
  </w:style>
  <w:style w:type="character" w:customStyle="1" w:styleId="Buttons">
    <w:name w:val="Buttons"/>
    <w:basedOn w:val="DefaultParagraphFont"/>
    <w:rsid w:val="00A87197"/>
    <w:rPr>
      <w:b/>
    </w:rPr>
  </w:style>
  <w:style w:type="character" w:customStyle="1" w:styleId="Underlined">
    <w:name w:val="Underlined"/>
    <w:basedOn w:val="DefaultParagraphFont"/>
    <w:rsid w:val="00A87197"/>
    <w:rPr>
      <w:u w:val="single"/>
    </w:rPr>
  </w:style>
  <w:style w:type="paragraph" w:customStyle="1" w:styleId="TableBodyTextRight">
    <w:name w:val="Table Body Text Right"/>
    <w:basedOn w:val="TableBodyText"/>
    <w:rsid w:val="00A87197"/>
    <w:pPr>
      <w:widowControl w:val="0"/>
      <w:autoSpaceDE w:val="0"/>
      <w:autoSpaceDN w:val="0"/>
      <w:adjustRightInd w:val="0"/>
      <w:jc w:val="right"/>
    </w:pPr>
    <w:rPr>
      <w:rFonts w:cs="Arial"/>
      <w:szCs w:val="18"/>
    </w:rPr>
  </w:style>
  <w:style w:type="paragraph" w:customStyle="1" w:styleId="CopyrightText">
    <w:name w:val="Copyright Text"/>
    <w:basedOn w:val="BodyText"/>
    <w:rsid w:val="00A87197"/>
    <w:rPr>
      <w:sz w:val="18"/>
    </w:rPr>
  </w:style>
  <w:style w:type="paragraph" w:customStyle="1" w:styleId="BodySmallRight">
    <w:name w:val="Body Small Right"/>
    <w:basedOn w:val="BodyTextRight"/>
    <w:rsid w:val="00A87197"/>
    <w:rPr>
      <w:sz w:val="18"/>
      <w:szCs w:val="18"/>
    </w:rPr>
  </w:style>
  <w:style w:type="paragraph" w:customStyle="1" w:styleId="MarginEdition">
    <w:name w:val="Margin Edition"/>
    <w:basedOn w:val="MarginNote"/>
    <w:rsid w:val="00A87197"/>
    <w:pPr>
      <w:spacing w:before="0" w:after="0"/>
    </w:pPr>
    <w:rPr>
      <w:rFonts w:ascii="Times New Roman" w:hAnsi="Times New Roman"/>
      <w:color w:val="999999"/>
    </w:rPr>
  </w:style>
  <w:style w:type="paragraph" w:customStyle="1" w:styleId="Spacer">
    <w:name w:val="Spacer"/>
    <w:basedOn w:val="Normal"/>
    <w:rsid w:val="00A87197"/>
    <w:rPr>
      <w:sz w:val="2"/>
      <w:szCs w:val="2"/>
    </w:rPr>
  </w:style>
  <w:style w:type="character" w:customStyle="1" w:styleId="Small">
    <w:name w:val="Small"/>
    <w:basedOn w:val="DefaultParagraphFont"/>
    <w:rsid w:val="00A87197"/>
    <w:rPr>
      <w:sz w:val="16"/>
    </w:rPr>
  </w:style>
  <w:style w:type="paragraph" w:customStyle="1" w:styleId="WideTable">
    <w:name w:val="Wide Table"/>
    <w:basedOn w:val="Normal"/>
    <w:rsid w:val="00A87197"/>
    <w:pPr>
      <w:ind w:left="-1418"/>
    </w:pPr>
    <w:rPr>
      <w:sz w:val="2"/>
      <w:szCs w:val="2"/>
    </w:rPr>
  </w:style>
  <w:style w:type="character" w:styleId="PageNumber">
    <w:name w:val="page number"/>
    <w:basedOn w:val="DefaultParagraphFont"/>
    <w:rsid w:val="00A87197"/>
  </w:style>
  <w:style w:type="paragraph" w:styleId="Quote">
    <w:name w:val="Quote"/>
    <w:basedOn w:val="Heading1"/>
    <w:link w:val="QuoteChar"/>
    <w:qFormat/>
    <w:rsid w:val="00A87197"/>
    <w:rPr>
      <w:b w:val="0"/>
      <w:sz w:val="72"/>
      <w:szCs w:val="72"/>
      <w:lang w:val="en-NZ"/>
    </w:rPr>
  </w:style>
  <w:style w:type="character" w:customStyle="1" w:styleId="QuoteChar">
    <w:name w:val="Quote Char"/>
    <w:basedOn w:val="DefaultParagraphFont"/>
    <w:link w:val="Quote"/>
    <w:rsid w:val="00A8719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87197"/>
    <w:pPr>
      <w:pageBreakBefore/>
    </w:pPr>
  </w:style>
  <w:style w:type="paragraph" w:customStyle="1" w:styleId="Border">
    <w:name w:val="Border"/>
    <w:basedOn w:val="Normal"/>
    <w:qFormat/>
    <w:rsid w:val="00A8719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87197"/>
    <w:rPr>
      <w:b/>
      <w:bCs/>
      <w:i/>
      <w:iCs/>
      <w:color w:val="auto"/>
    </w:rPr>
  </w:style>
  <w:style w:type="paragraph" w:styleId="IntenseQuote">
    <w:name w:val="Intense Quote"/>
    <w:basedOn w:val="Normal"/>
    <w:next w:val="Normal"/>
    <w:link w:val="IntenseQuoteChar"/>
    <w:uiPriority w:val="30"/>
    <w:qFormat/>
    <w:rsid w:val="00A8719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8719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87197"/>
    <w:rPr>
      <w:smallCaps/>
      <w:color w:val="auto"/>
      <w:u w:val="single"/>
    </w:rPr>
  </w:style>
  <w:style w:type="character" w:styleId="IntenseReference">
    <w:name w:val="Intense Reference"/>
    <w:basedOn w:val="DefaultParagraphFont"/>
    <w:uiPriority w:val="32"/>
    <w:qFormat/>
    <w:rsid w:val="00A87197"/>
    <w:rPr>
      <w:b/>
      <w:bCs/>
      <w:smallCaps/>
      <w:color w:val="auto"/>
      <w:spacing w:val="5"/>
      <w:u w:val="single"/>
    </w:rPr>
  </w:style>
  <w:style w:type="paragraph" w:customStyle="1" w:styleId="2ColumnHeading">
    <w:name w:val="2Column Heading"/>
    <w:basedOn w:val="BodyText"/>
    <w:qFormat/>
    <w:rsid w:val="00A87197"/>
    <w:pPr>
      <w:spacing w:after="60"/>
      <w:ind w:left="-2268"/>
    </w:pPr>
    <w:rPr>
      <w:b/>
    </w:rPr>
  </w:style>
  <w:style w:type="paragraph" w:customStyle="1" w:styleId="Heading1TOC">
    <w:name w:val="Heading1 TOC"/>
    <w:basedOn w:val="Normal"/>
    <w:qFormat/>
    <w:rsid w:val="00A87197"/>
    <w:pPr>
      <w:spacing w:before="240" w:after="120"/>
    </w:pPr>
    <w:rPr>
      <w:rFonts w:ascii="Times New Roman" w:hAnsi="Times New Roman"/>
      <w:b/>
      <w:sz w:val="32"/>
    </w:rPr>
  </w:style>
  <w:style w:type="paragraph" w:customStyle="1" w:styleId="Heading2TOC">
    <w:name w:val="Heading2 TOC"/>
    <w:basedOn w:val="Normal"/>
    <w:qFormat/>
    <w:rsid w:val="00A87197"/>
    <w:pPr>
      <w:spacing w:before="240" w:after="60"/>
    </w:pPr>
    <w:rPr>
      <w:rFonts w:ascii="Times New Roman" w:hAnsi="Times New Roman"/>
      <w:b/>
      <w:sz w:val="28"/>
    </w:rPr>
  </w:style>
  <w:style w:type="character" w:customStyle="1" w:styleId="Underline">
    <w:name w:val="Underline"/>
    <w:basedOn w:val="DefaultParagraphFont"/>
    <w:qFormat/>
    <w:rsid w:val="00A87197"/>
    <w:rPr>
      <w:u w:val="single"/>
    </w:rPr>
  </w:style>
  <w:style w:type="paragraph" w:styleId="BalloonText">
    <w:name w:val="Balloon Text"/>
    <w:basedOn w:val="Normal"/>
    <w:link w:val="BalloonTextChar"/>
    <w:rsid w:val="00A87197"/>
    <w:rPr>
      <w:rFonts w:ascii="Tahoma" w:hAnsi="Tahoma" w:cs="Tahoma"/>
      <w:sz w:val="16"/>
      <w:szCs w:val="16"/>
    </w:rPr>
  </w:style>
  <w:style w:type="character" w:customStyle="1" w:styleId="BalloonTextChar">
    <w:name w:val="Balloon Text Char"/>
    <w:basedOn w:val="DefaultParagraphFont"/>
    <w:link w:val="BalloonText"/>
    <w:rsid w:val="00A8719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8719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8719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87197"/>
    <w:rPr>
      <w:b/>
      <w:color w:val="660033"/>
      <w:spacing w:val="0"/>
    </w:rPr>
  </w:style>
  <w:style w:type="paragraph" w:customStyle="1" w:styleId="Nameditemlist">
    <w:name w:val="Named item list"/>
    <w:basedOn w:val="BodyText"/>
    <w:qFormat/>
    <w:rsid w:val="00A87197"/>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1313</Words>
  <Characters>8081</Characters>
  <Application>Microsoft Office Word</Application>
  <DocSecurity>0</DocSecurity>
  <Lines>279</Lines>
  <Paragraphs>170</Paragraphs>
  <ScaleCrop>false</ScaleCrop>
  <Company>Author-it Software Corporation Ltd.</Company>
  <LinksUpToDate>false</LinksUpToDate>
  <CharactersWithSpaces>9446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LGAGOVA603B Develop a risk management strategy for council assets</dc:title>
  <dc:subject>Approved</dc:subject>
  <dc:creator>Government Skills Australia</dc:creator>
  <cp:keywords>Revision Number:</cp:keywords>
  <dc:description>Copyright © 1996-2007 Author-it Software Corporation Ltd., all rights reserved.</dc:description>
  <cp:lastModifiedBy>TPCMS</cp:lastModifiedBy>
  <cp:revision>3</cp:revision>
  <dcterms:created xsi:type="dcterms:W3CDTF">2012-09-10T05:52:00Z</dcterms:created>
  <dcterms:modified xsi:type="dcterms:W3CDTF">2012-09-10T05:52:00Z</dcterms:modified>
</cp:coreProperties>
</file>